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3A5CEF69" w:rsidR="000D12EF" w:rsidRPr="005A6D79" w:rsidRDefault="000437FE" w:rsidP="00013DBD">
      <w:pPr>
        <w:spacing w:line="480" w:lineRule="auto"/>
        <w:rPr>
          <w:rFonts w:ascii="Times New Roman" w:hAnsi="Times New Roman" w:cs="Times New Roman"/>
          <w:szCs w:val="24"/>
          <w:lang w:val="en-US"/>
        </w:rPr>
      </w:pPr>
      <w:r w:rsidRPr="005A6D79">
        <w:rPr>
          <w:rFonts w:ascii="Times New Roman" w:hAnsi="Times New Roman" w:cs="Times New Roman"/>
          <w:noProof/>
          <w:szCs w:val="24"/>
          <w:lang w:val="en-US"/>
        </w:rPr>
        <w:drawing>
          <wp:anchor distT="0" distB="0" distL="114300" distR="114300" simplePos="0" relativeHeight="251659264" behindDoc="1" locked="0" layoutInCell="1" allowOverlap="1" wp14:anchorId="1BEB24B7" wp14:editId="49407E1A">
            <wp:simplePos x="0" y="0"/>
            <wp:positionH relativeFrom="margin">
              <wp:posOffset>2328116</wp:posOffset>
            </wp:positionH>
            <wp:positionV relativeFrom="paragraph">
              <wp:posOffset>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06EC50D5" w14:textId="1C747298" w:rsidR="00D33052" w:rsidRPr="005A6D79" w:rsidRDefault="00D33052" w:rsidP="00013DBD">
      <w:pPr>
        <w:spacing w:line="480" w:lineRule="auto"/>
        <w:rPr>
          <w:rFonts w:ascii="Times New Roman" w:hAnsi="Times New Roman" w:cs="Times New Roman"/>
          <w:szCs w:val="24"/>
          <w:lang w:val="en-US"/>
        </w:rPr>
      </w:pPr>
    </w:p>
    <w:p w14:paraId="0C7555A9" w14:textId="77777777" w:rsidR="004A1F6F" w:rsidRPr="005A6D79" w:rsidRDefault="004A1F6F" w:rsidP="00D8310C">
      <w:pPr>
        <w:spacing w:line="480" w:lineRule="auto"/>
        <w:rPr>
          <w:rFonts w:ascii="Times New Roman" w:hAnsi="Times New Roman" w:cs="Times New Roman"/>
          <w:szCs w:val="24"/>
        </w:rPr>
      </w:pPr>
    </w:p>
    <w:p w14:paraId="3E48C347" w14:textId="77777777" w:rsidR="00F72ED2" w:rsidRPr="005A6D79" w:rsidRDefault="00F72ED2" w:rsidP="00825F73">
      <w:pPr>
        <w:spacing w:line="480" w:lineRule="auto"/>
        <w:jc w:val="center"/>
        <w:rPr>
          <w:rFonts w:ascii="Times New Roman" w:hAnsi="Times New Roman" w:cs="Times New Roman"/>
          <w:b/>
          <w:bCs/>
          <w:szCs w:val="24"/>
        </w:rPr>
      </w:pPr>
      <w:proofErr w:type="gramStart"/>
      <w:r w:rsidRPr="005A6D79">
        <w:rPr>
          <w:rFonts w:ascii="Times New Roman" w:hAnsi="Times New Roman" w:cs="Times New Roman"/>
          <w:b/>
          <w:bCs/>
          <w:szCs w:val="24"/>
        </w:rPr>
        <w:t>Bachelor's</w:t>
      </w:r>
      <w:proofErr w:type="gramEnd"/>
      <w:r w:rsidRPr="005A6D79">
        <w:rPr>
          <w:rFonts w:ascii="Times New Roman" w:hAnsi="Times New Roman" w:cs="Times New Roman"/>
          <w:b/>
          <w:bCs/>
          <w:szCs w:val="24"/>
        </w:rPr>
        <w:t xml:space="preserve"> in Tourism and Recreation</w:t>
      </w:r>
    </w:p>
    <w:p w14:paraId="2BA9879A" w14:textId="77777777" w:rsidR="0023731E" w:rsidRPr="0023731E" w:rsidRDefault="0023731E" w:rsidP="00825F73">
      <w:pPr>
        <w:spacing w:line="480" w:lineRule="auto"/>
        <w:jc w:val="center"/>
        <w:rPr>
          <w:rFonts w:ascii="Times New Roman" w:hAnsi="Times New Roman" w:cs="Times New Roman"/>
          <w:b/>
          <w:bCs/>
          <w:szCs w:val="24"/>
        </w:rPr>
      </w:pPr>
      <w:r w:rsidRPr="0023731E">
        <w:rPr>
          <w:rFonts w:ascii="Times New Roman" w:hAnsi="Times New Roman" w:cs="Times New Roman"/>
          <w:b/>
          <w:bCs/>
          <w:szCs w:val="24"/>
        </w:rPr>
        <w:t>Tourism Law</w:t>
      </w:r>
    </w:p>
    <w:p w14:paraId="0A435005" w14:textId="013BA655" w:rsidR="00825F73" w:rsidRPr="005A6D79" w:rsidRDefault="0006425E" w:rsidP="006826F9">
      <w:pPr>
        <w:spacing w:line="480" w:lineRule="auto"/>
        <w:rPr>
          <w:rFonts w:ascii="Times New Roman" w:hAnsi="Times New Roman" w:cs="Times New Roman"/>
          <w:b/>
          <w:bCs/>
          <w:szCs w:val="24"/>
          <w:lang w:val="en-US"/>
        </w:rPr>
      </w:pPr>
      <w:r w:rsidRPr="005A6D79">
        <w:rPr>
          <w:rFonts w:ascii="Times New Roman" w:hAnsi="Times New Roman" w:cs="Times New Roman"/>
          <w:b/>
          <w:bCs/>
          <w:szCs w:val="24"/>
          <w:lang w:val="en-US"/>
        </w:rPr>
        <w:drawing>
          <wp:inline distT="0" distB="0" distL="0" distR="0" wp14:anchorId="6868B357" wp14:editId="54DC871A">
            <wp:extent cx="5943600" cy="3423285"/>
            <wp:effectExtent l="0" t="0" r="0" b="5715"/>
            <wp:docPr id="3384707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470742" name=""/>
                    <pic:cNvPicPr/>
                  </pic:nvPicPr>
                  <pic:blipFill>
                    <a:blip r:embed="rId7"/>
                    <a:stretch>
                      <a:fillRect/>
                    </a:stretch>
                  </pic:blipFill>
                  <pic:spPr>
                    <a:xfrm>
                      <a:off x="0" y="0"/>
                      <a:ext cx="5943600" cy="3423285"/>
                    </a:xfrm>
                    <a:prstGeom prst="rect">
                      <a:avLst/>
                    </a:prstGeom>
                  </pic:spPr>
                </pic:pic>
              </a:graphicData>
            </a:graphic>
          </wp:inline>
        </w:drawing>
      </w:r>
    </w:p>
    <w:p w14:paraId="38C3245C" w14:textId="77777777" w:rsidR="00825F73" w:rsidRPr="005A6D79" w:rsidRDefault="00825F73" w:rsidP="006826F9">
      <w:pPr>
        <w:spacing w:line="480" w:lineRule="auto"/>
        <w:rPr>
          <w:rFonts w:ascii="Times New Roman" w:hAnsi="Times New Roman" w:cs="Times New Roman"/>
          <w:b/>
          <w:bCs/>
          <w:szCs w:val="24"/>
          <w:lang w:val="en-US"/>
        </w:rPr>
      </w:pPr>
    </w:p>
    <w:p w14:paraId="1AF43F25" w14:textId="77777777" w:rsidR="00825F73" w:rsidRPr="005A6D79" w:rsidRDefault="00825F73" w:rsidP="006826F9">
      <w:pPr>
        <w:spacing w:line="480" w:lineRule="auto"/>
        <w:rPr>
          <w:rFonts w:ascii="Times New Roman" w:hAnsi="Times New Roman" w:cs="Times New Roman"/>
          <w:b/>
          <w:bCs/>
          <w:szCs w:val="24"/>
          <w:lang w:val="en-US"/>
        </w:rPr>
      </w:pPr>
    </w:p>
    <w:p w14:paraId="5C527C8A" w14:textId="77777777" w:rsidR="00825F73" w:rsidRPr="005A6D79" w:rsidRDefault="00825F73" w:rsidP="006826F9">
      <w:pPr>
        <w:spacing w:line="480" w:lineRule="auto"/>
        <w:rPr>
          <w:rFonts w:ascii="Times New Roman" w:hAnsi="Times New Roman" w:cs="Times New Roman"/>
          <w:b/>
          <w:bCs/>
          <w:szCs w:val="24"/>
          <w:lang w:val="en-US"/>
        </w:rPr>
      </w:pPr>
    </w:p>
    <w:p w14:paraId="0B63917F" w14:textId="77777777" w:rsidR="00825F73" w:rsidRPr="005A6D79" w:rsidRDefault="00825F73" w:rsidP="006826F9">
      <w:pPr>
        <w:spacing w:line="480" w:lineRule="auto"/>
        <w:rPr>
          <w:rFonts w:ascii="Times New Roman" w:hAnsi="Times New Roman" w:cs="Times New Roman"/>
          <w:b/>
          <w:bCs/>
          <w:szCs w:val="24"/>
          <w:lang w:val="en-US"/>
        </w:rPr>
      </w:pPr>
    </w:p>
    <w:p w14:paraId="1729FAC1" w14:textId="77777777" w:rsidR="0006425E" w:rsidRPr="005A6D79" w:rsidRDefault="0006425E" w:rsidP="006826F9">
      <w:pPr>
        <w:spacing w:line="480" w:lineRule="auto"/>
        <w:rPr>
          <w:rFonts w:ascii="Times New Roman" w:hAnsi="Times New Roman" w:cs="Times New Roman"/>
          <w:b/>
          <w:bCs/>
          <w:szCs w:val="24"/>
          <w:lang w:val="en-US"/>
        </w:rPr>
      </w:pPr>
    </w:p>
    <w:p w14:paraId="3D6F7A24" w14:textId="77777777" w:rsidR="008F0FCA" w:rsidRPr="005A6D79" w:rsidRDefault="00D33052" w:rsidP="008F0FCA">
      <w:pPr>
        <w:spacing w:line="480" w:lineRule="auto"/>
        <w:rPr>
          <w:rStyle w:val="Heading1Char"/>
          <w:rFonts w:ascii="Times New Roman" w:hAnsi="Times New Roman" w:cs="Times New Roman"/>
          <w:b/>
          <w:bCs/>
          <w:color w:val="auto"/>
          <w:sz w:val="24"/>
          <w:szCs w:val="24"/>
        </w:rPr>
      </w:pPr>
      <w:bookmarkStart w:id="0" w:name="_Toc221201954"/>
      <w:r w:rsidRPr="005A6D79">
        <w:rPr>
          <w:rStyle w:val="Heading1Char"/>
          <w:rFonts w:ascii="Times New Roman" w:hAnsi="Times New Roman" w:cs="Times New Roman"/>
          <w:b/>
          <w:bCs/>
          <w:color w:val="auto"/>
          <w:sz w:val="24"/>
          <w:szCs w:val="24"/>
        </w:rPr>
        <w:lastRenderedPageBreak/>
        <w:t>Abstract</w:t>
      </w:r>
      <w:bookmarkEnd w:id="0"/>
    </w:p>
    <w:p w14:paraId="06F25BD4" w14:textId="77777777" w:rsidR="008F0FCA" w:rsidRPr="005A6D79" w:rsidRDefault="00883B85" w:rsidP="008F0FCA">
      <w:pPr>
        <w:spacing w:line="480" w:lineRule="auto"/>
        <w:rPr>
          <w:rFonts w:ascii="Times New Roman" w:hAnsi="Times New Roman" w:cs="Times New Roman"/>
          <w:szCs w:val="24"/>
        </w:rPr>
      </w:pPr>
      <w:r w:rsidRPr="005A6D79">
        <w:rPr>
          <w:rFonts w:ascii="Times New Roman" w:hAnsi="Times New Roman" w:cs="Times New Roman"/>
          <w:szCs w:val="24"/>
        </w:rPr>
        <w:t>Liability and legal risk management are critical concerns within the tourism industry due to the sector’s reliance on service delivery, physical interaction, and cross-border operations. Tourism businesses such as hotels, airlines, tour operators, and tour guides regularly assume legal responsibilities toward customers, employees, and third parties. These responsibilities expose tourism providers to a wide range of legal risks, including personal injury claims, property damage, breach of contract, and reputational harm. As tourism activities often involve transportation, accommodation, recreational services, and adventure experiences, the potential for legal liability is significantly higher than in many other service industries.</w:t>
      </w:r>
    </w:p>
    <w:p w14:paraId="004EC86B" w14:textId="0E91B5A6" w:rsidR="00883B85" w:rsidRPr="005A6D79" w:rsidRDefault="00883B85" w:rsidP="008F0FCA">
      <w:pPr>
        <w:spacing w:line="480" w:lineRule="auto"/>
        <w:rPr>
          <w:rFonts w:ascii="Times New Roman" w:hAnsi="Times New Roman" w:cs="Times New Roman"/>
          <w:szCs w:val="24"/>
        </w:rPr>
      </w:pPr>
      <w:r w:rsidRPr="005A6D79">
        <w:rPr>
          <w:rFonts w:ascii="Times New Roman" w:hAnsi="Times New Roman" w:cs="Times New Roman"/>
          <w:szCs w:val="24"/>
        </w:rPr>
        <w:t>This assignment explores the concept of liability in tourism law, with a focus on the legal duties owed by tourism operators and service providers to their customers. It examines key forms of legal risk faced by tourism businesses, including negligence claims, strict liability scenarios, and vicarious liability arising from the actions of employees or contractors. The study also analyses how core legal principles are applied within the tourism context and how courts assess responsibility, duty of care, and causation in tourism-related disputes.</w:t>
      </w:r>
    </w:p>
    <w:p w14:paraId="696B73EE" w14:textId="77777777" w:rsidR="00883B85" w:rsidRPr="005A6D79" w:rsidRDefault="00883B85" w:rsidP="00883B85">
      <w:pPr>
        <w:pStyle w:val="TOCHeading"/>
        <w:spacing w:line="480" w:lineRule="auto"/>
        <w:rPr>
          <w:rFonts w:ascii="Times New Roman" w:hAnsi="Times New Roman" w:cs="Times New Roman"/>
          <w:color w:val="auto"/>
          <w:sz w:val="24"/>
          <w:szCs w:val="24"/>
          <w:lang w:val="en-GB"/>
        </w:rPr>
      </w:pPr>
    </w:p>
    <w:p w14:paraId="5BB51ACE" w14:textId="5A4B611B" w:rsidR="00DA5550" w:rsidRPr="005A6D79" w:rsidRDefault="00883B85" w:rsidP="00883B85">
      <w:pPr>
        <w:pStyle w:val="TOCHeading"/>
        <w:spacing w:line="480" w:lineRule="auto"/>
        <w:rPr>
          <w:rFonts w:ascii="Times New Roman" w:hAnsi="Times New Roman" w:cs="Times New Roman"/>
          <w:color w:val="auto"/>
          <w:sz w:val="24"/>
          <w:szCs w:val="24"/>
          <w:lang w:val="en-GB"/>
        </w:rPr>
      </w:pPr>
      <w:r w:rsidRPr="005A6D79">
        <w:rPr>
          <w:rFonts w:ascii="Times New Roman" w:hAnsi="Times New Roman" w:cs="Times New Roman"/>
          <w:color w:val="auto"/>
          <w:sz w:val="24"/>
          <w:szCs w:val="24"/>
          <w:lang w:val="en-GB"/>
        </w:rPr>
        <w:t>In addition, the assignment evaluates practical risk mitigation strategies adopted by tourism businesses, such as insurance coverage, liability waivers, contractual limitations, and comprehensive risk management practices. By incorporating real-world legal cases involving tourism liability, the analysis demonstrates how legal principles are applied in practice and how legal outcomes shape industry standards. Overall, the assignment highlights that effective liability management is essential for protecting consumers, reducing legal exposure, and supporting sustainable operations within the global tourism industry.</w:t>
      </w:r>
    </w:p>
    <w:p w14:paraId="0AFFDDEE" w14:textId="77777777" w:rsidR="00883B85" w:rsidRPr="005A6D79" w:rsidRDefault="00883B85" w:rsidP="00883B85">
      <w:pPr>
        <w:rPr>
          <w:rFonts w:ascii="Times New Roman" w:hAnsi="Times New Roman" w:cs="Times New Roman"/>
          <w:lang w:bidi="ar-SA"/>
        </w:rPr>
      </w:pPr>
    </w:p>
    <w:p w14:paraId="1395CE45" w14:textId="77777777" w:rsidR="00883B85" w:rsidRPr="005A6D79" w:rsidRDefault="00883B85" w:rsidP="00883B85">
      <w:pPr>
        <w:rPr>
          <w:rFonts w:ascii="Times New Roman" w:hAnsi="Times New Roman" w:cs="Times New Roman"/>
          <w:lang w:bidi="ar-SA"/>
        </w:rPr>
      </w:pPr>
    </w:p>
    <w:p w14:paraId="0C2C4997" w14:textId="77777777" w:rsidR="00883B85" w:rsidRPr="005A6D79" w:rsidRDefault="00883B85" w:rsidP="00883B85">
      <w:pPr>
        <w:rPr>
          <w:rFonts w:ascii="Times New Roman" w:hAnsi="Times New Roman" w:cs="Times New Roman"/>
          <w:lang w:bidi="ar-SA"/>
        </w:rPr>
      </w:pPr>
    </w:p>
    <w:p w14:paraId="6E8152FF" w14:textId="77777777" w:rsidR="00883B85" w:rsidRPr="005A6D79" w:rsidRDefault="00883B85" w:rsidP="00883B85">
      <w:pPr>
        <w:rPr>
          <w:rFonts w:ascii="Times New Roman" w:hAnsi="Times New Roman" w:cs="Times New Roman"/>
          <w:lang w:bidi="ar-SA"/>
        </w:rPr>
      </w:pPr>
    </w:p>
    <w:p w14:paraId="7D7DFC49" w14:textId="77777777" w:rsidR="00883B85" w:rsidRPr="005A6D79" w:rsidRDefault="00883B85" w:rsidP="00883B85">
      <w:pPr>
        <w:rPr>
          <w:rFonts w:ascii="Times New Roman" w:hAnsi="Times New Roman" w:cs="Times New Roman"/>
          <w:lang w:bidi="ar-SA"/>
        </w:rPr>
      </w:pPr>
    </w:p>
    <w:p w14:paraId="0FD3528F" w14:textId="77777777" w:rsidR="00883B85" w:rsidRPr="005A6D79" w:rsidRDefault="00883B85" w:rsidP="00883B85">
      <w:pPr>
        <w:rPr>
          <w:rFonts w:ascii="Times New Roman" w:hAnsi="Times New Roman" w:cs="Times New Roman"/>
          <w:lang w:bidi="ar-SA"/>
        </w:rPr>
      </w:pPr>
    </w:p>
    <w:p w14:paraId="28D84400" w14:textId="77777777" w:rsidR="00883B85" w:rsidRPr="005A6D79" w:rsidRDefault="00883B85" w:rsidP="00883B85">
      <w:pPr>
        <w:rPr>
          <w:rFonts w:ascii="Times New Roman" w:hAnsi="Times New Roman" w:cs="Times New Roman"/>
          <w:lang w:bidi="ar-SA"/>
        </w:rPr>
      </w:pPr>
    </w:p>
    <w:p w14:paraId="4C4F0276" w14:textId="77777777" w:rsidR="00883B85" w:rsidRPr="005A6D79" w:rsidRDefault="00883B85" w:rsidP="00883B85">
      <w:pPr>
        <w:rPr>
          <w:rFonts w:ascii="Times New Roman" w:hAnsi="Times New Roman" w:cs="Times New Roman"/>
          <w:lang w:bidi="ar-SA"/>
        </w:rPr>
      </w:pPr>
    </w:p>
    <w:p w14:paraId="3BB5371F" w14:textId="77777777" w:rsidR="00883B85" w:rsidRPr="005A6D79" w:rsidRDefault="00883B85" w:rsidP="00883B85">
      <w:pPr>
        <w:rPr>
          <w:rFonts w:ascii="Times New Roman" w:hAnsi="Times New Roman" w:cs="Times New Roman"/>
          <w:lang w:bidi="ar-SA"/>
        </w:rPr>
      </w:pPr>
    </w:p>
    <w:p w14:paraId="3DDE20F8" w14:textId="77777777" w:rsidR="00883B85" w:rsidRPr="005A6D79" w:rsidRDefault="00883B85" w:rsidP="00883B85">
      <w:pPr>
        <w:rPr>
          <w:rFonts w:ascii="Times New Roman" w:hAnsi="Times New Roman" w:cs="Times New Roman"/>
          <w:lang w:bidi="ar-SA"/>
        </w:rPr>
      </w:pPr>
    </w:p>
    <w:p w14:paraId="5B19AAE2" w14:textId="77777777" w:rsidR="00883B85" w:rsidRPr="005A6D79" w:rsidRDefault="00883B85" w:rsidP="00883B85">
      <w:pPr>
        <w:rPr>
          <w:rFonts w:ascii="Times New Roman" w:hAnsi="Times New Roman" w:cs="Times New Roman"/>
          <w:lang w:bidi="ar-SA"/>
        </w:rPr>
      </w:pPr>
    </w:p>
    <w:p w14:paraId="391E8E2E" w14:textId="77777777" w:rsidR="00883B85" w:rsidRPr="005A6D79" w:rsidRDefault="00883B85" w:rsidP="00883B85">
      <w:pPr>
        <w:rPr>
          <w:rFonts w:ascii="Times New Roman" w:hAnsi="Times New Roman" w:cs="Times New Roman"/>
          <w:lang w:bidi="ar-SA"/>
        </w:rPr>
      </w:pPr>
    </w:p>
    <w:p w14:paraId="3AD3DCB3" w14:textId="77777777" w:rsidR="00883B85" w:rsidRPr="005A6D79" w:rsidRDefault="00883B85" w:rsidP="00883B85">
      <w:pPr>
        <w:rPr>
          <w:rFonts w:ascii="Times New Roman" w:hAnsi="Times New Roman" w:cs="Times New Roman"/>
          <w:lang w:bidi="ar-SA"/>
        </w:rPr>
      </w:pPr>
    </w:p>
    <w:p w14:paraId="16CFB1C2" w14:textId="77777777" w:rsidR="00883B85" w:rsidRPr="005A6D79" w:rsidRDefault="00883B85" w:rsidP="00883B85">
      <w:pPr>
        <w:rPr>
          <w:rFonts w:ascii="Times New Roman" w:hAnsi="Times New Roman" w:cs="Times New Roman"/>
          <w:lang w:bidi="ar-SA"/>
        </w:rPr>
      </w:pPr>
    </w:p>
    <w:p w14:paraId="7CC7D060" w14:textId="77777777" w:rsidR="00883B85" w:rsidRPr="005A6D79" w:rsidRDefault="00883B85" w:rsidP="00883B85">
      <w:pPr>
        <w:rPr>
          <w:rFonts w:ascii="Times New Roman" w:hAnsi="Times New Roman" w:cs="Times New Roman"/>
          <w:lang w:bidi="ar-SA"/>
        </w:rPr>
      </w:pPr>
    </w:p>
    <w:p w14:paraId="3AA8A0AF" w14:textId="77777777" w:rsidR="00883B85" w:rsidRPr="005A6D79" w:rsidRDefault="00883B85" w:rsidP="00883B85">
      <w:pPr>
        <w:rPr>
          <w:rFonts w:ascii="Times New Roman" w:hAnsi="Times New Roman" w:cs="Times New Roman"/>
          <w:lang w:bidi="ar-SA"/>
        </w:rPr>
      </w:pPr>
    </w:p>
    <w:p w14:paraId="30EAE63D" w14:textId="77777777" w:rsidR="00883B85" w:rsidRPr="005A6D79" w:rsidRDefault="00883B85" w:rsidP="00883B85">
      <w:pPr>
        <w:rPr>
          <w:rFonts w:ascii="Times New Roman" w:hAnsi="Times New Roman" w:cs="Times New Roman"/>
          <w:lang w:bidi="ar-SA"/>
        </w:rPr>
      </w:pPr>
    </w:p>
    <w:p w14:paraId="76EF085E" w14:textId="77777777" w:rsidR="00883B85" w:rsidRPr="005A6D79" w:rsidRDefault="00883B85" w:rsidP="00883B85">
      <w:pPr>
        <w:rPr>
          <w:rFonts w:ascii="Times New Roman" w:hAnsi="Times New Roman" w:cs="Times New Roman"/>
          <w:lang w:bidi="ar-SA"/>
        </w:rPr>
      </w:pPr>
    </w:p>
    <w:sdt>
      <w:sdtPr>
        <w:rPr>
          <w:rFonts w:ascii="Times New Roman" w:hAnsi="Times New Roman" w:cs="Times New Roman"/>
          <w:color w:val="auto"/>
          <w:sz w:val="24"/>
          <w:szCs w:val="24"/>
        </w:rPr>
        <w:id w:val="127520408"/>
        <w:docPartObj>
          <w:docPartGallery w:val="Table of Contents"/>
          <w:docPartUnique/>
        </w:docPartObj>
      </w:sdtPr>
      <w:sdtEndPr>
        <w:rPr>
          <w:rFonts w:eastAsiaTheme="minorHAnsi"/>
          <w:b/>
          <w:bCs/>
          <w:noProof/>
          <w:kern w:val="2"/>
          <w:lang w:val="en-GB" w:bidi="hi-IN"/>
          <w14:ligatures w14:val="standardContextual"/>
        </w:rPr>
      </w:sdtEndPr>
      <w:sdtContent>
        <w:p w14:paraId="3C74B5CB" w14:textId="73B757ED" w:rsidR="004D7D13" w:rsidRPr="005A6D79" w:rsidRDefault="004D7D13" w:rsidP="00EA7FD8">
          <w:pPr>
            <w:pStyle w:val="TOCHeading"/>
            <w:spacing w:line="480" w:lineRule="auto"/>
            <w:rPr>
              <w:rFonts w:ascii="Times New Roman" w:hAnsi="Times New Roman" w:cs="Times New Roman"/>
              <w:color w:val="auto"/>
              <w:sz w:val="24"/>
              <w:szCs w:val="24"/>
            </w:rPr>
          </w:pPr>
          <w:r w:rsidRPr="005A6D79">
            <w:rPr>
              <w:rFonts w:ascii="Times New Roman" w:hAnsi="Times New Roman" w:cs="Times New Roman"/>
              <w:color w:val="auto"/>
              <w:sz w:val="24"/>
              <w:szCs w:val="24"/>
            </w:rPr>
            <w:t>Contents</w:t>
          </w:r>
        </w:p>
        <w:p w14:paraId="7191005F" w14:textId="2E0B9E02" w:rsidR="000437FE" w:rsidRPr="005A6D79"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5A6D79">
            <w:rPr>
              <w:rFonts w:ascii="Times New Roman" w:hAnsi="Times New Roman"/>
              <w:sz w:val="24"/>
              <w:szCs w:val="24"/>
            </w:rPr>
            <w:fldChar w:fldCharType="begin"/>
          </w:r>
          <w:r w:rsidRPr="005A6D79">
            <w:rPr>
              <w:rFonts w:ascii="Times New Roman" w:hAnsi="Times New Roman"/>
              <w:sz w:val="24"/>
              <w:szCs w:val="24"/>
            </w:rPr>
            <w:instrText xml:space="preserve"> TOC \o "1-3" \h \z \u </w:instrText>
          </w:r>
          <w:r w:rsidRPr="005A6D79">
            <w:rPr>
              <w:rFonts w:ascii="Times New Roman" w:hAnsi="Times New Roman"/>
              <w:sz w:val="24"/>
              <w:szCs w:val="24"/>
            </w:rPr>
            <w:fldChar w:fldCharType="separate"/>
          </w:r>
          <w:hyperlink w:anchor="_Toc221201954" w:history="1">
            <w:r w:rsidR="000437FE" w:rsidRPr="005A6D79">
              <w:rPr>
                <w:rStyle w:val="Hyperlink"/>
                <w:rFonts w:ascii="Times New Roman" w:hAnsi="Times New Roman"/>
                <w:noProof/>
                <w:color w:val="auto"/>
                <w:sz w:val="24"/>
                <w:szCs w:val="24"/>
              </w:rPr>
              <w:t>Abstract</w:t>
            </w:r>
            <w:r w:rsidR="000437FE" w:rsidRPr="005A6D79">
              <w:rPr>
                <w:rFonts w:ascii="Times New Roman" w:hAnsi="Times New Roman"/>
                <w:noProof/>
                <w:webHidden/>
                <w:sz w:val="24"/>
                <w:szCs w:val="24"/>
              </w:rPr>
              <w:tab/>
            </w:r>
            <w:r w:rsidR="000437FE" w:rsidRPr="005A6D79">
              <w:rPr>
                <w:rFonts w:ascii="Times New Roman" w:hAnsi="Times New Roman"/>
                <w:noProof/>
                <w:webHidden/>
                <w:sz w:val="24"/>
                <w:szCs w:val="24"/>
              </w:rPr>
              <w:fldChar w:fldCharType="begin"/>
            </w:r>
            <w:r w:rsidR="000437FE" w:rsidRPr="005A6D79">
              <w:rPr>
                <w:rFonts w:ascii="Times New Roman" w:hAnsi="Times New Roman"/>
                <w:noProof/>
                <w:webHidden/>
                <w:sz w:val="24"/>
                <w:szCs w:val="24"/>
              </w:rPr>
              <w:instrText xml:space="preserve"> PAGEREF _Toc221201954 \h </w:instrText>
            </w:r>
            <w:r w:rsidR="000437FE" w:rsidRPr="005A6D79">
              <w:rPr>
                <w:rFonts w:ascii="Times New Roman" w:hAnsi="Times New Roman"/>
                <w:noProof/>
                <w:webHidden/>
                <w:sz w:val="24"/>
                <w:szCs w:val="24"/>
              </w:rPr>
            </w:r>
            <w:r w:rsidR="000437FE" w:rsidRPr="005A6D79">
              <w:rPr>
                <w:rFonts w:ascii="Times New Roman" w:hAnsi="Times New Roman"/>
                <w:noProof/>
                <w:webHidden/>
                <w:sz w:val="24"/>
                <w:szCs w:val="24"/>
              </w:rPr>
              <w:fldChar w:fldCharType="separate"/>
            </w:r>
            <w:r w:rsidR="000437FE" w:rsidRPr="005A6D79">
              <w:rPr>
                <w:rFonts w:ascii="Times New Roman" w:hAnsi="Times New Roman"/>
                <w:noProof/>
                <w:webHidden/>
                <w:sz w:val="24"/>
                <w:szCs w:val="24"/>
              </w:rPr>
              <w:t>2</w:t>
            </w:r>
            <w:r w:rsidR="000437FE" w:rsidRPr="005A6D79">
              <w:rPr>
                <w:rFonts w:ascii="Times New Roman" w:hAnsi="Times New Roman"/>
                <w:noProof/>
                <w:webHidden/>
                <w:sz w:val="24"/>
                <w:szCs w:val="24"/>
              </w:rPr>
              <w:fldChar w:fldCharType="end"/>
            </w:r>
          </w:hyperlink>
        </w:p>
        <w:p w14:paraId="62C82D21" w14:textId="7FCE02C8" w:rsidR="000437FE" w:rsidRPr="005A6D79" w:rsidRDefault="000437FE">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21201955" w:history="1">
            <w:r w:rsidRPr="005A6D79">
              <w:rPr>
                <w:rStyle w:val="Hyperlink"/>
                <w:rFonts w:ascii="Times New Roman" w:hAnsi="Times New Roman"/>
                <w:noProof/>
                <w:color w:val="auto"/>
                <w:sz w:val="24"/>
                <w:szCs w:val="24"/>
              </w:rPr>
              <w:t>1.Introduction</w:t>
            </w:r>
            <w:r w:rsidRPr="005A6D79">
              <w:rPr>
                <w:rFonts w:ascii="Times New Roman" w:hAnsi="Times New Roman"/>
                <w:noProof/>
                <w:webHidden/>
                <w:sz w:val="24"/>
                <w:szCs w:val="24"/>
              </w:rPr>
              <w:tab/>
            </w:r>
            <w:r w:rsidRPr="005A6D79">
              <w:rPr>
                <w:rFonts w:ascii="Times New Roman" w:hAnsi="Times New Roman"/>
                <w:noProof/>
                <w:webHidden/>
                <w:sz w:val="24"/>
                <w:szCs w:val="24"/>
              </w:rPr>
              <w:fldChar w:fldCharType="begin"/>
            </w:r>
            <w:r w:rsidRPr="005A6D79">
              <w:rPr>
                <w:rFonts w:ascii="Times New Roman" w:hAnsi="Times New Roman"/>
                <w:noProof/>
                <w:webHidden/>
                <w:sz w:val="24"/>
                <w:szCs w:val="24"/>
              </w:rPr>
              <w:instrText xml:space="preserve"> PAGEREF _Toc221201955 \h </w:instrText>
            </w:r>
            <w:r w:rsidRPr="005A6D79">
              <w:rPr>
                <w:rFonts w:ascii="Times New Roman" w:hAnsi="Times New Roman"/>
                <w:noProof/>
                <w:webHidden/>
                <w:sz w:val="24"/>
                <w:szCs w:val="24"/>
              </w:rPr>
            </w:r>
            <w:r w:rsidRPr="005A6D79">
              <w:rPr>
                <w:rFonts w:ascii="Times New Roman" w:hAnsi="Times New Roman"/>
                <w:noProof/>
                <w:webHidden/>
                <w:sz w:val="24"/>
                <w:szCs w:val="24"/>
              </w:rPr>
              <w:fldChar w:fldCharType="separate"/>
            </w:r>
            <w:r w:rsidRPr="005A6D79">
              <w:rPr>
                <w:rFonts w:ascii="Times New Roman" w:hAnsi="Times New Roman"/>
                <w:noProof/>
                <w:webHidden/>
                <w:sz w:val="24"/>
                <w:szCs w:val="24"/>
              </w:rPr>
              <w:t>4</w:t>
            </w:r>
            <w:r w:rsidRPr="005A6D79">
              <w:rPr>
                <w:rFonts w:ascii="Times New Roman" w:hAnsi="Times New Roman"/>
                <w:noProof/>
                <w:webHidden/>
                <w:sz w:val="24"/>
                <w:szCs w:val="24"/>
              </w:rPr>
              <w:fldChar w:fldCharType="end"/>
            </w:r>
          </w:hyperlink>
        </w:p>
        <w:p w14:paraId="34782521" w14:textId="4AF2BB27" w:rsidR="000437FE" w:rsidRPr="005A6D79" w:rsidRDefault="000437FE">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21201956" w:history="1">
            <w:r w:rsidRPr="005A6D79">
              <w:rPr>
                <w:rStyle w:val="Hyperlink"/>
                <w:rFonts w:ascii="Times New Roman" w:hAnsi="Times New Roman"/>
                <w:noProof/>
                <w:color w:val="auto"/>
                <w:sz w:val="24"/>
                <w:szCs w:val="24"/>
              </w:rPr>
              <w:t>2. Literature Review</w:t>
            </w:r>
            <w:r w:rsidRPr="005A6D79">
              <w:rPr>
                <w:rFonts w:ascii="Times New Roman" w:hAnsi="Times New Roman"/>
                <w:noProof/>
                <w:webHidden/>
                <w:sz w:val="24"/>
                <w:szCs w:val="24"/>
              </w:rPr>
              <w:tab/>
            </w:r>
            <w:r w:rsidRPr="005A6D79">
              <w:rPr>
                <w:rFonts w:ascii="Times New Roman" w:hAnsi="Times New Roman"/>
                <w:noProof/>
                <w:webHidden/>
                <w:sz w:val="24"/>
                <w:szCs w:val="24"/>
              </w:rPr>
              <w:fldChar w:fldCharType="begin"/>
            </w:r>
            <w:r w:rsidRPr="005A6D79">
              <w:rPr>
                <w:rFonts w:ascii="Times New Roman" w:hAnsi="Times New Roman"/>
                <w:noProof/>
                <w:webHidden/>
                <w:sz w:val="24"/>
                <w:szCs w:val="24"/>
              </w:rPr>
              <w:instrText xml:space="preserve"> PAGEREF _Toc221201956 \h </w:instrText>
            </w:r>
            <w:r w:rsidRPr="005A6D79">
              <w:rPr>
                <w:rFonts w:ascii="Times New Roman" w:hAnsi="Times New Roman"/>
                <w:noProof/>
                <w:webHidden/>
                <w:sz w:val="24"/>
                <w:szCs w:val="24"/>
              </w:rPr>
            </w:r>
            <w:r w:rsidRPr="005A6D79">
              <w:rPr>
                <w:rFonts w:ascii="Times New Roman" w:hAnsi="Times New Roman"/>
                <w:noProof/>
                <w:webHidden/>
                <w:sz w:val="24"/>
                <w:szCs w:val="24"/>
              </w:rPr>
              <w:fldChar w:fldCharType="separate"/>
            </w:r>
            <w:r w:rsidRPr="005A6D79">
              <w:rPr>
                <w:rFonts w:ascii="Times New Roman" w:hAnsi="Times New Roman"/>
                <w:noProof/>
                <w:webHidden/>
                <w:sz w:val="24"/>
                <w:szCs w:val="24"/>
              </w:rPr>
              <w:t>6</w:t>
            </w:r>
            <w:r w:rsidRPr="005A6D79">
              <w:rPr>
                <w:rFonts w:ascii="Times New Roman" w:hAnsi="Times New Roman"/>
                <w:noProof/>
                <w:webHidden/>
                <w:sz w:val="24"/>
                <w:szCs w:val="24"/>
              </w:rPr>
              <w:fldChar w:fldCharType="end"/>
            </w:r>
          </w:hyperlink>
        </w:p>
        <w:p w14:paraId="00352A2D" w14:textId="4718D038" w:rsidR="000437FE" w:rsidRPr="005A6D79" w:rsidRDefault="000437FE">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21201957" w:history="1">
            <w:r w:rsidRPr="005A6D79">
              <w:rPr>
                <w:rStyle w:val="Hyperlink"/>
                <w:rFonts w:ascii="Times New Roman" w:hAnsi="Times New Roman"/>
                <w:noProof/>
                <w:color w:val="auto"/>
                <w:sz w:val="24"/>
                <w:szCs w:val="24"/>
              </w:rPr>
              <w:t>3 Methodology</w:t>
            </w:r>
            <w:r w:rsidRPr="005A6D79">
              <w:rPr>
                <w:rFonts w:ascii="Times New Roman" w:hAnsi="Times New Roman"/>
                <w:noProof/>
                <w:webHidden/>
                <w:sz w:val="24"/>
                <w:szCs w:val="24"/>
              </w:rPr>
              <w:tab/>
            </w:r>
            <w:r w:rsidRPr="005A6D79">
              <w:rPr>
                <w:rFonts w:ascii="Times New Roman" w:hAnsi="Times New Roman"/>
                <w:noProof/>
                <w:webHidden/>
                <w:sz w:val="24"/>
                <w:szCs w:val="24"/>
              </w:rPr>
              <w:fldChar w:fldCharType="begin"/>
            </w:r>
            <w:r w:rsidRPr="005A6D79">
              <w:rPr>
                <w:rFonts w:ascii="Times New Roman" w:hAnsi="Times New Roman"/>
                <w:noProof/>
                <w:webHidden/>
                <w:sz w:val="24"/>
                <w:szCs w:val="24"/>
              </w:rPr>
              <w:instrText xml:space="preserve"> PAGEREF _Toc221201957 \h </w:instrText>
            </w:r>
            <w:r w:rsidRPr="005A6D79">
              <w:rPr>
                <w:rFonts w:ascii="Times New Roman" w:hAnsi="Times New Roman"/>
                <w:noProof/>
                <w:webHidden/>
                <w:sz w:val="24"/>
                <w:szCs w:val="24"/>
              </w:rPr>
            </w:r>
            <w:r w:rsidRPr="005A6D79">
              <w:rPr>
                <w:rFonts w:ascii="Times New Roman" w:hAnsi="Times New Roman"/>
                <w:noProof/>
                <w:webHidden/>
                <w:sz w:val="24"/>
                <w:szCs w:val="24"/>
              </w:rPr>
              <w:fldChar w:fldCharType="separate"/>
            </w:r>
            <w:r w:rsidRPr="005A6D79">
              <w:rPr>
                <w:rFonts w:ascii="Times New Roman" w:hAnsi="Times New Roman"/>
                <w:noProof/>
                <w:webHidden/>
                <w:sz w:val="24"/>
                <w:szCs w:val="24"/>
              </w:rPr>
              <w:t>11</w:t>
            </w:r>
            <w:r w:rsidRPr="005A6D79">
              <w:rPr>
                <w:rFonts w:ascii="Times New Roman" w:hAnsi="Times New Roman"/>
                <w:noProof/>
                <w:webHidden/>
                <w:sz w:val="24"/>
                <w:szCs w:val="24"/>
              </w:rPr>
              <w:fldChar w:fldCharType="end"/>
            </w:r>
          </w:hyperlink>
        </w:p>
        <w:p w14:paraId="129FA2E5" w14:textId="6EAB7FFE" w:rsidR="000437FE" w:rsidRPr="005A6D79" w:rsidRDefault="000437FE">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21201958" w:history="1">
            <w:r w:rsidRPr="005A6D79">
              <w:rPr>
                <w:rStyle w:val="Hyperlink"/>
                <w:rFonts w:ascii="Times New Roman" w:hAnsi="Times New Roman"/>
                <w:noProof/>
                <w:color w:val="auto"/>
                <w:sz w:val="24"/>
                <w:szCs w:val="24"/>
              </w:rPr>
              <w:t>4 Finding</w:t>
            </w:r>
            <w:r w:rsidRPr="005A6D79">
              <w:rPr>
                <w:rFonts w:ascii="Times New Roman" w:hAnsi="Times New Roman"/>
                <w:noProof/>
                <w:webHidden/>
                <w:sz w:val="24"/>
                <w:szCs w:val="24"/>
              </w:rPr>
              <w:tab/>
            </w:r>
            <w:r w:rsidRPr="005A6D79">
              <w:rPr>
                <w:rFonts w:ascii="Times New Roman" w:hAnsi="Times New Roman"/>
                <w:noProof/>
                <w:webHidden/>
                <w:sz w:val="24"/>
                <w:szCs w:val="24"/>
              </w:rPr>
              <w:fldChar w:fldCharType="begin"/>
            </w:r>
            <w:r w:rsidRPr="005A6D79">
              <w:rPr>
                <w:rFonts w:ascii="Times New Roman" w:hAnsi="Times New Roman"/>
                <w:noProof/>
                <w:webHidden/>
                <w:sz w:val="24"/>
                <w:szCs w:val="24"/>
              </w:rPr>
              <w:instrText xml:space="preserve"> PAGEREF _Toc221201958 \h </w:instrText>
            </w:r>
            <w:r w:rsidRPr="005A6D79">
              <w:rPr>
                <w:rFonts w:ascii="Times New Roman" w:hAnsi="Times New Roman"/>
                <w:noProof/>
                <w:webHidden/>
                <w:sz w:val="24"/>
                <w:szCs w:val="24"/>
              </w:rPr>
            </w:r>
            <w:r w:rsidRPr="005A6D79">
              <w:rPr>
                <w:rFonts w:ascii="Times New Roman" w:hAnsi="Times New Roman"/>
                <w:noProof/>
                <w:webHidden/>
                <w:sz w:val="24"/>
                <w:szCs w:val="24"/>
              </w:rPr>
              <w:fldChar w:fldCharType="separate"/>
            </w:r>
            <w:r w:rsidRPr="005A6D79">
              <w:rPr>
                <w:rFonts w:ascii="Times New Roman" w:hAnsi="Times New Roman"/>
                <w:noProof/>
                <w:webHidden/>
                <w:sz w:val="24"/>
                <w:szCs w:val="24"/>
              </w:rPr>
              <w:t>15</w:t>
            </w:r>
            <w:r w:rsidRPr="005A6D79">
              <w:rPr>
                <w:rFonts w:ascii="Times New Roman" w:hAnsi="Times New Roman"/>
                <w:noProof/>
                <w:webHidden/>
                <w:sz w:val="24"/>
                <w:szCs w:val="24"/>
              </w:rPr>
              <w:fldChar w:fldCharType="end"/>
            </w:r>
          </w:hyperlink>
        </w:p>
        <w:p w14:paraId="1138D48E" w14:textId="50146812" w:rsidR="000437FE" w:rsidRPr="005A6D79" w:rsidRDefault="000437FE">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21201959" w:history="1">
            <w:r w:rsidRPr="005A6D79">
              <w:rPr>
                <w:rStyle w:val="Hyperlink"/>
                <w:rFonts w:ascii="Times New Roman" w:hAnsi="Times New Roman"/>
                <w:noProof/>
                <w:color w:val="auto"/>
                <w:sz w:val="24"/>
                <w:szCs w:val="24"/>
              </w:rPr>
              <w:t>5. Discussion</w:t>
            </w:r>
            <w:r w:rsidRPr="005A6D79">
              <w:rPr>
                <w:rFonts w:ascii="Times New Roman" w:hAnsi="Times New Roman"/>
                <w:noProof/>
                <w:webHidden/>
                <w:sz w:val="24"/>
                <w:szCs w:val="24"/>
              </w:rPr>
              <w:tab/>
            </w:r>
            <w:r w:rsidRPr="005A6D79">
              <w:rPr>
                <w:rFonts w:ascii="Times New Roman" w:hAnsi="Times New Roman"/>
                <w:noProof/>
                <w:webHidden/>
                <w:sz w:val="24"/>
                <w:szCs w:val="24"/>
              </w:rPr>
              <w:fldChar w:fldCharType="begin"/>
            </w:r>
            <w:r w:rsidRPr="005A6D79">
              <w:rPr>
                <w:rFonts w:ascii="Times New Roman" w:hAnsi="Times New Roman"/>
                <w:noProof/>
                <w:webHidden/>
                <w:sz w:val="24"/>
                <w:szCs w:val="24"/>
              </w:rPr>
              <w:instrText xml:space="preserve"> PAGEREF _Toc221201959 \h </w:instrText>
            </w:r>
            <w:r w:rsidRPr="005A6D79">
              <w:rPr>
                <w:rFonts w:ascii="Times New Roman" w:hAnsi="Times New Roman"/>
                <w:noProof/>
                <w:webHidden/>
                <w:sz w:val="24"/>
                <w:szCs w:val="24"/>
              </w:rPr>
            </w:r>
            <w:r w:rsidRPr="005A6D79">
              <w:rPr>
                <w:rFonts w:ascii="Times New Roman" w:hAnsi="Times New Roman"/>
                <w:noProof/>
                <w:webHidden/>
                <w:sz w:val="24"/>
                <w:szCs w:val="24"/>
              </w:rPr>
              <w:fldChar w:fldCharType="separate"/>
            </w:r>
            <w:r w:rsidRPr="005A6D79">
              <w:rPr>
                <w:rFonts w:ascii="Times New Roman" w:hAnsi="Times New Roman"/>
                <w:noProof/>
                <w:webHidden/>
                <w:sz w:val="24"/>
                <w:szCs w:val="24"/>
              </w:rPr>
              <w:t>17</w:t>
            </w:r>
            <w:r w:rsidRPr="005A6D79">
              <w:rPr>
                <w:rFonts w:ascii="Times New Roman" w:hAnsi="Times New Roman"/>
                <w:noProof/>
                <w:webHidden/>
                <w:sz w:val="24"/>
                <w:szCs w:val="24"/>
              </w:rPr>
              <w:fldChar w:fldCharType="end"/>
            </w:r>
          </w:hyperlink>
        </w:p>
        <w:p w14:paraId="4C3F179E" w14:textId="458813BB" w:rsidR="000437FE" w:rsidRPr="005A6D79" w:rsidRDefault="000437FE">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21201960" w:history="1">
            <w:r w:rsidRPr="005A6D79">
              <w:rPr>
                <w:rStyle w:val="Hyperlink"/>
                <w:rFonts w:ascii="Times New Roman" w:hAnsi="Times New Roman"/>
                <w:noProof/>
                <w:color w:val="auto"/>
                <w:sz w:val="24"/>
                <w:szCs w:val="24"/>
              </w:rPr>
              <w:t>6. Conclusion</w:t>
            </w:r>
            <w:r w:rsidRPr="005A6D79">
              <w:rPr>
                <w:rFonts w:ascii="Times New Roman" w:hAnsi="Times New Roman"/>
                <w:noProof/>
                <w:webHidden/>
                <w:sz w:val="24"/>
                <w:szCs w:val="24"/>
              </w:rPr>
              <w:tab/>
            </w:r>
            <w:r w:rsidRPr="005A6D79">
              <w:rPr>
                <w:rFonts w:ascii="Times New Roman" w:hAnsi="Times New Roman"/>
                <w:noProof/>
                <w:webHidden/>
                <w:sz w:val="24"/>
                <w:szCs w:val="24"/>
              </w:rPr>
              <w:fldChar w:fldCharType="begin"/>
            </w:r>
            <w:r w:rsidRPr="005A6D79">
              <w:rPr>
                <w:rFonts w:ascii="Times New Roman" w:hAnsi="Times New Roman"/>
                <w:noProof/>
                <w:webHidden/>
                <w:sz w:val="24"/>
                <w:szCs w:val="24"/>
              </w:rPr>
              <w:instrText xml:space="preserve"> PAGEREF _Toc221201960 \h </w:instrText>
            </w:r>
            <w:r w:rsidRPr="005A6D79">
              <w:rPr>
                <w:rFonts w:ascii="Times New Roman" w:hAnsi="Times New Roman"/>
                <w:noProof/>
                <w:webHidden/>
                <w:sz w:val="24"/>
                <w:szCs w:val="24"/>
              </w:rPr>
            </w:r>
            <w:r w:rsidRPr="005A6D79">
              <w:rPr>
                <w:rFonts w:ascii="Times New Roman" w:hAnsi="Times New Roman"/>
                <w:noProof/>
                <w:webHidden/>
                <w:sz w:val="24"/>
                <w:szCs w:val="24"/>
              </w:rPr>
              <w:fldChar w:fldCharType="separate"/>
            </w:r>
            <w:r w:rsidRPr="005A6D79">
              <w:rPr>
                <w:rFonts w:ascii="Times New Roman" w:hAnsi="Times New Roman"/>
                <w:noProof/>
                <w:webHidden/>
                <w:sz w:val="24"/>
                <w:szCs w:val="24"/>
              </w:rPr>
              <w:t>19</w:t>
            </w:r>
            <w:r w:rsidRPr="005A6D79">
              <w:rPr>
                <w:rFonts w:ascii="Times New Roman" w:hAnsi="Times New Roman"/>
                <w:noProof/>
                <w:webHidden/>
                <w:sz w:val="24"/>
                <w:szCs w:val="24"/>
              </w:rPr>
              <w:fldChar w:fldCharType="end"/>
            </w:r>
          </w:hyperlink>
        </w:p>
        <w:p w14:paraId="2B79F819" w14:textId="469C38D9" w:rsidR="000437FE" w:rsidRPr="005A6D79" w:rsidRDefault="000437FE">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21201961" w:history="1">
            <w:r w:rsidRPr="005A6D79">
              <w:rPr>
                <w:rStyle w:val="Hyperlink"/>
                <w:rFonts w:ascii="Times New Roman" w:hAnsi="Times New Roman"/>
                <w:noProof/>
                <w:color w:val="auto"/>
                <w:sz w:val="24"/>
                <w:szCs w:val="24"/>
              </w:rPr>
              <w:t>Reference List</w:t>
            </w:r>
            <w:r w:rsidRPr="005A6D79">
              <w:rPr>
                <w:rFonts w:ascii="Times New Roman" w:hAnsi="Times New Roman"/>
                <w:noProof/>
                <w:webHidden/>
                <w:sz w:val="24"/>
                <w:szCs w:val="24"/>
              </w:rPr>
              <w:tab/>
            </w:r>
            <w:r w:rsidRPr="005A6D79">
              <w:rPr>
                <w:rFonts w:ascii="Times New Roman" w:hAnsi="Times New Roman"/>
                <w:noProof/>
                <w:webHidden/>
                <w:sz w:val="24"/>
                <w:szCs w:val="24"/>
              </w:rPr>
              <w:fldChar w:fldCharType="begin"/>
            </w:r>
            <w:r w:rsidRPr="005A6D79">
              <w:rPr>
                <w:rFonts w:ascii="Times New Roman" w:hAnsi="Times New Roman"/>
                <w:noProof/>
                <w:webHidden/>
                <w:sz w:val="24"/>
                <w:szCs w:val="24"/>
              </w:rPr>
              <w:instrText xml:space="preserve"> PAGEREF _Toc221201961 \h </w:instrText>
            </w:r>
            <w:r w:rsidRPr="005A6D79">
              <w:rPr>
                <w:rFonts w:ascii="Times New Roman" w:hAnsi="Times New Roman"/>
                <w:noProof/>
                <w:webHidden/>
                <w:sz w:val="24"/>
                <w:szCs w:val="24"/>
              </w:rPr>
            </w:r>
            <w:r w:rsidRPr="005A6D79">
              <w:rPr>
                <w:rFonts w:ascii="Times New Roman" w:hAnsi="Times New Roman"/>
                <w:noProof/>
                <w:webHidden/>
                <w:sz w:val="24"/>
                <w:szCs w:val="24"/>
              </w:rPr>
              <w:fldChar w:fldCharType="separate"/>
            </w:r>
            <w:r w:rsidRPr="005A6D79">
              <w:rPr>
                <w:rFonts w:ascii="Times New Roman" w:hAnsi="Times New Roman"/>
                <w:noProof/>
                <w:webHidden/>
                <w:sz w:val="24"/>
                <w:szCs w:val="24"/>
              </w:rPr>
              <w:t>20</w:t>
            </w:r>
            <w:r w:rsidRPr="005A6D79">
              <w:rPr>
                <w:rFonts w:ascii="Times New Roman" w:hAnsi="Times New Roman"/>
                <w:noProof/>
                <w:webHidden/>
                <w:sz w:val="24"/>
                <w:szCs w:val="24"/>
              </w:rPr>
              <w:fldChar w:fldCharType="end"/>
            </w:r>
          </w:hyperlink>
        </w:p>
        <w:p w14:paraId="646EF9D8" w14:textId="012FB220" w:rsidR="004D7D13" w:rsidRPr="005A6D79" w:rsidRDefault="004D7D13" w:rsidP="00013DBD">
          <w:pPr>
            <w:spacing w:line="480" w:lineRule="auto"/>
            <w:rPr>
              <w:rFonts w:ascii="Times New Roman" w:hAnsi="Times New Roman" w:cs="Times New Roman"/>
              <w:szCs w:val="24"/>
            </w:rPr>
          </w:pPr>
          <w:r w:rsidRPr="005A6D79">
            <w:rPr>
              <w:rFonts w:ascii="Times New Roman" w:hAnsi="Times New Roman" w:cs="Times New Roman"/>
              <w:noProof/>
              <w:szCs w:val="24"/>
            </w:rPr>
            <w:fldChar w:fldCharType="end"/>
          </w:r>
        </w:p>
      </w:sdtContent>
    </w:sdt>
    <w:p w14:paraId="1EDA022C" w14:textId="77777777" w:rsidR="004D7D13" w:rsidRPr="005A6D79" w:rsidRDefault="004D7D13" w:rsidP="00013DBD">
      <w:pPr>
        <w:spacing w:line="480" w:lineRule="auto"/>
        <w:rPr>
          <w:rFonts w:ascii="Times New Roman" w:hAnsi="Times New Roman" w:cs="Times New Roman"/>
          <w:szCs w:val="24"/>
        </w:rPr>
      </w:pPr>
    </w:p>
    <w:p w14:paraId="19B15F5F" w14:textId="77777777" w:rsidR="0095171B" w:rsidRPr="005A6D79" w:rsidRDefault="0095171B" w:rsidP="00013DBD">
      <w:pPr>
        <w:spacing w:line="480" w:lineRule="auto"/>
        <w:rPr>
          <w:rFonts w:ascii="Times New Roman" w:hAnsi="Times New Roman" w:cs="Times New Roman"/>
          <w:szCs w:val="24"/>
        </w:rPr>
      </w:pPr>
    </w:p>
    <w:p w14:paraId="73636B03" w14:textId="77777777" w:rsidR="0095171B" w:rsidRPr="005A6D79" w:rsidRDefault="0095171B" w:rsidP="00013DBD">
      <w:pPr>
        <w:spacing w:line="480" w:lineRule="auto"/>
        <w:rPr>
          <w:rFonts w:ascii="Times New Roman" w:hAnsi="Times New Roman" w:cs="Times New Roman"/>
          <w:szCs w:val="24"/>
        </w:rPr>
      </w:pPr>
      <w:r w:rsidRPr="005A6D79">
        <w:rPr>
          <w:rFonts w:ascii="Times New Roman" w:hAnsi="Times New Roman" w:cs="Times New Roman"/>
          <w:szCs w:val="24"/>
        </w:rPr>
        <w:br w:type="page"/>
      </w:r>
    </w:p>
    <w:p w14:paraId="48512045" w14:textId="2774FE42" w:rsidR="00B06124" w:rsidRPr="005A6D79" w:rsidRDefault="000E04F4" w:rsidP="00B06124">
      <w:pPr>
        <w:spacing w:line="480" w:lineRule="auto"/>
        <w:rPr>
          <w:rFonts w:ascii="Times New Roman" w:hAnsi="Times New Roman" w:cs="Times New Roman"/>
          <w:szCs w:val="24"/>
        </w:rPr>
      </w:pPr>
      <w:bookmarkStart w:id="1" w:name="_Toc221201955"/>
      <w:r w:rsidRPr="005A6D79">
        <w:rPr>
          <w:rStyle w:val="Heading1Char"/>
          <w:rFonts w:ascii="Times New Roman" w:hAnsi="Times New Roman" w:cs="Times New Roman"/>
          <w:b/>
          <w:bCs/>
          <w:color w:val="auto"/>
          <w:sz w:val="24"/>
          <w:szCs w:val="24"/>
        </w:rPr>
        <w:lastRenderedPageBreak/>
        <w:t>1</w:t>
      </w:r>
      <w:r w:rsidR="004D7D13" w:rsidRPr="005A6D79">
        <w:rPr>
          <w:rStyle w:val="Heading1Char"/>
          <w:rFonts w:ascii="Times New Roman" w:hAnsi="Times New Roman" w:cs="Times New Roman"/>
          <w:b/>
          <w:bCs/>
          <w:color w:val="auto"/>
          <w:sz w:val="24"/>
          <w:szCs w:val="24"/>
        </w:rPr>
        <w:t>.</w:t>
      </w:r>
      <w:r w:rsidR="0095171B" w:rsidRPr="005A6D79">
        <w:rPr>
          <w:rStyle w:val="Heading1Char"/>
          <w:rFonts w:ascii="Times New Roman" w:hAnsi="Times New Roman" w:cs="Times New Roman"/>
          <w:b/>
          <w:bCs/>
          <w:color w:val="auto"/>
          <w:sz w:val="24"/>
          <w:szCs w:val="24"/>
        </w:rPr>
        <w:t>Introduction</w:t>
      </w:r>
      <w:bookmarkEnd w:id="1"/>
      <w:r w:rsidR="0095171B" w:rsidRPr="005A6D79">
        <w:rPr>
          <w:rStyle w:val="Heading1Char"/>
          <w:rFonts w:ascii="Times New Roman" w:hAnsi="Times New Roman" w:cs="Times New Roman"/>
          <w:color w:val="auto"/>
          <w:sz w:val="24"/>
          <w:szCs w:val="24"/>
        </w:rPr>
        <w:t xml:space="preserve"> </w:t>
      </w:r>
    </w:p>
    <w:p w14:paraId="2226C63C" w14:textId="77777777" w:rsidR="008F0FCA" w:rsidRPr="008F0FCA" w:rsidRDefault="008F0FCA" w:rsidP="008F0FCA">
      <w:pPr>
        <w:spacing w:line="480" w:lineRule="auto"/>
        <w:rPr>
          <w:rFonts w:ascii="Times New Roman" w:hAnsi="Times New Roman" w:cs="Times New Roman"/>
          <w:szCs w:val="24"/>
        </w:rPr>
      </w:pPr>
      <w:bookmarkStart w:id="2" w:name="_Toc221201956"/>
      <w:r w:rsidRPr="008F0FCA">
        <w:rPr>
          <w:rFonts w:ascii="Times New Roman" w:hAnsi="Times New Roman" w:cs="Times New Roman"/>
          <w:szCs w:val="24"/>
        </w:rPr>
        <w:t>The tourism industry is a highly complex and service-intensive sector that involves continuous interaction between businesses and consumers. Tourism operators, including hotels, airlines, tour guides, cruise companies, and adventure tourism providers, owe legal duties to their customers due to the nature of the services they provide. These services frequently involve transportation, accommodation, and recreational activities that carry inherent risks to personal safety and property. As a result, liability and legal risk management have become central issues in tourism law and business operations (Dickerson, 2021).</w:t>
      </w:r>
    </w:p>
    <w:p w14:paraId="448FB72D" w14:textId="77777777" w:rsidR="008F0FCA" w:rsidRPr="008F0FCA" w:rsidRDefault="008F0FCA" w:rsidP="008F0FCA">
      <w:pPr>
        <w:spacing w:line="480" w:lineRule="auto"/>
        <w:rPr>
          <w:rFonts w:ascii="Times New Roman" w:hAnsi="Times New Roman" w:cs="Times New Roman"/>
          <w:szCs w:val="24"/>
        </w:rPr>
      </w:pPr>
      <w:r w:rsidRPr="008F0FCA">
        <w:rPr>
          <w:rFonts w:ascii="Times New Roman" w:hAnsi="Times New Roman" w:cs="Times New Roman"/>
          <w:szCs w:val="24"/>
        </w:rPr>
        <w:t xml:space="preserve">Liability in tourism law refers to the legal responsibility of tourism businesses for harm, loss, or damage suffered by customers </w:t>
      </w:r>
      <w:proofErr w:type="gramStart"/>
      <w:r w:rsidRPr="008F0FCA">
        <w:rPr>
          <w:rFonts w:ascii="Times New Roman" w:hAnsi="Times New Roman" w:cs="Times New Roman"/>
          <w:szCs w:val="24"/>
        </w:rPr>
        <w:t>as a result of</w:t>
      </w:r>
      <w:proofErr w:type="gramEnd"/>
      <w:r w:rsidRPr="008F0FCA">
        <w:rPr>
          <w:rFonts w:ascii="Times New Roman" w:hAnsi="Times New Roman" w:cs="Times New Roman"/>
          <w:szCs w:val="24"/>
        </w:rPr>
        <w:t xml:space="preserve"> service failure, unsafe conditions, or breach of contractual obligations. Tourism operators are expected to exercise a duty of care to ensure that services are delivered safely and in accordance with reasonable industry standards. Failure to meet this duty can result in legal claims for negligence, breach of contract, or statutory violations (Poole, 2020). Given the international nature of tourism, liability issues are often further complicated by jurisdictional differences and cross-border legal frameworks.</w:t>
      </w:r>
    </w:p>
    <w:p w14:paraId="587308D8" w14:textId="77777777" w:rsidR="008F0FCA" w:rsidRPr="008F0FCA" w:rsidRDefault="008F0FCA" w:rsidP="008F0FCA">
      <w:pPr>
        <w:spacing w:line="480" w:lineRule="auto"/>
        <w:rPr>
          <w:rFonts w:ascii="Times New Roman" w:hAnsi="Times New Roman" w:cs="Times New Roman"/>
          <w:szCs w:val="24"/>
        </w:rPr>
      </w:pPr>
      <w:r w:rsidRPr="008F0FCA">
        <w:rPr>
          <w:rFonts w:ascii="Times New Roman" w:hAnsi="Times New Roman" w:cs="Times New Roman"/>
          <w:szCs w:val="24"/>
        </w:rPr>
        <w:t>Tourism businesses face a variety of legal risks, with personal injury claims being among the most common. Slip-and-fall accidents in hotels, transportation-related injuries, food safety incidents, and injuries during guided tours or adventure activities frequently give rise to litigation. In addition to personal injury, tourism operators may face liability for property damage, loss of personal belongings, and failure to provide contracted services. Courts increasingly scrutinise whether tourism providers have implemented adequate safety measures and risk management systems (Hall, 2019).</w:t>
      </w:r>
    </w:p>
    <w:p w14:paraId="50273BF5" w14:textId="77777777" w:rsidR="008F0FCA" w:rsidRPr="008F0FCA" w:rsidRDefault="008F0FCA" w:rsidP="008F0FCA">
      <w:pPr>
        <w:spacing w:line="480" w:lineRule="auto"/>
        <w:rPr>
          <w:rFonts w:ascii="Times New Roman" w:hAnsi="Times New Roman" w:cs="Times New Roman"/>
          <w:szCs w:val="24"/>
        </w:rPr>
      </w:pPr>
      <w:r w:rsidRPr="008F0FCA">
        <w:rPr>
          <w:rFonts w:ascii="Times New Roman" w:hAnsi="Times New Roman" w:cs="Times New Roman"/>
          <w:szCs w:val="24"/>
        </w:rPr>
        <w:lastRenderedPageBreak/>
        <w:t>Key legal principles underpinning tourism liability include negligence, strict liability, and vicarious liability. Negligence arises when a tourism operator fails to meet the required standard of care, resulting in foreseeable harm to a customer. Strict liability may apply in cases involving inherently dangerous activities, where liability is imposed regardless of fault. Vicarious liability extends responsibility to employers for the actions of employees or agents acting within the scope of their duties (McDonald, 2020). These principles play a decisive role in shaping judicial outcomes in tourism-related disputes.</w:t>
      </w:r>
    </w:p>
    <w:p w14:paraId="0C33F8A7" w14:textId="77777777" w:rsidR="008F0FCA" w:rsidRPr="008F0FCA" w:rsidRDefault="008F0FCA" w:rsidP="008F0FCA">
      <w:pPr>
        <w:spacing w:line="480" w:lineRule="auto"/>
        <w:rPr>
          <w:rFonts w:ascii="Times New Roman" w:hAnsi="Times New Roman" w:cs="Times New Roman"/>
          <w:szCs w:val="24"/>
        </w:rPr>
      </w:pPr>
      <w:r w:rsidRPr="008F0FCA">
        <w:rPr>
          <w:rFonts w:ascii="Times New Roman" w:hAnsi="Times New Roman" w:cs="Times New Roman"/>
          <w:szCs w:val="24"/>
        </w:rPr>
        <w:t>To reduce exposure to legal risk, tourism businesses increasingly rely on risk mitigation strategies such as liability insurance, contractual waivers, limitation clauses, and structured risk management practices. While such measures can reduce financial exposure, they do not eliminate the duty of care owed to consumers. Courts often assess the fairness and enforceability of waivers and contractual exclusions, particularly where consumer protection considerations apply (Weatherill, 2020).</w:t>
      </w:r>
    </w:p>
    <w:p w14:paraId="40D6DF8E" w14:textId="77777777" w:rsidR="008F0FCA" w:rsidRPr="008F0FCA" w:rsidRDefault="008F0FCA" w:rsidP="008F0FCA">
      <w:pPr>
        <w:spacing w:line="480" w:lineRule="auto"/>
        <w:rPr>
          <w:rFonts w:ascii="Times New Roman" w:hAnsi="Times New Roman" w:cs="Times New Roman"/>
          <w:szCs w:val="24"/>
        </w:rPr>
      </w:pPr>
      <w:r w:rsidRPr="008F0FCA">
        <w:rPr>
          <w:rFonts w:ascii="Times New Roman" w:hAnsi="Times New Roman" w:cs="Times New Roman"/>
          <w:szCs w:val="24"/>
        </w:rPr>
        <w:t>This assignment critically examines liability and legal risks in the tourism industry by analysing legal principles, business responsibilities, and real-world case outcomes. Through this analysis, the study demonstrates how effective liability management is essential for protecting consumers, ensuring legal compliance, and maintaining sustainable tourism operations.</w:t>
      </w:r>
    </w:p>
    <w:p w14:paraId="76DC4FC0" w14:textId="77777777" w:rsidR="008F0FCA" w:rsidRPr="005A6D79" w:rsidRDefault="008F0FCA" w:rsidP="00887242">
      <w:pPr>
        <w:spacing w:line="480" w:lineRule="auto"/>
        <w:rPr>
          <w:rStyle w:val="Heading1Char"/>
          <w:rFonts w:ascii="Times New Roman" w:hAnsi="Times New Roman" w:cs="Times New Roman"/>
          <w:b/>
          <w:bCs/>
          <w:color w:val="auto"/>
          <w:sz w:val="24"/>
          <w:szCs w:val="24"/>
        </w:rPr>
      </w:pPr>
    </w:p>
    <w:p w14:paraId="1373A239" w14:textId="77777777" w:rsidR="008F0FCA" w:rsidRPr="005A6D79" w:rsidRDefault="008F0FCA" w:rsidP="00887242">
      <w:pPr>
        <w:spacing w:line="480" w:lineRule="auto"/>
        <w:rPr>
          <w:rStyle w:val="Heading1Char"/>
          <w:rFonts w:ascii="Times New Roman" w:hAnsi="Times New Roman" w:cs="Times New Roman"/>
          <w:b/>
          <w:bCs/>
          <w:color w:val="auto"/>
          <w:sz w:val="24"/>
          <w:szCs w:val="24"/>
        </w:rPr>
      </w:pPr>
    </w:p>
    <w:p w14:paraId="1CDF03AD" w14:textId="77777777" w:rsidR="008F0FCA" w:rsidRPr="005A6D79" w:rsidRDefault="008F0FCA" w:rsidP="00887242">
      <w:pPr>
        <w:spacing w:line="480" w:lineRule="auto"/>
        <w:rPr>
          <w:rStyle w:val="Heading1Char"/>
          <w:rFonts w:ascii="Times New Roman" w:hAnsi="Times New Roman" w:cs="Times New Roman"/>
          <w:b/>
          <w:bCs/>
          <w:color w:val="auto"/>
          <w:sz w:val="24"/>
          <w:szCs w:val="24"/>
        </w:rPr>
      </w:pPr>
    </w:p>
    <w:p w14:paraId="45D7C749" w14:textId="77777777" w:rsidR="008F0FCA" w:rsidRPr="005A6D79" w:rsidRDefault="008F0FCA" w:rsidP="00887242">
      <w:pPr>
        <w:spacing w:line="480" w:lineRule="auto"/>
        <w:rPr>
          <w:rStyle w:val="Heading1Char"/>
          <w:rFonts w:ascii="Times New Roman" w:hAnsi="Times New Roman" w:cs="Times New Roman"/>
          <w:b/>
          <w:bCs/>
          <w:color w:val="auto"/>
          <w:sz w:val="24"/>
          <w:szCs w:val="24"/>
        </w:rPr>
      </w:pPr>
    </w:p>
    <w:p w14:paraId="174C2D9D" w14:textId="77777777" w:rsidR="0011588B" w:rsidRPr="005A6D79" w:rsidRDefault="000E04F4" w:rsidP="0011588B">
      <w:pPr>
        <w:spacing w:line="480" w:lineRule="auto"/>
        <w:rPr>
          <w:rFonts w:ascii="Times New Roman" w:hAnsi="Times New Roman" w:cs="Times New Roman"/>
          <w:szCs w:val="24"/>
        </w:rPr>
      </w:pPr>
      <w:r w:rsidRPr="005A6D79">
        <w:rPr>
          <w:rStyle w:val="Heading1Char"/>
          <w:rFonts w:ascii="Times New Roman" w:hAnsi="Times New Roman" w:cs="Times New Roman"/>
          <w:b/>
          <w:bCs/>
          <w:color w:val="auto"/>
          <w:sz w:val="24"/>
          <w:szCs w:val="24"/>
        </w:rPr>
        <w:lastRenderedPageBreak/>
        <w:t>2</w:t>
      </w:r>
      <w:r w:rsidR="0095171B" w:rsidRPr="005A6D79">
        <w:rPr>
          <w:rStyle w:val="Heading1Char"/>
          <w:rFonts w:ascii="Times New Roman" w:hAnsi="Times New Roman" w:cs="Times New Roman"/>
          <w:b/>
          <w:bCs/>
          <w:color w:val="auto"/>
          <w:sz w:val="24"/>
          <w:szCs w:val="24"/>
        </w:rPr>
        <w:t>. Literature Review</w:t>
      </w:r>
      <w:bookmarkEnd w:id="2"/>
      <w:r w:rsidR="0095171B" w:rsidRPr="005A6D79">
        <w:rPr>
          <w:rFonts w:ascii="Times New Roman" w:hAnsi="Times New Roman" w:cs="Times New Roman"/>
          <w:szCs w:val="24"/>
        </w:rPr>
        <w:t xml:space="preserve"> </w:t>
      </w:r>
      <w:r w:rsidR="0095171B" w:rsidRPr="005A6D79">
        <w:rPr>
          <w:rFonts w:ascii="Times New Roman" w:hAnsi="Times New Roman" w:cs="Times New Roman"/>
          <w:szCs w:val="24"/>
        </w:rPr>
        <w:br/>
      </w:r>
      <w:bookmarkStart w:id="3" w:name="_Toc221201957"/>
      <w:r w:rsidR="0011588B" w:rsidRPr="005A6D79">
        <w:rPr>
          <w:rFonts w:ascii="Times New Roman" w:hAnsi="Times New Roman" w:cs="Times New Roman"/>
          <w:szCs w:val="24"/>
        </w:rPr>
        <w:t>Liability and legal risk in the tourism industry have attracted growing academic attention due to the sector’s exposure to physical, contractual, and operational hazards. Tourism services frequently involve transportation, accommodation, food services, and recreational activities, all of which present potential risks to consumers. Scholars argue that the service-intensive and experiential nature of tourism significantly increases the likelihood of legal disputes compared to many other industries (Dickerson, 2021). As tourism markets expand globally and diversify into adventure and experience-based offerings, understanding liability principles has become essential for both legal scholars and tourism practitioners.</w:t>
      </w:r>
    </w:p>
    <w:p w14:paraId="607EACE9" w14:textId="77777777" w:rsidR="0011588B" w:rsidRPr="0011588B" w:rsidRDefault="0011588B" w:rsidP="0011588B">
      <w:pPr>
        <w:spacing w:line="480" w:lineRule="auto"/>
        <w:rPr>
          <w:rFonts w:ascii="Times New Roman" w:hAnsi="Times New Roman" w:cs="Times New Roman"/>
          <w:b/>
          <w:bCs/>
          <w:szCs w:val="24"/>
        </w:rPr>
      </w:pPr>
      <w:r w:rsidRPr="0011588B">
        <w:rPr>
          <w:rFonts w:ascii="Times New Roman" w:hAnsi="Times New Roman" w:cs="Times New Roman"/>
          <w:b/>
          <w:bCs/>
          <w:szCs w:val="24"/>
        </w:rPr>
        <w:t>Conceptual Foundations of Liability in Tourism Law</w:t>
      </w:r>
    </w:p>
    <w:p w14:paraId="76BC4E6B" w14:textId="77777777" w:rsidR="0011588B" w:rsidRPr="0011588B" w:rsidRDefault="0011588B" w:rsidP="0011588B">
      <w:pPr>
        <w:spacing w:line="480" w:lineRule="auto"/>
        <w:rPr>
          <w:rFonts w:ascii="Times New Roman" w:hAnsi="Times New Roman" w:cs="Times New Roman"/>
          <w:szCs w:val="24"/>
        </w:rPr>
      </w:pPr>
      <w:r w:rsidRPr="0011588B">
        <w:rPr>
          <w:rFonts w:ascii="Times New Roman" w:hAnsi="Times New Roman" w:cs="Times New Roman"/>
          <w:szCs w:val="24"/>
        </w:rPr>
        <w:t>Liability in tourism law refers to the legal responsibility of tourism operators and service providers for harm, loss, or damage suffered by customers. Academic literature distinguishes tourism liability from general commercial liability due to the heightened duty of care owed by tourism businesses. Unlike the sale of tangible goods, tourism services often involve close physical interaction and customer dependence on provider expertise, which increases expectations of safety and professionalism (Poole, 2020).</w:t>
      </w:r>
    </w:p>
    <w:p w14:paraId="31194EAA" w14:textId="77777777" w:rsidR="0011588B" w:rsidRPr="0011588B" w:rsidRDefault="0011588B" w:rsidP="0011588B">
      <w:pPr>
        <w:spacing w:line="480" w:lineRule="auto"/>
        <w:rPr>
          <w:rFonts w:ascii="Times New Roman" w:hAnsi="Times New Roman" w:cs="Times New Roman"/>
          <w:szCs w:val="24"/>
        </w:rPr>
      </w:pPr>
      <w:r w:rsidRPr="0011588B">
        <w:rPr>
          <w:rFonts w:ascii="Times New Roman" w:hAnsi="Times New Roman" w:cs="Times New Roman"/>
          <w:szCs w:val="24"/>
        </w:rPr>
        <w:t>Scholars emphasise that tourism liability is shaped by multiple legal domains, including contract law, tort law, and statutory regulation. While contractual agreements define service expectations, tort principles such as negligence govern failures in safety and care. This overlap creates complex legal environments in which tourism businesses must manage both contractual obligations and broader duties of care (Hall, 2019).</w:t>
      </w:r>
    </w:p>
    <w:p w14:paraId="32EBA9E6" w14:textId="77777777" w:rsidR="0011588B" w:rsidRPr="0011588B" w:rsidRDefault="0011588B" w:rsidP="0011588B">
      <w:pPr>
        <w:spacing w:line="480" w:lineRule="auto"/>
        <w:rPr>
          <w:rFonts w:ascii="Times New Roman" w:hAnsi="Times New Roman" w:cs="Times New Roman"/>
          <w:b/>
          <w:bCs/>
          <w:szCs w:val="24"/>
        </w:rPr>
      </w:pPr>
      <w:r w:rsidRPr="0011588B">
        <w:rPr>
          <w:rFonts w:ascii="Times New Roman" w:hAnsi="Times New Roman" w:cs="Times New Roman"/>
          <w:b/>
          <w:bCs/>
          <w:szCs w:val="24"/>
        </w:rPr>
        <w:t>Duty of Care and Negligence in Tourism</w:t>
      </w:r>
    </w:p>
    <w:p w14:paraId="15E1A3BD" w14:textId="77777777" w:rsidR="0011588B" w:rsidRPr="0011588B" w:rsidRDefault="0011588B" w:rsidP="0011588B">
      <w:pPr>
        <w:spacing w:line="480" w:lineRule="auto"/>
        <w:rPr>
          <w:rFonts w:ascii="Times New Roman" w:hAnsi="Times New Roman" w:cs="Times New Roman"/>
          <w:szCs w:val="24"/>
        </w:rPr>
      </w:pPr>
      <w:r w:rsidRPr="0011588B">
        <w:rPr>
          <w:rFonts w:ascii="Times New Roman" w:hAnsi="Times New Roman" w:cs="Times New Roman"/>
          <w:szCs w:val="24"/>
        </w:rPr>
        <w:lastRenderedPageBreak/>
        <w:t>Negligence is the most frequently litigated basis of liability in tourism-related cases. The literature identifies four key elements required to establish negligence: duty of care, breach of duty, causation, and damage. Tourism operators are generally found to owe a duty of care to their customers, as harm is often foreseeable in tourism settings involving transport, accommodation, or recreational activities (Rutherford &amp; O’Fallon, 2007).</w:t>
      </w:r>
    </w:p>
    <w:p w14:paraId="0C535292" w14:textId="77777777" w:rsidR="0011588B" w:rsidRPr="0011588B" w:rsidRDefault="0011588B" w:rsidP="0011588B">
      <w:pPr>
        <w:spacing w:line="480" w:lineRule="auto"/>
        <w:rPr>
          <w:rFonts w:ascii="Times New Roman" w:hAnsi="Times New Roman" w:cs="Times New Roman"/>
          <w:szCs w:val="24"/>
        </w:rPr>
      </w:pPr>
      <w:r w:rsidRPr="0011588B">
        <w:rPr>
          <w:rFonts w:ascii="Times New Roman" w:hAnsi="Times New Roman" w:cs="Times New Roman"/>
          <w:szCs w:val="24"/>
        </w:rPr>
        <w:t>Research indicates that courts increasingly assess whether tourism businesses have taken reasonable steps to prevent harm, such as maintaining safe premises, providing adequate warnings, and ensuring employee competence. Failure to implement appropriate safety measures may result in liability even where risks are inherent to tourism activities. Scholars argue that the standard of care in tourism is evolving, with higher expectations placed on operators as industry knowledge and safety technologies advance (Kasim &amp; Wickens, 2016).</w:t>
      </w:r>
    </w:p>
    <w:p w14:paraId="73935466" w14:textId="77777777" w:rsidR="0011588B" w:rsidRPr="0011588B" w:rsidRDefault="0011588B" w:rsidP="0011588B">
      <w:pPr>
        <w:spacing w:line="480" w:lineRule="auto"/>
        <w:rPr>
          <w:rFonts w:ascii="Times New Roman" w:hAnsi="Times New Roman" w:cs="Times New Roman"/>
          <w:b/>
          <w:bCs/>
          <w:szCs w:val="24"/>
        </w:rPr>
      </w:pPr>
      <w:r w:rsidRPr="0011588B">
        <w:rPr>
          <w:rFonts w:ascii="Times New Roman" w:hAnsi="Times New Roman" w:cs="Times New Roman"/>
          <w:b/>
          <w:bCs/>
          <w:szCs w:val="24"/>
        </w:rPr>
        <w:t>Strict Liability and Inherently Dangerous Activities</w:t>
      </w:r>
    </w:p>
    <w:p w14:paraId="7619B115" w14:textId="77777777" w:rsidR="0011588B" w:rsidRPr="0011588B" w:rsidRDefault="0011588B" w:rsidP="0011588B">
      <w:pPr>
        <w:spacing w:line="480" w:lineRule="auto"/>
        <w:rPr>
          <w:rFonts w:ascii="Times New Roman" w:hAnsi="Times New Roman" w:cs="Times New Roman"/>
          <w:szCs w:val="24"/>
        </w:rPr>
      </w:pPr>
      <w:r w:rsidRPr="0011588B">
        <w:rPr>
          <w:rFonts w:ascii="Times New Roman" w:hAnsi="Times New Roman" w:cs="Times New Roman"/>
          <w:szCs w:val="24"/>
        </w:rPr>
        <w:t>Strict liability represents another important area of tourism law, particularly in relation to activities considered inherently dangerous. Unlike negligence, strict liability does not require proof of fault; liability may arise simply from participation in hazardous activities. Academic literature highlights that adventure tourism, including activities such as scuba diving, skiing, and bungee jumping, is increasingly subject to strict liability principles in some jurisdictions (Mendelsohn, 2017).</w:t>
      </w:r>
    </w:p>
    <w:p w14:paraId="52AB5F59" w14:textId="77777777" w:rsidR="0011588B" w:rsidRPr="0011588B" w:rsidRDefault="0011588B" w:rsidP="0011588B">
      <w:pPr>
        <w:spacing w:line="480" w:lineRule="auto"/>
        <w:rPr>
          <w:rFonts w:ascii="Times New Roman" w:hAnsi="Times New Roman" w:cs="Times New Roman"/>
          <w:szCs w:val="24"/>
        </w:rPr>
      </w:pPr>
      <w:r w:rsidRPr="0011588B">
        <w:rPr>
          <w:rFonts w:ascii="Times New Roman" w:hAnsi="Times New Roman" w:cs="Times New Roman"/>
          <w:szCs w:val="24"/>
        </w:rPr>
        <w:t xml:space="preserve">Scholars debate the fairness of strict liability in tourism, arguing that it may impose excessive burdens on operators offering high-risk experiences. However, others contend that strict liability is justified where consumers rely heavily on operator expertise and safety assurances. This </w:t>
      </w:r>
      <w:r w:rsidRPr="0011588B">
        <w:rPr>
          <w:rFonts w:ascii="Times New Roman" w:hAnsi="Times New Roman" w:cs="Times New Roman"/>
          <w:szCs w:val="24"/>
        </w:rPr>
        <w:lastRenderedPageBreak/>
        <w:t>debate reflects broader tensions between consumer protection and business innovation within tourism markets (Hall, 2019).</w:t>
      </w:r>
    </w:p>
    <w:p w14:paraId="1375C8C1" w14:textId="77777777" w:rsidR="0011588B" w:rsidRPr="0011588B" w:rsidRDefault="0011588B" w:rsidP="0011588B">
      <w:pPr>
        <w:spacing w:line="480" w:lineRule="auto"/>
        <w:rPr>
          <w:rFonts w:ascii="Times New Roman" w:hAnsi="Times New Roman" w:cs="Times New Roman"/>
          <w:b/>
          <w:bCs/>
          <w:szCs w:val="24"/>
        </w:rPr>
      </w:pPr>
      <w:r w:rsidRPr="0011588B">
        <w:rPr>
          <w:rFonts w:ascii="Times New Roman" w:hAnsi="Times New Roman" w:cs="Times New Roman"/>
          <w:b/>
          <w:bCs/>
          <w:szCs w:val="24"/>
        </w:rPr>
        <w:t>Vicarious Liability and Employment Relationships</w:t>
      </w:r>
    </w:p>
    <w:p w14:paraId="28A34B6A" w14:textId="77777777" w:rsidR="0011588B" w:rsidRPr="0011588B" w:rsidRDefault="0011588B" w:rsidP="0011588B">
      <w:pPr>
        <w:spacing w:line="480" w:lineRule="auto"/>
        <w:rPr>
          <w:rFonts w:ascii="Times New Roman" w:hAnsi="Times New Roman" w:cs="Times New Roman"/>
          <w:szCs w:val="24"/>
        </w:rPr>
      </w:pPr>
      <w:r w:rsidRPr="0011588B">
        <w:rPr>
          <w:rFonts w:ascii="Times New Roman" w:hAnsi="Times New Roman" w:cs="Times New Roman"/>
          <w:szCs w:val="24"/>
        </w:rPr>
        <w:t>Vicarious liability is a significant source of legal risk for tourism businesses due to their reliance on employees, agents, and subcontractors. Under vicarious liability principles, employers may be held legally responsible for wrongful acts committed by employees in the course of their employment. Tourism literature highlights that incidents involving tour guides, hotel staff, drivers, and activity instructors frequently give rise to vicarious liability claims (McDonald, 2020).</w:t>
      </w:r>
    </w:p>
    <w:p w14:paraId="1B90D6EF" w14:textId="77777777" w:rsidR="0011588B" w:rsidRPr="0011588B" w:rsidRDefault="0011588B" w:rsidP="0011588B">
      <w:pPr>
        <w:spacing w:line="480" w:lineRule="auto"/>
        <w:rPr>
          <w:rFonts w:ascii="Times New Roman" w:hAnsi="Times New Roman" w:cs="Times New Roman"/>
          <w:szCs w:val="24"/>
        </w:rPr>
      </w:pPr>
      <w:r w:rsidRPr="0011588B">
        <w:rPr>
          <w:rFonts w:ascii="Times New Roman" w:hAnsi="Times New Roman" w:cs="Times New Roman"/>
          <w:szCs w:val="24"/>
        </w:rPr>
        <w:t>The increasing use of subcontractors and gig-economy workers in tourism has complicated the application of vicarious liability. Scholars note that courts often examine the degree of control exercised by tourism businesses over workers when determining liability. As tourism employment models evolve, vicarious liability remains a critical area of legal uncertainty and risk (</w:t>
      </w:r>
      <w:proofErr w:type="spellStart"/>
      <w:r w:rsidRPr="0011588B">
        <w:rPr>
          <w:rFonts w:ascii="Times New Roman" w:hAnsi="Times New Roman" w:cs="Times New Roman"/>
          <w:szCs w:val="24"/>
        </w:rPr>
        <w:t>Buhalis</w:t>
      </w:r>
      <w:proofErr w:type="spellEnd"/>
      <w:r w:rsidRPr="0011588B">
        <w:rPr>
          <w:rFonts w:ascii="Times New Roman" w:hAnsi="Times New Roman" w:cs="Times New Roman"/>
          <w:szCs w:val="24"/>
        </w:rPr>
        <w:t>, 2019).</w:t>
      </w:r>
    </w:p>
    <w:p w14:paraId="1E9255DC" w14:textId="77777777" w:rsidR="0011588B" w:rsidRPr="0011588B" w:rsidRDefault="0011588B" w:rsidP="0011588B">
      <w:pPr>
        <w:spacing w:line="480" w:lineRule="auto"/>
        <w:rPr>
          <w:rFonts w:ascii="Times New Roman" w:hAnsi="Times New Roman" w:cs="Times New Roman"/>
          <w:b/>
          <w:bCs/>
          <w:szCs w:val="24"/>
        </w:rPr>
      </w:pPr>
      <w:r w:rsidRPr="0011588B">
        <w:rPr>
          <w:rFonts w:ascii="Times New Roman" w:hAnsi="Times New Roman" w:cs="Times New Roman"/>
          <w:b/>
          <w:bCs/>
          <w:szCs w:val="24"/>
        </w:rPr>
        <w:t>Contractual Liability and Breach of Contract</w:t>
      </w:r>
    </w:p>
    <w:p w14:paraId="6EF493E3" w14:textId="77777777" w:rsidR="0011588B" w:rsidRPr="0011588B" w:rsidRDefault="0011588B" w:rsidP="0011588B">
      <w:pPr>
        <w:spacing w:line="480" w:lineRule="auto"/>
        <w:rPr>
          <w:rFonts w:ascii="Times New Roman" w:hAnsi="Times New Roman" w:cs="Times New Roman"/>
          <w:szCs w:val="24"/>
        </w:rPr>
      </w:pPr>
      <w:r w:rsidRPr="0011588B">
        <w:rPr>
          <w:rFonts w:ascii="Times New Roman" w:hAnsi="Times New Roman" w:cs="Times New Roman"/>
          <w:szCs w:val="24"/>
        </w:rPr>
        <w:t>Breach of contract is another major source of legal risk in tourism. Tourism contracts often include detailed terms regarding service delivery, cancellation policies, and liability limitations. Academic research suggests that disputes frequently arise when services fail to meet contractual descriptions or are cancelled without adequate compensation (Poole, 2020).</w:t>
      </w:r>
    </w:p>
    <w:p w14:paraId="37DA69CB" w14:textId="77777777" w:rsidR="0011588B" w:rsidRPr="0011588B" w:rsidRDefault="0011588B" w:rsidP="0011588B">
      <w:pPr>
        <w:spacing w:line="480" w:lineRule="auto"/>
        <w:rPr>
          <w:rFonts w:ascii="Times New Roman" w:hAnsi="Times New Roman" w:cs="Times New Roman"/>
          <w:szCs w:val="24"/>
        </w:rPr>
      </w:pPr>
      <w:r w:rsidRPr="0011588B">
        <w:rPr>
          <w:rFonts w:ascii="Times New Roman" w:hAnsi="Times New Roman" w:cs="Times New Roman"/>
          <w:szCs w:val="24"/>
        </w:rPr>
        <w:t xml:space="preserve">Scholars highlight that courts increasingly scrutinise exclusion and limitation clauses in tourism contracts, particularly where consumers have limited bargaining power. Contractual clauses that attempt to exclude liability for negligence or personal injury may be deemed unenforceable in </w:t>
      </w:r>
      <w:r w:rsidRPr="0011588B">
        <w:rPr>
          <w:rFonts w:ascii="Times New Roman" w:hAnsi="Times New Roman" w:cs="Times New Roman"/>
          <w:szCs w:val="24"/>
        </w:rPr>
        <w:lastRenderedPageBreak/>
        <w:t>many jurisdictions. This reinforces the importance of fair contract drafting and transparency in tourism agreements (Weatherill, 2020).</w:t>
      </w:r>
    </w:p>
    <w:p w14:paraId="5119742D" w14:textId="77777777" w:rsidR="0011588B" w:rsidRPr="0011588B" w:rsidRDefault="0011588B" w:rsidP="0011588B">
      <w:pPr>
        <w:spacing w:line="480" w:lineRule="auto"/>
        <w:rPr>
          <w:rFonts w:ascii="Times New Roman" w:hAnsi="Times New Roman" w:cs="Times New Roman"/>
          <w:b/>
          <w:bCs/>
          <w:szCs w:val="24"/>
        </w:rPr>
      </w:pPr>
      <w:r w:rsidRPr="0011588B">
        <w:rPr>
          <w:rFonts w:ascii="Times New Roman" w:hAnsi="Times New Roman" w:cs="Times New Roman"/>
          <w:b/>
          <w:bCs/>
          <w:szCs w:val="24"/>
        </w:rPr>
        <w:t>Property Damage and Loss in Tourism</w:t>
      </w:r>
    </w:p>
    <w:p w14:paraId="588ABD9C" w14:textId="77777777" w:rsidR="0011588B" w:rsidRPr="0011588B" w:rsidRDefault="0011588B" w:rsidP="0011588B">
      <w:pPr>
        <w:spacing w:line="480" w:lineRule="auto"/>
        <w:rPr>
          <w:rFonts w:ascii="Times New Roman" w:hAnsi="Times New Roman" w:cs="Times New Roman"/>
          <w:szCs w:val="24"/>
        </w:rPr>
      </w:pPr>
      <w:r w:rsidRPr="0011588B">
        <w:rPr>
          <w:rFonts w:ascii="Times New Roman" w:hAnsi="Times New Roman" w:cs="Times New Roman"/>
          <w:szCs w:val="24"/>
        </w:rPr>
        <w:t>Liability for property damage and loss of personal belongings is a recurring issue in tourism litigation. Hotels, airlines, and cruise operators often face claims relating to lost luggage, damaged property, or theft. The literature notes that liability standards vary depending on the type of service and applicable legal frameworks, such as carrier liability conventions or hospitality regulations (Dickerson, 2021).</w:t>
      </w:r>
    </w:p>
    <w:p w14:paraId="5D98ECA7" w14:textId="77777777" w:rsidR="0011588B" w:rsidRPr="0011588B" w:rsidRDefault="0011588B" w:rsidP="0011588B">
      <w:pPr>
        <w:spacing w:line="480" w:lineRule="auto"/>
        <w:rPr>
          <w:rFonts w:ascii="Times New Roman" w:hAnsi="Times New Roman" w:cs="Times New Roman"/>
          <w:szCs w:val="24"/>
        </w:rPr>
      </w:pPr>
      <w:r w:rsidRPr="0011588B">
        <w:rPr>
          <w:rFonts w:ascii="Times New Roman" w:hAnsi="Times New Roman" w:cs="Times New Roman"/>
          <w:szCs w:val="24"/>
        </w:rPr>
        <w:t>Scholars argue that clear communication of liability limits and security measures is essential to managing consumer expectations and reducing disputes. However, contractual disclaimers alone are often insufficient to avoid liability where negligence can be established (Rutherford &amp; O’Fallon, 2007).</w:t>
      </w:r>
    </w:p>
    <w:p w14:paraId="4EBB9A7C" w14:textId="77777777" w:rsidR="0011588B" w:rsidRPr="0011588B" w:rsidRDefault="0011588B" w:rsidP="0011588B">
      <w:pPr>
        <w:spacing w:line="480" w:lineRule="auto"/>
        <w:rPr>
          <w:rFonts w:ascii="Times New Roman" w:hAnsi="Times New Roman" w:cs="Times New Roman"/>
          <w:b/>
          <w:bCs/>
          <w:szCs w:val="24"/>
        </w:rPr>
      </w:pPr>
      <w:r w:rsidRPr="0011588B">
        <w:rPr>
          <w:rFonts w:ascii="Times New Roman" w:hAnsi="Times New Roman" w:cs="Times New Roman"/>
          <w:b/>
          <w:bCs/>
          <w:szCs w:val="24"/>
        </w:rPr>
        <w:t>Risk Management and Liability Mitigation</w:t>
      </w:r>
    </w:p>
    <w:p w14:paraId="0E225C65" w14:textId="77777777" w:rsidR="0011588B" w:rsidRPr="0011588B" w:rsidRDefault="0011588B" w:rsidP="0011588B">
      <w:pPr>
        <w:spacing w:line="480" w:lineRule="auto"/>
        <w:rPr>
          <w:rFonts w:ascii="Times New Roman" w:hAnsi="Times New Roman" w:cs="Times New Roman"/>
          <w:szCs w:val="24"/>
        </w:rPr>
      </w:pPr>
      <w:r w:rsidRPr="0011588B">
        <w:rPr>
          <w:rFonts w:ascii="Times New Roman" w:hAnsi="Times New Roman" w:cs="Times New Roman"/>
          <w:szCs w:val="24"/>
        </w:rPr>
        <w:t>Risk management has emerged as a central theme in tourism liability research. Scholars emphasise that proactive risk management practices, including safety audits, staff training, and incident reporting systems, can significantly reduce legal exposure. Insurance coverage is widely regarded as a critical tool for managing financial risk, although it does not replace the duty of care owed to consumers (Kasim &amp; Wickens, 2016).</w:t>
      </w:r>
    </w:p>
    <w:p w14:paraId="573F3DE5" w14:textId="77777777" w:rsidR="0011588B" w:rsidRPr="0011588B" w:rsidRDefault="0011588B" w:rsidP="0011588B">
      <w:pPr>
        <w:spacing w:line="480" w:lineRule="auto"/>
        <w:rPr>
          <w:rFonts w:ascii="Times New Roman" w:hAnsi="Times New Roman" w:cs="Times New Roman"/>
          <w:szCs w:val="24"/>
        </w:rPr>
      </w:pPr>
      <w:r w:rsidRPr="0011588B">
        <w:rPr>
          <w:rFonts w:ascii="Times New Roman" w:hAnsi="Times New Roman" w:cs="Times New Roman"/>
          <w:szCs w:val="24"/>
        </w:rPr>
        <w:t>The use of liability waivers is also widely discussed in the literature. While waivers may limit liability in certain contexts, courts often assess their clarity, fairness, and compliance with consumer protection laws. Research suggests that poorly drafted waivers provide limited protection and may even increase legal risk (Mendelsohn, 2017).</w:t>
      </w:r>
    </w:p>
    <w:p w14:paraId="303664AA" w14:textId="77777777" w:rsidR="0011588B" w:rsidRPr="0011588B" w:rsidRDefault="0011588B" w:rsidP="0011588B">
      <w:pPr>
        <w:spacing w:line="480" w:lineRule="auto"/>
        <w:rPr>
          <w:rFonts w:ascii="Times New Roman" w:hAnsi="Times New Roman" w:cs="Times New Roman"/>
          <w:b/>
          <w:bCs/>
          <w:szCs w:val="24"/>
        </w:rPr>
      </w:pPr>
      <w:r w:rsidRPr="0011588B">
        <w:rPr>
          <w:rFonts w:ascii="Times New Roman" w:hAnsi="Times New Roman" w:cs="Times New Roman"/>
          <w:b/>
          <w:bCs/>
          <w:szCs w:val="24"/>
        </w:rPr>
        <w:lastRenderedPageBreak/>
        <w:t>Case Law and Judicial Trends</w:t>
      </w:r>
    </w:p>
    <w:p w14:paraId="31C0ABDE" w14:textId="77777777" w:rsidR="0011588B" w:rsidRPr="0011588B" w:rsidRDefault="0011588B" w:rsidP="0011588B">
      <w:pPr>
        <w:spacing w:line="480" w:lineRule="auto"/>
        <w:rPr>
          <w:rFonts w:ascii="Times New Roman" w:hAnsi="Times New Roman" w:cs="Times New Roman"/>
          <w:szCs w:val="24"/>
        </w:rPr>
      </w:pPr>
      <w:r w:rsidRPr="0011588B">
        <w:rPr>
          <w:rFonts w:ascii="Times New Roman" w:hAnsi="Times New Roman" w:cs="Times New Roman"/>
          <w:szCs w:val="24"/>
        </w:rPr>
        <w:t>Academic analysis of tourism-related case law reveals a trend toward greater judicial scrutiny of tourism business practices. Courts increasingly consider whether operators have adopted industry best practices and complied with regulatory standards. This trend reflects a broader shift toward accountability and consumer protection within tourism law (Hall, 2019).</w:t>
      </w:r>
    </w:p>
    <w:p w14:paraId="478E42E2" w14:textId="77777777" w:rsidR="0011588B" w:rsidRPr="0011588B" w:rsidRDefault="0011588B" w:rsidP="0011588B">
      <w:pPr>
        <w:spacing w:line="480" w:lineRule="auto"/>
        <w:rPr>
          <w:rFonts w:ascii="Times New Roman" w:hAnsi="Times New Roman" w:cs="Times New Roman"/>
          <w:b/>
          <w:bCs/>
          <w:szCs w:val="24"/>
        </w:rPr>
      </w:pPr>
      <w:r w:rsidRPr="0011588B">
        <w:rPr>
          <w:rFonts w:ascii="Times New Roman" w:hAnsi="Times New Roman" w:cs="Times New Roman"/>
          <w:b/>
          <w:bCs/>
          <w:szCs w:val="24"/>
        </w:rPr>
        <w:t>Research Gaps and Future Directions</w:t>
      </w:r>
    </w:p>
    <w:p w14:paraId="37A8ACC5" w14:textId="77777777" w:rsidR="0011588B" w:rsidRPr="0011588B" w:rsidRDefault="0011588B" w:rsidP="0011588B">
      <w:pPr>
        <w:spacing w:line="480" w:lineRule="auto"/>
        <w:rPr>
          <w:rFonts w:ascii="Times New Roman" w:hAnsi="Times New Roman" w:cs="Times New Roman"/>
          <w:szCs w:val="24"/>
        </w:rPr>
      </w:pPr>
      <w:r w:rsidRPr="0011588B">
        <w:rPr>
          <w:rFonts w:ascii="Times New Roman" w:hAnsi="Times New Roman" w:cs="Times New Roman"/>
          <w:szCs w:val="24"/>
        </w:rPr>
        <w:t>Despite extensive scholarship, gaps remain in the literature on tourism liability. Much of the existing research focuses on developed tourism markets, with limited attention to emerging destinations where regulatory enforcement may be weaker. Additionally, rapid digitalisation and platform-based tourism services raise new liability questions that are not yet fully addressed in legal scholarship.</w:t>
      </w:r>
    </w:p>
    <w:p w14:paraId="5CF8E525" w14:textId="77777777" w:rsidR="0011588B" w:rsidRPr="0011588B" w:rsidRDefault="0011588B" w:rsidP="0011588B">
      <w:pPr>
        <w:spacing w:line="480" w:lineRule="auto"/>
        <w:rPr>
          <w:rFonts w:ascii="Times New Roman" w:hAnsi="Times New Roman" w:cs="Times New Roman"/>
          <w:szCs w:val="24"/>
        </w:rPr>
      </w:pPr>
      <w:r w:rsidRPr="0011588B">
        <w:rPr>
          <w:rFonts w:ascii="Times New Roman" w:hAnsi="Times New Roman" w:cs="Times New Roman"/>
          <w:szCs w:val="24"/>
        </w:rPr>
        <w:t>Overall, the literature confirms that liability and legal risk are central challenges in the tourism industry. Effective legal frameworks and proactive risk management are essential for protecting consumers and ensuring sustainable tourism operations.</w:t>
      </w:r>
    </w:p>
    <w:p w14:paraId="18A7F6A2" w14:textId="537BA5A4" w:rsidR="00057821" w:rsidRPr="005A6D79" w:rsidRDefault="00057821" w:rsidP="0011588B">
      <w:pPr>
        <w:spacing w:line="480" w:lineRule="auto"/>
        <w:rPr>
          <w:rStyle w:val="Heading1Char"/>
          <w:rFonts w:ascii="Times New Roman" w:hAnsi="Times New Roman" w:cs="Times New Roman"/>
          <w:b/>
          <w:bCs/>
          <w:color w:val="auto"/>
          <w:sz w:val="24"/>
          <w:szCs w:val="24"/>
        </w:rPr>
      </w:pPr>
    </w:p>
    <w:p w14:paraId="6A878DC3" w14:textId="77777777" w:rsidR="0011588B" w:rsidRPr="005A6D79" w:rsidRDefault="0011588B" w:rsidP="0011588B">
      <w:pPr>
        <w:spacing w:line="480" w:lineRule="auto"/>
        <w:rPr>
          <w:rStyle w:val="Heading1Char"/>
          <w:rFonts w:ascii="Times New Roman" w:hAnsi="Times New Roman" w:cs="Times New Roman"/>
          <w:b/>
          <w:bCs/>
          <w:color w:val="auto"/>
          <w:sz w:val="24"/>
          <w:szCs w:val="24"/>
        </w:rPr>
      </w:pPr>
    </w:p>
    <w:p w14:paraId="6BD4743E" w14:textId="77777777" w:rsidR="0011588B" w:rsidRPr="005A6D79" w:rsidRDefault="0011588B" w:rsidP="0011588B">
      <w:pPr>
        <w:spacing w:line="480" w:lineRule="auto"/>
        <w:rPr>
          <w:rStyle w:val="Heading1Char"/>
          <w:rFonts w:ascii="Times New Roman" w:hAnsi="Times New Roman" w:cs="Times New Roman"/>
          <w:b/>
          <w:bCs/>
          <w:color w:val="auto"/>
          <w:sz w:val="24"/>
          <w:szCs w:val="24"/>
        </w:rPr>
      </w:pPr>
    </w:p>
    <w:p w14:paraId="50350CCD" w14:textId="77777777" w:rsidR="0011588B" w:rsidRPr="005A6D79" w:rsidRDefault="0011588B" w:rsidP="0011588B">
      <w:pPr>
        <w:spacing w:line="480" w:lineRule="auto"/>
        <w:rPr>
          <w:rStyle w:val="Heading1Char"/>
          <w:rFonts w:ascii="Times New Roman" w:hAnsi="Times New Roman" w:cs="Times New Roman"/>
          <w:b/>
          <w:bCs/>
          <w:color w:val="auto"/>
          <w:sz w:val="24"/>
          <w:szCs w:val="24"/>
        </w:rPr>
      </w:pPr>
    </w:p>
    <w:p w14:paraId="0C993C84" w14:textId="77777777" w:rsidR="0011588B" w:rsidRPr="005A6D79" w:rsidRDefault="0011588B" w:rsidP="0011588B">
      <w:pPr>
        <w:spacing w:line="480" w:lineRule="auto"/>
        <w:rPr>
          <w:rStyle w:val="Heading1Char"/>
          <w:rFonts w:ascii="Times New Roman" w:hAnsi="Times New Roman" w:cs="Times New Roman"/>
          <w:b/>
          <w:bCs/>
          <w:color w:val="auto"/>
          <w:sz w:val="24"/>
          <w:szCs w:val="24"/>
        </w:rPr>
      </w:pPr>
    </w:p>
    <w:p w14:paraId="151DD23A" w14:textId="77777777" w:rsidR="0011588B" w:rsidRPr="005A6D79" w:rsidRDefault="0011588B" w:rsidP="0011588B">
      <w:pPr>
        <w:spacing w:line="480" w:lineRule="auto"/>
        <w:rPr>
          <w:rStyle w:val="Heading1Char"/>
          <w:rFonts w:ascii="Times New Roman" w:hAnsi="Times New Roman" w:cs="Times New Roman"/>
          <w:b/>
          <w:bCs/>
          <w:color w:val="auto"/>
          <w:sz w:val="24"/>
          <w:szCs w:val="24"/>
        </w:rPr>
      </w:pPr>
    </w:p>
    <w:p w14:paraId="444F9041" w14:textId="77777777" w:rsidR="0098381B" w:rsidRPr="005A6D79" w:rsidRDefault="00843EDD" w:rsidP="0098381B">
      <w:pPr>
        <w:spacing w:line="480" w:lineRule="auto"/>
        <w:rPr>
          <w:rFonts w:ascii="Times New Roman" w:hAnsi="Times New Roman" w:cs="Times New Roman"/>
          <w:szCs w:val="24"/>
        </w:rPr>
      </w:pPr>
      <w:r w:rsidRPr="005A6D79">
        <w:rPr>
          <w:rStyle w:val="Heading1Char"/>
          <w:rFonts w:ascii="Times New Roman" w:hAnsi="Times New Roman" w:cs="Times New Roman"/>
          <w:b/>
          <w:bCs/>
          <w:color w:val="auto"/>
          <w:sz w:val="24"/>
          <w:szCs w:val="24"/>
        </w:rPr>
        <w:lastRenderedPageBreak/>
        <w:t>3</w:t>
      </w:r>
      <w:r w:rsidR="00582227" w:rsidRPr="005A6D79">
        <w:rPr>
          <w:rStyle w:val="Heading1Char"/>
          <w:rFonts w:ascii="Times New Roman" w:hAnsi="Times New Roman" w:cs="Times New Roman"/>
          <w:b/>
          <w:bCs/>
          <w:color w:val="auto"/>
          <w:sz w:val="24"/>
          <w:szCs w:val="24"/>
        </w:rPr>
        <w:t xml:space="preserve"> Methodology</w:t>
      </w:r>
      <w:bookmarkEnd w:id="3"/>
      <w:r w:rsidR="00582227" w:rsidRPr="005A6D79">
        <w:rPr>
          <w:rFonts w:ascii="Times New Roman" w:hAnsi="Times New Roman" w:cs="Times New Roman"/>
          <w:b/>
          <w:bCs/>
          <w:szCs w:val="24"/>
        </w:rPr>
        <w:t xml:space="preserve"> </w:t>
      </w:r>
      <w:r w:rsidR="00582227" w:rsidRPr="005A6D79">
        <w:rPr>
          <w:rFonts w:ascii="Times New Roman" w:hAnsi="Times New Roman" w:cs="Times New Roman"/>
          <w:szCs w:val="24"/>
        </w:rPr>
        <w:br/>
      </w:r>
      <w:r w:rsidR="0098381B" w:rsidRPr="005A6D79">
        <w:rPr>
          <w:rFonts w:ascii="Times New Roman" w:hAnsi="Times New Roman" w:cs="Times New Roman"/>
          <w:szCs w:val="24"/>
        </w:rPr>
        <w:t xml:space="preserve">This study adopts a </w:t>
      </w:r>
      <w:r w:rsidR="0098381B" w:rsidRPr="005A6D79">
        <w:rPr>
          <w:rFonts w:ascii="Times New Roman" w:hAnsi="Times New Roman" w:cs="Times New Roman"/>
          <w:b/>
          <w:bCs/>
          <w:szCs w:val="24"/>
        </w:rPr>
        <w:t>qualitative doctrinal research methodology</w:t>
      </w:r>
      <w:r w:rsidR="0098381B" w:rsidRPr="005A6D79">
        <w:rPr>
          <w:rFonts w:ascii="Times New Roman" w:hAnsi="Times New Roman" w:cs="Times New Roman"/>
          <w:szCs w:val="24"/>
        </w:rPr>
        <w:t xml:space="preserve"> to examine liability and legal risks in the tourism industry. Doctrinal research is widely used in legal scholarship as it focuses on the systematic analysis and interpretation of legal principles, statutes, judicial decisions, and academic commentary. Given that the purpose of this assignment is to analyse legal responsibilities and risk exposure faced by tourism businesses rather than to collect empirical data from participants, a doctrinal approach is considered the most appropriate research method (Poole, 2020).</w:t>
      </w:r>
    </w:p>
    <w:p w14:paraId="3B5DD578" w14:textId="77777777" w:rsidR="0098381B" w:rsidRPr="0098381B" w:rsidRDefault="0098381B" w:rsidP="0098381B">
      <w:pPr>
        <w:spacing w:line="480" w:lineRule="auto"/>
        <w:rPr>
          <w:rFonts w:ascii="Times New Roman" w:hAnsi="Times New Roman" w:cs="Times New Roman"/>
          <w:b/>
          <w:bCs/>
          <w:szCs w:val="24"/>
        </w:rPr>
      </w:pPr>
      <w:r w:rsidRPr="0098381B">
        <w:rPr>
          <w:rFonts w:ascii="Times New Roman" w:hAnsi="Times New Roman" w:cs="Times New Roman"/>
          <w:b/>
          <w:bCs/>
          <w:szCs w:val="24"/>
        </w:rPr>
        <w:t>Research Design</w:t>
      </w:r>
    </w:p>
    <w:p w14:paraId="19D33DDA" w14:textId="77777777" w:rsidR="0098381B" w:rsidRPr="0098381B" w:rsidRDefault="0098381B" w:rsidP="0098381B">
      <w:pPr>
        <w:spacing w:line="480" w:lineRule="auto"/>
        <w:rPr>
          <w:rFonts w:ascii="Times New Roman" w:hAnsi="Times New Roman" w:cs="Times New Roman"/>
          <w:szCs w:val="24"/>
        </w:rPr>
      </w:pPr>
      <w:r w:rsidRPr="0098381B">
        <w:rPr>
          <w:rFonts w:ascii="Times New Roman" w:hAnsi="Times New Roman" w:cs="Times New Roman"/>
          <w:szCs w:val="24"/>
        </w:rPr>
        <w:t xml:space="preserve">The research follows a </w:t>
      </w:r>
      <w:r w:rsidRPr="0098381B">
        <w:rPr>
          <w:rFonts w:ascii="Times New Roman" w:hAnsi="Times New Roman" w:cs="Times New Roman"/>
          <w:b/>
          <w:bCs/>
          <w:szCs w:val="24"/>
        </w:rPr>
        <w:t>descriptive–analytical design</w:t>
      </w:r>
      <w:r w:rsidRPr="0098381B">
        <w:rPr>
          <w:rFonts w:ascii="Times New Roman" w:hAnsi="Times New Roman" w:cs="Times New Roman"/>
          <w:szCs w:val="24"/>
        </w:rPr>
        <w:t>. The descriptive component outlines the key legal principles governing liability in tourism, including negligence, strict liability, and vicarious liability. It also identifies common sources of legal risk such as personal injury claims, property damage, and breach of contract. The analytical component critically evaluates how these principles are applied within tourism contexts and how courts assess responsibility, duty of care, and causation in tourism-related disputes. This dual approach enables a comprehensive understanding of both the theoretical and practical dimensions of tourism liability (Dickerson, 2021).</w:t>
      </w:r>
    </w:p>
    <w:p w14:paraId="57F8A531" w14:textId="77777777" w:rsidR="0098381B" w:rsidRPr="0098381B" w:rsidRDefault="0098381B" w:rsidP="0098381B">
      <w:pPr>
        <w:spacing w:line="480" w:lineRule="auto"/>
        <w:rPr>
          <w:rFonts w:ascii="Times New Roman" w:hAnsi="Times New Roman" w:cs="Times New Roman"/>
          <w:szCs w:val="24"/>
        </w:rPr>
      </w:pPr>
      <w:r w:rsidRPr="0098381B">
        <w:rPr>
          <w:rFonts w:ascii="Times New Roman" w:hAnsi="Times New Roman" w:cs="Times New Roman"/>
          <w:szCs w:val="24"/>
        </w:rPr>
        <w:t>This design is particularly suitable for tourism law research because liability issues often arise from the interaction of multiple legal domains, including tort law, contract law, and statutory regulation. By integrating these domains, the study provides a holistic analysis of legal risk exposure in tourism operations.</w:t>
      </w:r>
    </w:p>
    <w:p w14:paraId="78E63033" w14:textId="77777777" w:rsidR="0098381B" w:rsidRPr="0098381B" w:rsidRDefault="0098381B" w:rsidP="0098381B">
      <w:pPr>
        <w:spacing w:line="480" w:lineRule="auto"/>
        <w:rPr>
          <w:rFonts w:ascii="Times New Roman" w:hAnsi="Times New Roman" w:cs="Times New Roman"/>
          <w:b/>
          <w:bCs/>
          <w:szCs w:val="24"/>
        </w:rPr>
      </w:pPr>
      <w:r w:rsidRPr="0098381B">
        <w:rPr>
          <w:rFonts w:ascii="Times New Roman" w:hAnsi="Times New Roman" w:cs="Times New Roman"/>
          <w:b/>
          <w:bCs/>
          <w:szCs w:val="24"/>
        </w:rPr>
        <w:t>Sources of Data</w:t>
      </w:r>
    </w:p>
    <w:p w14:paraId="31D407D8" w14:textId="77777777" w:rsidR="0098381B" w:rsidRPr="0098381B" w:rsidRDefault="0098381B" w:rsidP="0098381B">
      <w:pPr>
        <w:spacing w:line="480" w:lineRule="auto"/>
        <w:rPr>
          <w:rFonts w:ascii="Times New Roman" w:hAnsi="Times New Roman" w:cs="Times New Roman"/>
          <w:szCs w:val="24"/>
        </w:rPr>
      </w:pPr>
      <w:r w:rsidRPr="0098381B">
        <w:rPr>
          <w:rFonts w:ascii="Times New Roman" w:hAnsi="Times New Roman" w:cs="Times New Roman"/>
          <w:szCs w:val="24"/>
        </w:rPr>
        <w:lastRenderedPageBreak/>
        <w:t xml:space="preserve">The study relies exclusively on </w:t>
      </w:r>
      <w:r w:rsidRPr="0098381B">
        <w:rPr>
          <w:rFonts w:ascii="Times New Roman" w:hAnsi="Times New Roman" w:cs="Times New Roman"/>
          <w:b/>
          <w:bCs/>
          <w:szCs w:val="24"/>
        </w:rPr>
        <w:t>secondary data sources</w:t>
      </w:r>
      <w:r w:rsidRPr="0098381B">
        <w:rPr>
          <w:rFonts w:ascii="Times New Roman" w:hAnsi="Times New Roman" w:cs="Times New Roman"/>
          <w:szCs w:val="24"/>
        </w:rPr>
        <w:t>, which are considered authoritative and appropriate for doctrinal legal research. These sources include peer-reviewed academic journal articles, legal textbooks, judicial case analyses, and policy reports relating to tourism law and risk management. Key sources also include regulatory guidance issued by international and regional bodies involved in tourism governance and consumer protection.</w:t>
      </w:r>
    </w:p>
    <w:p w14:paraId="2E3DB1ED" w14:textId="77777777" w:rsidR="0098381B" w:rsidRPr="0098381B" w:rsidRDefault="0098381B" w:rsidP="0098381B">
      <w:pPr>
        <w:spacing w:line="480" w:lineRule="auto"/>
        <w:rPr>
          <w:rFonts w:ascii="Times New Roman" w:hAnsi="Times New Roman" w:cs="Times New Roman"/>
          <w:szCs w:val="24"/>
        </w:rPr>
      </w:pPr>
      <w:r w:rsidRPr="0098381B">
        <w:rPr>
          <w:rFonts w:ascii="Times New Roman" w:hAnsi="Times New Roman" w:cs="Times New Roman"/>
          <w:szCs w:val="24"/>
        </w:rPr>
        <w:t>Judicial decisions involving tourism-related liability claims are examined to illustrate how legal principles are interpreted and applied in practice. These cases provide insight into judicial expectations regarding safety standards, duty of care, and risk mitigation. Emphasis is placed on contemporary sources to reflect recent developments in tourism operations, particularly in areas such as adventure tourism, transportation services, and hospitality management (Hall, 2019).</w:t>
      </w:r>
    </w:p>
    <w:p w14:paraId="0FDF9D61" w14:textId="77777777" w:rsidR="0098381B" w:rsidRPr="0098381B" w:rsidRDefault="0098381B" w:rsidP="0098381B">
      <w:pPr>
        <w:spacing w:line="480" w:lineRule="auto"/>
        <w:rPr>
          <w:rFonts w:ascii="Times New Roman" w:hAnsi="Times New Roman" w:cs="Times New Roman"/>
          <w:b/>
          <w:bCs/>
          <w:szCs w:val="24"/>
        </w:rPr>
      </w:pPr>
      <w:r w:rsidRPr="0098381B">
        <w:rPr>
          <w:rFonts w:ascii="Times New Roman" w:hAnsi="Times New Roman" w:cs="Times New Roman"/>
          <w:b/>
          <w:bCs/>
          <w:szCs w:val="24"/>
        </w:rPr>
        <w:t>Analytical Framework</w:t>
      </w:r>
    </w:p>
    <w:p w14:paraId="10A54245" w14:textId="77777777" w:rsidR="0098381B" w:rsidRPr="0098381B" w:rsidRDefault="0098381B" w:rsidP="0098381B">
      <w:pPr>
        <w:spacing w:line="480" w:lineRule="auto"/>
        <w:rPr>
          <w:rFonts w:ascii="Times New Roman" w:hAnsi="Times New Roman" w:cs="Times New Roman"/>
          <w:szCs w:val="24"/>
        </w:rPr>
      </w:pPr>
      <w:r w:rsidRPr="0098381B">
        <w:rPr>
          <w:rFonts w:ascii="Times New Roman" w:hAnsi="Times New Roman" w:cs="Times New Roman"/>
          <w:szCs w:val="24"/>
        </w:rPr>
        <w:t xml:space="preserve">Data analysis is conducted using </w:t>
      </w:r>
      <w:r w:rsidRPr="0098381B">
        <w:rPr>
          <w:rFonts w:ascii="Times New Roman" w:hAnsi="Times New Roman" w:cs="Times New Roman"/>
          <w:b/>
          <w:bCs/>
          <w:szCs w:val="24"/>
        </w:rPr>
        <w:t>thematic legal analysis</w:t>
      </w:r>
      <w:r w:rsidRPr="0098381B">
        <w:rPr>
          <w:rFonts w:ascii="Times New Roman" w:hAnsi="Times New Roman" w:cs="Times New Roman"/>
          <w:szCs w:val="24"/>
        </w:rPr>
        <w:t>, a method that involves identifying recurring legal themes across legislation, case law, and academic literature. Key themes analysed in this study include duty of care, foreseeability of harm, breach of safety obligations, employer responsibility, and contractual risk allocation. Each theme is examined in relation to different tourism settings, such as hotels, airlines, tour operators, and guided activity providers.</w:t>
      </w:r>
    </w:p>
    <w:p w14:paraId="2EEC151A" w14:textId="77777777" w:rsidR="0098381B" w:rsidRPr="0098381B" w:rsidRDefault="0098381B" w:rsidP="0098381B">
      <w:pPr>
        <w:spacing w:line="480" w:lineRule="auto"/>
        <w:rPr>
          <w:rFonts w:ascii="Times New Roman" w:hAnsi="Times New Roman" w:cs="Times New Roman"/>
          <w:szCs w:val="24"/>
        </w:rPr>
      </w:pPr>
      <w:r w:rsidRPr="0098381B">
        <w:rPr>
          <w:rFonts w:ascii="Times New Roman" w:hAnsi="Times New Roman" w:cs="Times New Roman"/>
          <w:szCs w:val="24"/>
        </w:rPr>
        <w:t xml:space="preserve">A </w:t>
      </w:r>
      <w:r w:rsidRPr="0098381B">
        <w:rPr>
          <w:rFonts w:ascii="Times New Roman" w:hAnsi="Times New Roman" w:cs="Times New Roman"/>
          <w:b/>
          <w:bCs/>
          <w:szCs w:val="24"/>
        </w:rPr>
        <w:t>comparative perspective</w:t>
      </w:r>
      <w:r w:rsidRPr="0098381B">
        <w:rPr>
          <w:rFonts w:ascii="Times New Roman" w:hAnsi="Times New Roman" w:cs="Times New Roman"/>
          <w:szCs w:val="24"/>
        </w:rPr>
        <w:t xml:space="preserve"> is also applied to assess how liability principles are interpreted across different jurisdictions. Given the international nature of tourism, comparative analysis helps to highlight variations in legal standards, enforcement practices, and risk exposure faced by tourism businesses operating across borders (Weatherill, 2020).</w:t>
      </w:r>
    </w:p>
    <w:p w14:paraId="31F25D97" w14:textId="77777777" w:rsidR="0098381B" w:rsidRPr="0098381B" w:rsidRDefault="0098381B" w:rsidP="0098381B">
      <w:pPr>
        <w:spacing w:line="480" w:lineRule="auto"/>
        <w:rPr>
          <w:rFonts w:ascii="Times New Roman" w:hAnsi="Times New Roman" w:cs="Times New Roman"/>
          <w:b/>
          <w:bCs/>
          <w:szCs w:val="24"/>
        </w:rPr>
      </w:pPr>
      <w:r w:rsidRPr="0098381B">
        <w:rPr>
          <w:rFonts w:ascii="Times New Roman" w:hAnsi="Times New Roman" w:cs="Times New Roman"/>
          <w:b/>
          <w:bCs/>
          <w:szCs w:val="24"/>
        </w:rPr>
        <w:t>Ethical Considerations</w:t>
      </w:r>
    </w:p>
    <w:p w14:paraId="39FD26D9" w14:textId="77777777" w:rsidR="0098381B" w:rsidRPr="0098381B" w:rsidRDefault="0098381B" w:rsidP="0098381B">
      <w:pPr>
        <w:spacing w:line="480" w:lineRule="auto"/>
        <w:rPr>
          <w:rFonts w:ascii="Times New Roman" w:hAnsi="Times New Roman" w:cs="Times New Roman"/>
          <w:szCs w:val="24"/>
        </w:rPr>
      </w:pPr>
      <w:r w:rsidRPr="0098381B">
        <w:rPr>
          <w:rFonts w:ascii="Times New Roman" w:hAnsi="Times New Roman" w:cs="Times New Roman"/>
          <w:szCs w:val="24"/>
        </w:rPr>
        <w:lastRenderedPageBreak/>
        <w:t>As the study is based entirely on secondary sources, no ethical issues involving human participants arise. Academic integrity has been maintained through accurate citation and objective analysis of legal principles. The research avoids bias by acknowledging differing judicial interpretations and scholarly viewpoints where relevant.</w:t>
      </w:r>
    </w:p>
    <w:p w14:paraId="3FC82720" w14:textId="77777777" w:rsidR="0098381B" w:rsidRPr="0098381B" w:rsidRDefault="0098381B" w:rsidP="0098381B">
      <w:pPr>
        <w:spacing w:line="480" w:lineRule="auto"/>
        <w:rPr>
          <w:rFonts w:ascii="Times New Roman" w:hAnsi="Times New Roman" w:cs="Times New Roman"/>
          <w:b/>
          <w:bCs/>
          <w:szCs w:val="24"/>
        </w:rPr>
      </w:pPr>
      <w:r w:rsidRPr="0098381B">
        <w:rPr>
          <w:rFonts w:ascii="Times New Roman" w:hAnsi="Times New Roman" w:cs="Times New Roman"/>
          <w:b/>
          <w:bCs/>
          <w:szCs w:val="24"/>
        </w:rPr>
        <w:t>Limitations of the Methodology</w:t>
      </w:r>
    </w:p>
    <w:p w14:paraId="7C91DDB9" w14:textId="77777777" w:rsidR="0098381B" w:rsidRPr="0098381B" w:rsidRDefault="0098381B" w:rsidP="0098381B">
      <w:pPr>
        <w:spacing w:line="480" w:lineRule="auto"/>
        <w:rPr>
          <w:rFonts w:ascii="Times New Roman" w:hAnsi="Times New Roman" w:cs="Times New Roman"/>
          <w:szCs w:val="24"/>
        </w:rPr>
      </w:pPr>
      <w:r w:rsidRPr="0098381B">
        <w:rPr>
          <w:rFonts w:ascii="Times New Roman" w:hAnsi="Times New Roman" w:cs="Times New Roman"/>
          <w:szCs w:val="24"/>
        </w:rPr>
        <w:t>Despite its strengths, this methodology has certain limitations. The reliance on secondary data means that the study does not capture the lived experiences of tourists or the operational perspectives of tourism businesses. Additionally, differences in legal systems and enforcement capacity across jurisdictions may limit the generalisability of findings. However, these limitations do not undermine the study’s validity, as its primary objective is to provide a legal and analytical examination of liability and legal risks in tourism.</w:t>
      </w:r>
    </w:p>
    <w:p w14:paraId="02F40004" w14:textId="77777777" w:rsidR="0098381B" w:rsidRPr="0098381B" w:rsidRDefault="0098381B" w:rsidP="0098381B">
      <w:pPr>
        <w:spacing w:line="480" w:lineRule="auto"/>
        <w:rPr>
          <w:rFonts w:ascii="Times New Roman" w:hAnsi="Times New Roman" w:cs="Times New Roman"/>
          <w:szCs w:val="24"/>
        </w:rPr>
      </w:pPr>
      <w:r w:rsidRPr="0098381B">
        <w:rPr>
          <w:rFonts w:ascii="Times New Roman" w:hAnsi="Times New Roman" w:cs="Times New Roman"/>
          <w:szCs w:val="24"/>
        </w:rPr>
        <w:t>Overall, the chosen methodology provides a rigorous framework for analysing liability principles and legal risk management in the tourism industry.</w:t>
      </w:r>
    </w:p>
    <w:p w14:paraId="258695B1" w14:textId="65B14C07" w:rsidR="008125F0" w:rsidRPr="005A6D79" w:rsidRDefault="008125F0" w:rsidP="0098381B">
      <w:pPr>
        <w:spacing w:line="480" w:lineRule="auto"/>
        <w:rPr>
          <w:rStyle w:val="Heading1Char"/>
          <w:rFonts w:ascii="Times New Roman" w:hAnsi="Times New Roman" w:cs="Times New Roman"/>
          <w:b/>
          <w:bCs/>
          <w:color w:val="auto"/>
          <w:sz w:val="24"/>
          <w:szCs w:val="24"/>
        </w:rPr>
      </w:pPr>
    </w:p>
    <w:p w14:paraId="2F744928" w14:textId="77777777" w:rsidR="0033247F" w:rsidRPr="005A6D79" w:rsidRDefault="0033247F" w:rsidP="003A5BF6">
      <w:pPr>
        <w:spacing w:line="480" w:lineRule="auto"/>
        <w:rPr>
          <w:rStyle w:val="Heading1Char"/>
          <w:rFonts w:ascii="Times New Roman" w:hAnsi="Times New Roman" w:cs="Times New Roman"/>
          <w:b/>
          <w:bCs/>
          <w:color w:val="auto"/>
          <w:sz w:val="24"/>
          <w:szCs w:val="24"/>
        </w:rPr>
      </w:pPr>
    </w:p>
    <w:p w14:paraId="42BBF498" w14:textId="77777777" w:rsidR="00D92241" w:rsidRPr="005A6D79" w:rsidRDefault="00D92241" w:rsidP="003A5BF6">
      <w:pPr>
        <w:spacing w:line="480" w:lineRule="auto"/>
        <w:rPr>
          <w:rStyle w:val="Heading1Char"/>
          <w:rFonts w:ascii="Times New Roman" w:hAnsi="Times New Roman" w:cs="Times New Roman"/>
          <w:b/>
          <w:bCs/>
          <w:color w:val="auto"/>
          <w:sz w:val="24"/>
          <w:szCs w:val="24"/>
        </w:rPr>
      </w:pPr>
    </w:p>
    <w:p w14:paraId="7829A4C3" w14:textId="77777777" w:rsidR="00D92241" w:rsidRPr="005A6D79" w:rsidRDefault="00D92241" w:rsidP="003A5BF6">
      <w:pPr>
        <w:spacing w:line="480" w:lineRule="auto"/>
        <w:rPr>
          <w:rStyle w:val="Heading1Char"/>
          <w:rFonts w:ascii="Times New Roman" w:hAnsi="Times New Roman" w:cs="Times New Roman"/>
          <w:b/>
          <w:bCs/>
          <w:color w:val="auto"/>
          <w:sz w:val="24"/>
          <w:szCs w:val="24"/>
        </w:rPr>
      </w:pPr>
    </w:p>
    <w:p w14:paraId="2E596AEC" w14:textId="77777777" w:rsidR="00D92241" w:rsidRPr="005A6D79" w:rsidRDefault="00D92241" w:rsidP="003A5BF6">
      <w:pPr>
        <w:spacing w:line="480" w:lineRule="auto"/>
        <w:rPr>
          <w:rStyle w:val="Heading1Char"/>
          <w:rFonts w:ascii="Times New Roman" w:hAnsi="Times New Roman" w:cs="Times New Roman"/>
          <w:b/>
          <w:bCs/>
          <w:color w:val="auto"/>
          <w:sz w:val="24"/>
          <w:szCs w:val="24"/>
        </w:rPr>
      </w:pPr>
    </w:p>
    <w:p w14:paraId="0A4288D5" w14:textId="77777777" w:rsidR="0033247F" w:rsidRPr="005A6D79" w:rsidRDefault="0033247F" w:rsidP="003A5BF6">
      <w:pPr>
        <w:spacing w:line="480" w:lineRule="auto"/>
        <w:rPr>
          <w:rStyle w:val="Heading1Char"/>
          <w:rFonts w:ascii="Times New Roman" w:hAnsi="Times New Roman" w:cs="Times New Roman"/>
          <w:b/>
          <w:bCs/>
          <w:color w:val="auto"/>
          <w:sz w:val="24"/>
          <w:szCs w:val="24"/>
        </w:rPr>
      </w:pPr>
    </w:p>
    <w:p w14:paraId="2B1EBA3D" w14:textId="77777777" w:rsidR="0033247F" w:rsidRPr="005A6D79" w:rsidRDefault="0033247F" w:rsidP="003A5BF6">
      <w:pPr>
        <w:spacing w:line="480" w:lineRule="auto"/>
        <w:rPr>
          <w:rStyle w:val="Heading1Char"/>
          <w:rFonts w:ascii="Times New Roman" w:hAnsi="Times New Roman" w:cs="Times New Roman"/>
          <w:b/>
          <w:bCs/>
          <w:color w:val="auto"/>
          <w:sz w:val="24"/>
          <w:szCs w:val="24"/>
        </w:rPr>
      </w:pPr>
    </w:p>
    <w:p w14:paraId="33BFA5F9" w14:textId="66A174C3" w:rsidR="00C82410" w:rsidRPr="005A6D79" w:rsidRDefault="00A433D7" w:rsidP="00AB5112">
      <w:pPr>
        <w:spacing w:line="480" w:lineRule="auto"/>
        <w:rPr>
          <w:rStyle w:val="Heading1Char"/>
          <w:rFonts w:ascii="Times New Roman" w:hAnsi="Times New Roman" w:cs="Times New Roman"/>
          <w:b/>
          <w:bCs/>
          <w:color w:val="auto"/>
          <w:sz w:val="24"/>
          <w:szCs w:val="24"/>
        </w:rPr>
      </w:pPr>
      <w:bookmarkStart w:id="4" w:name="_Toc221201958"/>
      <w:r w:rsidRPr="005A6D79">
        <w:rPr>
          <w:rStyle w:val="Heading1Char"/>
          <w:rFonts w:ascii="Times New Roman" w:hAnsi="Times New Roman" w:cs="Times New Roman"/>
          <w:b/>
          <w:bCs/>
          <w:color w:val="auto"/>
          <w:sz w:val="24"/>
          <w:szCs w:val="24"/>
        </w:rPr>
        <w:lastRenderedPageBreak/>
        <w:t>4</w:t>
      </w:r>
      <w:r w:rsidR="00582227" w:rsidRPr="005A6D79">
        <w:rPr>
          <w:rStyle w:val="Heading1Char"/>
          <w:rFonts w:ascii="Times New Roman" w:hAnsi="Times New Roman" w:cs="Times New Roman"/>
          <w:b/>
          <w:bCs/>
          <w:color w:val="auto"/>
          <w:sz w:val="24"/>
          <w:szCs w:val="24"/>
        </w:rPr>
        <w:t xml:space="preserve"> </w:t>
      </w:r>
      <w:r w:rsidR="00160E9C" w:rsidRPr="005A6D79">
        <w:rPr>
          <w:rStyle w:val="Heading1Char"/>
          <w:rFonts w:ascii="Times New Roman" w:hAnsi="Times New Roman" w:cs="Times New Roman"/>
          <w:b/>
          <w:bCs/>
          <w:color w:val="auto"/>
          <w:sz w:val="24"/>
          <w:szCs w:val="24"/>
        </w:rPr>
        <w:t>Finding</w:t>
      </w:r>
      <w:bookmarkEnd w:id="4"/>
    </w:p>
    <w:p w14:paraId="7EC5E485" w14:textId="77777777" w:rsidR="00B0661E" w:rsidRPr="00B0661E" w:rsidRDefault="00B0661E" w:rsidP="00B0661E">
      <w:pPr>
        <w:spacing w:line="480" w:lineRule="auto"/>
        <w:rPr>
          <w:rFonts w:ascii="Times New Roman" w:hAnsi="Times New Roman" w:cs="Times New Roman"/>
          <w:szCs w:val="24"/>
        </w:rPr>
      </w:pPr>
      <w:r w:rsidRPr="00B0661E">
        <w:rPr>
          <w:rFonts w:ascii="Times New Roman" w:hAnsi="Times New Roman" w:cs="Times New Roman"/>
          <w:szCs w:val="24"/>
        </w:rPr>
        <w:t>The analysis of legal literature, policy documents, and judicial decisions reveals that liability and legal risk are pervasive concerns within the tourism industry. One of the most significant findings is that tourism businesses are exposed to a heightened level of legal risk due to the nature of tourism services, which often involve physical movement, recreational activities, and close interaction with customers. This exposure increases the likelihood of personal injury claims, property damage disputes, and contractual litigation (Dickerson, 2021).</w:t>
      </w:r>
    </w:p>
    <w:p w14:paraId="08DCC12C" w14:textId="77777777" w:rsidR="00B0661E" w:rsidRPr="00B0661E" w:rsidRDefault="00B0661E" w:rsidP="00B0661E">
      <w:pPr>
        <w:spacing w:line="480" w:lineRule="auto"/>
        <w:rPr>
          <w:rFonts w:ascii="Times New Roman" w:hAnsi="Times New Roman" w:cs="Times New Roman"/>
          <w:szCs w:val="24"/>
        </w:rPr>
      </w:pPr>
      <w:r w:rsidRPr="00B0661E">
        <w:rPr>
          <w:rFonts w:ascii="Times New Roman" w:hAnsi="Times New Roman" w:cs="Times New Roman"/>
          <w:szCs w:val="24"/>
        </w:rPr>
        <w:t xml:space="preserve">A key finding relates to the </w:t>
      </w:r>
      <w:r w:rsidRPr="00B0661E">
        <w:rPr>
          <w:rFonts w:ascii="Times New Roman" w:hAnsi="Times New Roman" w:cs="Times New Roman"/>
          <w:b/>
          <w:bCs/>
          <w:szCs w:val="24"/>
        </w:rPr>
        <w:t>central role of negligence in tourism liability cases</w:t>
      </w:r>
      <w:r w:rsidRPr="00B0661E">
        <w:rPr>
          <w:rFonts w:ascii="Times New Roman" w:hAnsi="Times New Roman" w:cs="Times New Roman"/>
          <w:szCs w:val="24"/>
        </w:rPr>
        <w:t>. Courts consistently recognise that tourism operators owe a duty of care to their customers, as harm is often foreseeable in tourism settings such as hotels, transport services, and guided activities. The findings show that liability commonly arises where businesses fail to maintain safe premises, provide adequate supervision, or warn customers of known risks. Judicial decisions indicate that the standard of care expected of tourism operators has increased over time, reflecting advancements in safety knowledge and industry best practices (Hall, 2019).</w:t>
      </w:r>
    </w:p>
    <w:p w14:paraId="17EB7C65" w14:textId="77777777" w:rsidR="00B0661E" w:rsidRPr="00B0661E" w:rsidRDefault="00B0661E" w:rsidP="00B0661E">
      <w:pPr>
        <w:spacing w:line="480" w:lineRule="auto"/>
        <w:rPr>
          <w:rFonts w:ascii="Times New Roman" w:hAnsi="Times New Roman" w:cs="Times New Roman"/>
          <w:szCs w:val="24"/>
        </w:rPr>
      </w:pPr>
      <w:r w:rsidRPr="00B0661E">
        <w:rPr>
          <w:rFonts w:ascii="Times New Roman" w:hAnsi="Times New Roman" w:cs="Times New Roman"/>
          <w:szCs w:val="24"/>
        </w:rPr>
        <w:t xml:space="preserve">The findings also demonstrate the growing relevance of </w:t>
      </w:r>
      <w:r w:rsidRPr="00B0661E">
        <w:rPr>
          <w:rFonts w:ascii="Times New Roman" w:hAnsi="Times New Roman" w:cs="Times New Roman"/>
          <w:b/>
          <w:bCs/>
          <w:szCs w:val="24"/>
        </w:rPr>
        <w:t>strict liability in tourism-related activities</w:t>
      </w:r>
      <w:r w:rsidRPr="00B0661E">
        <w:rPr>
          <w:rFonts w:ascii="Times New Roman" w:hAnsi="Times New Roman" w:cs="Times New Roman"/>
          <w:szCs w:val="24"/>
        </w:rPr>
        <w:t>. In cases involving inherently dangerous activities, such as adventure tourism and specialised recreational experiences, liability may be imposed regardless of fault. This reflects judicial recognition that consumers rely heavily on operator expertise and safety assurances when engaging in high-risk tourism activities. While strict liability increases legal exposure for tourism businesses, it also incentivises the adoption of enhanced safety protocols and professional standards (Mendelsohn, 2017).</w:t>
      </w:r>
    </w:p>
    <w:p w14:paraId="400FE623" w14:textId="77777777" w:rsidR="00B0661E" w:rsidRPr="00B0661E" w:rsidRDefault="00B0661E" w:rsidP="00B0661E">
      <w:pPr>
        <w:spacing w:line="480" w:lineRule="auto"/>
        <w:rPr>
          <w:rFonts w:ascii="Times New Roman" w:hAnsi="Times New Roman" w:cs="Times New Roman"/>
          <w:szCs w:val="24"/>
        </w:rPr>
      </w:pPr>
      <w:r w:rsidRPr="00B0661E">
        <w:rPr>
          <w:rFonts w:ascii="Times New Roman" w:hAnsi="Times New Roman" w:cs="Times New Roman"/>
          <w:szCs w:val="24"/>
        </w:rPr>
        <w:lastRenderedPageBreak/>
        <w:t xml:space="preserve">Another significant finding concerns </w:t>
      </w:r>
      <w:r w:rsidRPr="00B0661E">
        <w:rPr>
          <w:rFonts w:ascii="Times New Roman" w:hAnsi="Times New Roman" w:cs="Times New Roman"/>
          <w:b/>
          <w:bCs/>
          <w:szCs w:val="24"/>
        </w:rPr>
        <w:t>vicarious liability arising from employment relationships</w:t>
      </w:r>
      <w:r w:rsidRPr="00B0661E">
        <w:rPr>
          <w:rFonts w:ascii="Times New Roman" w:hAnsi="Times New Roman" w:cs="Times New Roman"/>
          <w:szCs w:val="24"/>
        </w:rPr>
        <w:t>. Tourism businesses frequently depend on employees, guides, drivers, and subcontractors to deliver services. Courts often hold employers legally responsible for the negligent acts of employees performed within the scope of their duties. The findings indicate that disputes commonly arise from staff misconduct, inadequate training, or failure to follow safety procedures. This highlights the importance of effective recruitment, training, and supervision in reducing legal risk (McDonald, 2020).</w:t>
      </w:r>
    </w:p>
    <w:p w14:paraId="3CFCB670" w14:textId="77777777" w:rsidR="00B0661E" w:rsidRPr="00B0661E" w:rsidRDefault="00B0661E" w:rsidP="00B0661E">
      <w:pPr>
        <w:spacing w:line="480" w:lineRule="auto"/>
        <w:rPr>
          <w:rFonts w:ascii="Times New Roman" w:hAnsi="Times New Roman" w:cs="Times New Roman"/>
          <w:szCs w:val="24"/>
        </w:rPr>
      </w:pPr>
      <w:r w:rsidRPr="00B0661E">
        <w:rPr>
          <w:rFonts w:ascii="Times New Roman" w:hAnsi="Times New Roman" w:cs="Times New Roman"/>
          <w:szCs w:val="24"/>
        </w:rPr>
        <w:t>Contractual liability is also identified as a major source of legal risk in tourism. The analysis shows that disputes frequently occur when services fail to match contractual descriptions, are cancelled without adequate compensation, or involve unclear terms and conditions. Courts increasingly scrutinise exclusion and limitation clauses in tourism contracts, particularly where consumers have limited bargaining power. Clauses attempting to exclude liability for personal injury or negligence are often found to be unenforceable, reinforcing the need for fair and transparent contract drafting (Poole, 2020).</w:t>
      </w:r>
    </w:p>
    <w:p w14:paraId="45EFCBD7" w14:textId="77777777" w:rsidR="00B0661E" w:rsidRPr="00B0661E" w:rsidRDefault="00B0661E" w:rsidP="00B0661E">
      <w:pPr>
        <w:spacing w:line="480" w:lineRule="auto"/>
        <w:rPr>
          <w:rFonts w:ascii="Times New Roman" w:hAnsi="Times New Roman" w:cs="Times New Roman"/>
          <w:szCs w:val="24"/>
        </w:rPr>
      </w:pPr>
      <w:r w:rsidRPr="00B0661E">
        <w:rPr>
          <w:rFonts w:ascii="Times New Roman" w:hAnsi="Times New Roman" w:cs="Times New Roman"/>
          <w:szCs w:val="24"/>
        </w:rPr>
        <w:t xml:space="preserve">Liability for </w:t>
      </w:r>
      <w:r w:rsidRPr="00B0661E">
        <w:rPr>
          <w:rFonts w:ascii="Times New Roman" w:hAnsi="Times New Roman" w:cs="Times New Roman"/>
          <w:b/>
          <w:bCs/>
          <w:szCs w:val="24"/>
        </w:rPr>
        <w:t>property damage and loss of personal belongings</w:t>
      </w:r>
      <w:r w:rsidRPr="00B0661E">
        <w:rPr>
          <w:rFonts w:ascii="Times New Roman" w:hAnsi="Times New Roman" w:cs="Times New Roman"/>
          <w:szCs w:val="24"/>
        </w:rPr>
        <w:t xml:space="preserve"> emerges as another recurring issue. Hotels, airlines, and cruise operators commonly face claims relating to lost luggage, damaged property, or theft. The findings suggest that while liability limits may apply under certain legal frameworks, tourism businesses may still be held liable where negligence can be established. This underscores the importance of security measures and clear communication of liability policies to customers (Rutherford &amp; O’Fallon, 2007).</w:t>
      </w:r>
    </w:p>
    <w:p w14:paraId="1B6BD930" w14:textId="77777777" w:rsidR="00B0661E" w:rsidRPr="00B0661E" w:rsidRDefault="00B0661E" w:rsidP="00B0661E">
      <w:pPr>
        <w:spacing w:line="480" w:lineRule="auto"/>
        <w:rPr>
          <w:rFonts w:ascii="Times New Roman" w:hAnsi="Times New Roman" w:cs="Times New Roman"/>
          <w:szCs w:val="24"/>
        </w:rPr>
      </w:pPr>
      <w:r w:rsidRPr="00B0661E">
        <w:rPr>
          <w:rFonts w:ascii="Times New Roman" w:hAnsi="Times New Roman" w:cs="Times New Roman"/>
          <w:szCs w:val="24"/>
        </w:rPr>
        <w:t xml:space="preserve">The findings further highlight the role of </w:t>
      </w:r>
      <w:r w:rsidRPr="00B0661E">
        <w:rPr>
          <w:rFonts w:ascii="Times New Roman" w:hAnsi="Times New Roman" w:cs="Times New Roman"/>
          <w:b/>
          <w:bCs/>
          <w:szCs w:val="24"/>
        </w:rPr>
        <w:t>risk mitigation strategies</w:t>
      </w:r>
      <w:r w:rsidRPr="00B0661E">
        <w:rPr>
          <w:rFonts w:ascii="Times New Roman" w:hAnsi="Times New Roman" w:cs="Times New Roman"/>
          <w:szCs w:val="24"/>
        </w:rPr>
        <w:t xml:space="preserve"> in reducing legal exposure. Tourism businesses increasingly rely on insurance coverage, liability waivers, and structured risk management systems. However, the analysis indicates that such measures do not eliminate legal </w:t>
      </w:r>
      <w:r w:rsidRPr="00B0661E">
        <w:rPr>
          <w:rFonts w:ascii="Times New Roman" w:hAnsi="Times New Roman" w:cs="Times New Roman"/>
          <w:szCs w:val="24"/>
        </w:rPr>
        <w:lastRenderedPageBreak/>
        <w:t>responsibility. Courts often assess the clarity, fairness, and legal validity of liability waivers, and poorly drafted waivers provide limited protection. Effective risk management therefore requires a combination of preventive safety measures, staff training, and legal compliance (Kasim &amp; Wickens, 2016).</w:t>
      </w:r>
    </w:p>
    <w:p w14:paraId="1377D75D" w14:textId="77777777" w:rsidR="00B0661E" w:rsidRPr="00B0661E" w:rsidRDefault="00B0661E" w:rsidP="00B0661E">
      <w:pPr>
        <w:spacing w:line="480" w:lineRule="auto"/>
        <w:rPr>
          <w:rFonts w:ascii="Times New Roman" w:hAnsi="Times New Roman" w:cs="Times New Roman"/>
          <w:szCs w:val="24"/>
        </w:rPr>
      </w:pPr>
      <w:r w:rsidRPr="00B0661E">
        <w:rPr>
          <w:rFonts w:ascii="Times New Roman" w:hAnsi="Times New Roman" w:cs="Times New Roman"/>
          <w:szCs w:val="24"/>
        </w:rPr>
        <w:t>Overall, the findings confirm that liability and legal risks are inherent to tourism operations. Legal exposure is influenced by operational practices, contractual arrangements, and judicial expectations regarding duty of care. Tourism businesses that proactively manage risk and prioritise consumer safety are better positioned to reduce liability and maintain sustainable operations.</w:t>
      </w:r>
    </w:p>
    <w:p w14:paraId="34F032B3" w14:textId="77777777" w:rsidR="008125F0" w:rsidRPr="005A6D79" w:rsidRDefault="008125F0" w:rsidP="008C18CC">
      <w:pPr>
        <w:spacing w:line="480" w:lineRule="auto"/>
        <w:rPr>
          <w:rStyle w:val="Heading1Char"/>
          <w:rFonts w:ascii="Times New Roman" w:hAnsi="Times New Roman" w:cs="Times New Roman"/>
          <w:b/>
          <w:bCs/>
          <w:color w:val="auto"/>
          <w:sz w:val="24"/>
          <w:szCs w:val="24"/>
        </w:rPr>
      </w:pPr>
    </w:p>
    <w:p w14:paraId="2918CFA9" w14:textId="77777777" w:rsidR="0033247F" w:rsidRPr="005A6D79" w:rsidRDefault="0033247F" w:rsidP="008C18CC">
      <w:pPr>
        <w:spacing w:line="480" w:lineRule="auto"/>
        <w:rPr>
          <w:rStyle w:val="Heading1Char"/>
          <w:rFonts w:ascii="Times New Roman" w:hAnsi="Times New Roman" w:cs="Times New Roman"/>
          <w:b/>
          <w:bCs/>
          <w:color w:val="auto"/>
          <w:sz w:val="24"/>
          <w:szCs w:val="24"/>
        </w:rPr>
      </w:pPr>
    </w:p>
    <w:p w14:paraId="27070575" w14:textId="77777777" w:rsidR="0033247F" w:rsidRPr="005A6D79" w:rsidRDefault="0033247F" w:rsidP="008C18CC">
      <w:pPr>
        <w:spacing w:line="480" w:lineRule="auto"/>
        <w:rPr>
          <w:rStyle w:val="Heading1Char"/>
          <w:rFonts w:ascii="Times New Roman" w:hAnsi="Times New Roman" w:cs="Times New Roman"/>
          <w:b/>
          <w:bCs/>
          <w:color w:val="auto"/>
          <w:sz w:val="24"/>
          <w:szCs w:val="24"/>
        </w:rPr>
      </w:pPr>
    </w:p>
    <w:p w14:paraId="0193BA4E" w14:textId="77777777" w:rsidR="0033247F" w:rsidRPr="005A6D79" w:rsidRDefault="0033247F" w:rsidP="008C18CC">
      <w:pPr>
        <w:spacing w:line="480" w:lineRule="auto"/>
        <w:rPr>
          <w:rStyle w:val="Heading1Char"/>
          <w:rFonts w:ascii="Times New Roman" w:hAnsi="Times New Roman" w:cs="Times New Roman"/>
          <w:b/>
          <w:bCs/>
          <w:color w:val="auto"/>
          <w:sz w:val="24"/>
          <w:szCs w:val="24"/>
        </w:rPr>
      </w:pPr>
    </w:p>
    <w:p w14:paraId="2667AE76" w14:textId="77777777" w:rsidR="0033247F" w:rsidRPr="005A6D79" w:rsidRDefault="0033247F" w:rsidP="008C18CC">
      <w:pPr>
        <w:spacing w:line="480" w:lineRule="auto"/>
        <w:rPr>
          <w:rStyle w:val="Heading1Char"/>
          <w:rFonts w:ascii="Times New Roman" w:hAnsi="Times New Roman" w:cs="Times New Roman"/>
          <w:b/>
          <w:bCs/>
          <w:color w:val="auto"/>
          <w:sz w:val="24"/>
          <w:szCs w:val="24"/>
        </w:rPr>
      </w:pPr>
    </w:p>
    <w:p w14:paraId="7239FA89" w14:textId="77777777" w:rsidR="005A6D79" w:rsidRPr="005A6D79" w:rsidRDefault="005A6D79" w:rsidP="008C18CC">
      <w:pPr>
        <w:spacing w:line="480" w:lineRule="auto"/>
        <w:rPr>
          <w:rStyle w:val="Heading1Char"/>
          <w:rFonts w:ascii="Times New Roman" w:hAnsi="Times New Roman" w:cs="Times New Roman"/>
          <w:b/>
          <w:bCs/>
          <w:color w:val="auto"/>
          <w:sz w:val="24"/>
          <w:szCs w:val="24"/>
        </w:rPr>
      </w:pPr>
    </w:p>
    <w:p w14:paraId="72A70108" w14:textId="77777777" w:rsidR="005A6D79" w:rsidRPr="005A6D79" w:rsidRDefault="005A6D79" w:rsidP="008C18CC">
      <w:pPr>
        <w:spacing w:line="480" w:lineRule="auto"/>
        <w:rPr>
          <w:rStyle w:val="Heading1Char"/>
          <w:rFonts w:ascii="Times New Roman" w:hAnsi="Times New Roman" w:cs="Times New Roman"/>
          <w:b/>
          <w:bCs/>
          <w:color w:val="auto"/>
          <w:sz w:val="24"/>
          <w:szCs w:val="24"/>
        </w:rPr>
      </w:pPr>
    </w:p>
    <w:p w14:paraId="16D42019" w14:textId="77777777" w:rsidR="005A6D79" w:rsidRPr="005A6D79" w:rsidRDefault="005A6D79" w:rsidP="008C18CC">
      <w:pPr>
        <w:spacing w:line="480" w:lineRule="auto"/>
        <w:rPr>
          <w:rStyle w:val="Heading1Char"/>
          <w:rFonts w:ascii="Times New Roman" w:hAnsi="Times New Roman" w:cs="Times New Roman"/>
          <w:b/>
          <w:bCs/>
          <w:color w:val="auto"/>
          <w:sz w:val="24"/>
          <w:szCs w:val="24"/>
        </w:rPr>
      </w:pPr>
    </w:p>
    <w:p w14:paraId="491AEAC9" w14:textId="77777777" w:rsidR="005A6D79" w:rsidRPr="005A6D79" w:rsidRDefault="005A6D79" w:rsidP="008C18CC">
      <w:pPr>
        <w:spacing w:line="480" w:lineRule="auto"/>
        <w:rPr>
          <w:rStyle w:val="Heading1Char"/>
          <w:rFonts w:ascii="Times New Roman" w:hAnsi="Times New Roman" w:cs="Times New Roman"/>
          <w:b/>
          <w:bCs/>
          <w:color w:val="auto"/>
          <w:sz w:val="24"/>
          <w:szCs w:val="24"/>
        </w:rPr>
      </w:pPr>
    </w:p>
    <w:p w14:paraId="0CD9F296" w14:textId="77777777" w:rsidR="00763D1C" w:rsidRPr="005A6D79" w:rsidRDefault="00763D1C" w:rsidP="008C18CC">
      <w:pPr>
        <w:spacing w:line="480" w:lineRule="auto"/>
        <w:rPr>
          <w:rStyle w:val="Heading1Char"/>
          <w:rFonts w:ascii="Times New Roman" w:hAnsi="Times New Roman" w:cs="Times New Roman"/>
          <w:b/>
          <w:bCs/>
          <w:color w:val="auto"/>
          <w:sz w:val="24"/>
          <w:szCs w:val="24"/>
        </w:rPr>
      </w:pPr>
    </w:p>
    <w:p w14:paraId="5D8A22EF" w14:textId="77777777" w:rsidR="005A6D79" w:rsidRPr="005A6D79" w:rsidRDefault="00496E55" w:rsidP="005A6D79">
      <w:pPr>
        <w:spacing w:line="480" w:lineRule="auto"/>
        <w:rPr>
          <w:rFonts w:ascii="Times New Roman" w:hAnsi="Times New Roman" w:cs="Times New Roman"/>
          <w:szCs w:val="24"/>
        </w:rPr>
      </w:pPr>
      <w:bookmarkStart w:id="5" w:name="_Toc221201959"/>
      <w:r w:rsidRPr="005A6D79">
        <w:rPr>
          <w:rStyle w:val="Heading1Char"/>
          <w:rFonts w:ascii="Times New Roman" w:hAnsi="Times New Roman" w:cs="Times New Roman"/>
          <w:b/>
          <w:bCs/>
          <w:color w:val="auto"/>
          <w:sz w:val="24"/>
          <w:szCs w:val="24"/>
        </w:rPr>
        <w:lastRenderedPageBreak/>
        <w:t>5</w:t>
      </w:r>
      <w:r w:rsidR="00F11085" w:rsidRPr="005A6D79">
        <w:rPr>
          <w:rStyle w:val="Heading1Char"/>
          <w:rFonts w:ascii="Times New Roman" w:hAnsi="Times New Roman" w:cs="Times New Roman"/>
          <w:b/>
          <w:bCs/>
          <w:color w:val="auto"/>
          <w:sz w:val="24"/>
          <w:szCs w:val="24"/>
        </w:rPr>
        <w:t>. Discussion</w:t>
      </w:r>
      <w:bookmarkEnd w:id="5"/>
      <w:r w:rsidR="00F11085" w:rsidRPr="005A6D79">
        <w:rPr>
          <w:rFonts w:ascii="Times New Roman" w:hAnsi="Times New Roman" w:cs="Times New Roman"/>
          <w:szCs w:val="24"/>
        </w:rPr>
        <w:t xml:space="preserve"> </w:t>
      </w:r>
      <w:r w:rsidR="00F11085" w:rsidRPr="005A6D79">
        <w:rPr>
          <w:rFonts w:ascii="Times New Roman" w:hAnsi="Times New Roman" w:cs="Times New Roman"/>
          <w:szCs w:val="24"/>
        </w:rPr>
        <w:br/>
      </w:r>
      <w:r w:rsidR="005A6D79" w:rsidRPr="005A6D79">
        <w:rPr>
          <w:rFonts w:ascii="Times New Roman" w:hAnsi="Times New Roman" w:cs="Times New Roman"/>
          <w:szCs w:val="24"/>
        </w:rPr>
        <w:t>The findings of this study confirm that liability and legal risk are inherent and unavoidable elements of tourism operations. Unlike many other service industries, tourism involves physical movement, unfamiliar environments, and experiential consumption, all of which significantly increase the probability of harm to consumers. The dominance of negligence-based claims in tourism litigation highlights the importance of the duty of care owed by tourism businesses to their customers. Courts increasingly expect tourism operators to anticipate foreseeable risks and implement reasonable safety measures, reflecting a shift toward higher standards of care within the industry (Hall, 2019).</w:t>
      </w:r>
    </w:p>
    <w:p w14:paraId="176B1C91" w14:textId="77777777" w:rsidR="005A6D79" w:rsidRPr="005A6D79" w:rsidRDefault="005A6D79" w:rsidP="005A6D79">
      <w:pPr>
        <w:spacing w:line="480" w:lineRule="auto"/>
        <w:rPr>
          <w:rFonts w:ascii="Times New Roman" w:hAnsi="Times New Roman" w:cs="Times New Roman"/>
          <w:szCs w:val="24"/>
        </w:rPr>
      </w:pPr>
      <w:r w:rsidRPr="005A6D79">
        <w:rPr>
          <w:rFonts w:ascii="Times New Roman" w:hAnsi="Times New Roman" w:cs="Times New Roman"/>
          <w:szCs w:val="24"/>
        </w:rPr>
        <w:t>One of the most critical issues emerging from the findings is the evolving interpretation of negligence in tourism contexts. Judicial decisions indicate that what constitutes “reasonable care” is not static but changes as industry knowledge, technology, and safety standards advance. Tourism operators can no longer rely on minimal compliance or industry custom alone; instead, they are expected to adopt proactive risk management strategies, including staff training, safety audits, and effective supervision. This development underscores the legal expectation that tourism businesses actively manage risk rather than react to incidents after they occur (Kasim &amp; Wickens, 2016).</w:t>
      </w:r>
    </w:p>
    <w:p w14:paraId="0333B62E" w14:textId="77777777" w:rsidR="005A6D79" w:rsidRPr="005A6D79" w:rsidRDefault="005A6D79" w:rsidP="005A6D79">
      <w:pPr>
        <w:spacing w:line="480" w:lineRule="auto"/>
        <w:rPr>
          <w:rFonts w:ascii="Times New Roman" w:hAnsi="Times New Roman" w:cs="Times New Roman"/>
          <w:szCs w:val="24"/>
        </w:rPr>
      </w:pPr>
      <w:r w:rsidRPr="005A6D79">
        <w:rPr>
          <w:rFonts w:ascii="Times New Roman" w:hAnsi="Times New Roman" w:cs="Times New Roman"/>
          <w:szCs w:val="24"/>
        </w:rPr>
        <w:t xml:space="preserve">The growing relevance of strict liability in adventure and high-risk tourism activities also raises important legal and ethical considerations. While strict liability enhances consumer protection by removing the burden of proving fault, it simultaneously increases legal exposure for tourism operators. This creates tension between encouraging innovative tourism experiences and ensuring consumer safety. The discussion suggests that strict liability serves as a powerful </w:t>
      </w:r>
      <w:r w:rsidRPr="005A6D79">
        <w:rPr>
          <w:rFonts w:ascii="Times New Roman" w:hAnsi="Times New Roman" w:cs="Times New Roman"/>
          <w:szCs w:val="24"/>
        </w:rPr>
        <w:lastRenderedPageBreak/>
        <w:t>incentive for operators to invest in professional standards, certification, and risk mitigation systems, thereby contributing to safer tourism environments overall (Mendelsohn, 2017).</w:t>
      </w:r>
    </w:p>
    <w:p w14:paraId="71E0AB78" w14:textId="77777777" w:rsidR="005A6D79" w:rsidRPr="005A6D79" w:rsidRDefault="005A6D79" w:rsidP="005A6D79">
      <w:pPr>
        <w:spacing w:line="480" w:lineRule="auto"/>
        <w:rPr>
          <w:rFonts w:ascii="Times New Roman" w:hAnsi="Times New Roman" w:cs="Times New Roman"/>
          <w:szCs w:val="24"/>
        </w:rPr>
      </w:pPr>
      <w:r w:rsidRPr="005A6D79">
        <w:rPr>
          <w:rFonts w:ascii="Times New Roman" w:hAnsi="Times New Roman" w:cs="Times New Roman"/>
          <w:szCs w:val="24"/>
        </w:rPr>
        <w:t>Vicarious liability further amplifies legal risk in tourism due to the sector’s reliance on employees, guides, and subcontractors. The findings demonstrate that courts often hold employers accountable for staff actions, even when misconduct occurs unintentionally. This highlights the legal importance of recruitment practices, training programmes, and operational supervision. As tourism businesses increasingly adopt flexible employment models and subcontracting arrangements, uncertainty surrounding employment status and control may further complicate liability exposure (McDonald, 2020).</w:t>
      </w:r>
    </w:p>
    <w:p w14:paraId="531F139B" w14:textId="77777777" w:rsidR="005A6D79" w:rsidRPr="005A6D79" w:rsidRDefault="005A6D79" w:rsidP="005A6D79">
      <w:pPr>
        <w:spacing w:line="480" w:lineRule="auto"/>
        <w:rPr>
          <w:rFonts w:ascii="Times New Roman" w:hAnsi="Times New Roman" w:cs="Times New Roman"/>
          <w:szCs w:val="24"/>
        </w:rPr>
      </w:pPr>
      <w:r w:rsidRPr="005A6D79">
        <w:rPr>
          <w:rFonts w:ascii="Times New Roman" w:hAnsi="Times New Roman" w:cs="Times New Roman"/>
          <w:szCs w:val="24"/>
        </w:rPr>
        <w:t>Contractual liability remains another critical area of legal risk. While tourism contracts commonly include limitation and exclusion clauses, the discussion highlights that such clauses are subject to strict judicial scrutiny, particularly where consumers lack bargaining power. Courts frequently invalidate clauses that attempt to exclude liability for personal injury or negligence, reinforcing the principle that contractual risk allocation cannot undermine fundamental duties of care (Poole, 2020). This finding emphasises the need for transparency and fairness in contract drafting within tourism operations.</w:t>
      </w:r>
    </w:p>
    <w:p w14:paraId="6A3FF932" w14:textId="77777777" w:rsidR="005A6D79" w:rsidRPr="005A6D79" w:rsidRDefault="005A6D79" w:rsidP="005A6D79">
      <w:pPr>
        <w:spacing w:line="480" w:lineRule="auto"/>
        <w:rPr>
          <w:rFonts w:ascii="Times New Roman" w:hAnsi="Times New Roman" w:cs="Times New Roman"/>
          <w:szCs w:val="24"/>
        </w:rPr>
      </w:pPr>
      <w:r w:rsidRPr="005A6D79">
        <w:rPr>
          <w:rFonts w:ascii="Times New Roman" w:hAnsi="Times New Roman" w:cs="Times New Roman"/>
          <w:szCs w:val="24"/>
        </w:rPr>
        <w:t xml:space="preserve">The role of risk mitigation strategies such as insurance and liability waivers is also subject to critical evaluation. Although insurance provides financial protection, it does not absolve tourism businesses of legal responsibility. Similarly, liability waivers are only effective when clearly drafted, </w:t>
      </w:r>
      <w:proofErr w:type="gramStart"/>
      <w:r w:rsidRPr="005A6D79">
        <w:rPr>
          <w:rFonts w:ascii="Times New Roman" w:hAnsi="Times New Roman" w:cs="Times New Roman"/>
          <w:szCs w:val="24"/>
        </w:rPr>
        <w:t>fairly presented</w:t>
      </w:r>
      <w:proofErr w:type="gramEnd"/>
      <w:r w:rsidRPr="005A6D79">
        <w:rPr>
          <w:rFonts w:ascii="Times New Roman" w:hAnsi="Times New Roman" w:cs="Times New Roman"/>
          <w:szCs w:val="24"/>
        </w:rPr>
        <w:t>, and consistent with consumer protection legislation. Overreliance on waivers without substantive safety measures may increase rather than reduce legal risk (Weatherill, 2020).</w:t>
      </w:r>
    </w:p>
    <w:p w14:paraId="3347F5D7" w14:textId="77777777" w:rsidR="005A6D79" w:rsidRPr="005A6D79" w:rsidRDefault="005A6D79" w:rsidP="005A6D79">
      <w:pPr>
        <w:spacing w:line="480" w:lineRule="auto"/>
        <w:rPr>
          <w:rFonts w:ascii="Times New Roman" w:hAnsi="Times New Roman" w:cs="Times New Roman"/>
          <w:szCs w:val="24"/>
        </w:rPr>
      </w:pPr>
      <w:r w:rsidRPr="005A6D79">
        <w:rPr>
          <w:rFonts w:ascii="Times New Roman" w:hAnsi="Times New Roman" w:cs="Times New Roman"/>
          <w:szCs w:val="24"/>
        </w:rPr>
        <w:lastRenderedPageBreak/>
        <w:t>Overall, the discussion demonstrates that liability law functions not only as a mechanism for compensation but also as a regulatory tool that shapes industry behaviour. By imposing legal consequences for unsafe or negligent practices, liability law encourages higher safety standards and responsible business conduct within tourism markets.</w:t>
      </w:r>
    </w:p>
    <w:p w14:paraId="3007DCD9" w14:textId="6AAF0A8D" w:rsidR="00831A6D" w:rsidRPr="005A6D79" w:rsidRDefault="00831A6D" w:rsidP="005A6D79">
      <w:pPr>
        <w:spacing w:line="480" w:lineRule="auto"/>
        <w:rPr>
          <w:rFonts w:ascii="Times New Roman" w:hAnsi="Times New Roman" w:cs="Times New Roman"/>
          <w:szCs w:val="24"/>
        </w:rPr>
      </w:pPr>
    </w:p>
    <w:p w14:paraId="02B994D5" w14:textId="77777777" w:rsidR="005A6D79" w:rsidRPr="005A6D79" w:rsidRDefault="005A6D79" w:rsidP="005A6D79">
      <w:pPr>
        <w:spacing w:line="480" w:lineRule="auto"/>
        <w:rPr>
          <w:rFonts w:ascii="Times New Roman" w:hAnsi="Times New Roman" w:cs="Times New Roman"/>
          <w:szCs w:val="24"/>
        </w:rPr>
      </w:pPr>
    </w:p>
    <w:p w14:paraId="29D09441" w14:textId="77777777" w:rsidR="005A6D79" w:rsidRPr="005A6D79" w:rsidRDefault="005A6D79" w:rsidP="005A6D79">
      <w:pPr>
        <w:spacing w:line="480" w:lineRule="auto"/>
        <w:rPr>
          <w:rFonts w:ascii="Times New Roman" w:hAnsi="Times New Roman" w:cs="Times New Roman"/>
          <w:szCs w:val="24"/>
        </w:rPr>
      </w:pPr>
    </w:p>
    <w:p w14:paraId="0918F616" w14:textId="77777777" w:rsidR="005A6D79" w:rsidRPr="005A6D79" w:rsidRDefault="005A6D79" w:rsidP="005A6D79">
      <w:pPr>
        <w:spacing w:line="480" w:lineRule="auto"/>
        <w:rPr>
          <w:rFonts w:ascii="Times New Roman" w:hAnsi="Times New Roman" w:cs="Times New Roman"/>
          <w:szCs w:val="24"/>
        </w:rPr>
      </w:pPr>
    </w:p>
    <w:p w14:paraId="65C04CBE" w14:textId="77777777" w:rsidR="008125F0" w:rsidRPr="005A6D79" w:rsidRDefault="008125F0" w:rsidP="00831A6D">
      <w:pPr>
        <w:spacing w:line="480" w:lineRule="auto"/>
        <w:rPr>
          <w:rFonts w:ascii="Times New Roman" w:hAnsi="Times New Roman" w:cs="Times New Roman"/>
          <w:szCs w:val="24"/>
        </w:rPr>
      </w:pPr>
    </w:p>
    <w:p w14:paraId="2E34A646" w14:textId="77777777" w:rsidR="008125F0" w:rsidRPr="005A6D79" w:rsidRDefault="008125F0" w:rsidP="00831A6D">
      <w:pPr>
        <w:spacing w:line="480" w:lineRule="auto"/>
        <w:rPr>
          <w:rFonts w:ascii="Times New Roman" w:hAnsi="Times New Roman" w:cs="Times New Roman"/>
          <w:szCs w:val="24"/>
        </w:rPr>
      </w:pPr>
    </w:p>
    <w:p w14:paraId="677A4F98" w14:textId="77777777" w:rsidR="008125F0" w:rsidRPr="005A6D79" w:rsidRDefault="008125F0" w:rsidP="00831A6D">
      <w:pPr>
        <w:spacing w:line="480" w:lineRule="auto"/>
        <w:rPr>
          <w:rFonts w:ascii="Times New Roman" w:hAnsi="Times New Roman" w:cs="Times New Roman"/>
          <w:szCs w:val="24"/>
        </w:rPr>
      </w:pPr>
    </w:p>
    <w:p w14:paraId="3E136BAE" w14:textId="77777777" w:rsidR="008125F0" w:rsidRPr="005A6D79" w:rsidRDefault="008125F0" w:rsidP="00831A6D">
      <w:pPr>
        <w:spacing w:line="480" w:lineRule="auto"/>
        <w:rPr>
          <w:rFonts w:ascii="Times New Roman" w:hAnsi="Times New Roman" w:cs="Times New Roman"/>
          <w:szCs w:val="24"/>
        </w:rPr>
      </w:pPr>
    </w:p>
    <w:p w14:paraId="287676B2" w14:textId="77777777" w:rsidR="008125F0" w:rsidRPr="005A6D79" w:rsidRDefault="008125F0" w:rsidP="00831A6D">
      <w:pPr>
        <w:spacing w:line="480" w:lineRule="auto"/>
        <w:rPr>
          <w:rFonts w:ascii="Times New Roman" w:hAnsi="Times New Roman" w:cs="Times New Roman"/>
          <w:szCs w:val="24"/>
        </w:rPr>
      </w:pPr>
    </w:p>
    <w:p w14:paraId="1A1BDF10" w14:textId="77777777" w:rsidR="008125F0" w:rsidRPr="005A6D79" w:rsidRDefault="008125F0" w:rsidP="00831A6D">
      <w:pPr>
        <w:spacing w:line="480" w:lineRule="auto"/>
        <w:rPr>
          <w:rFonts w:ascii="Times New Roman" w:hAnsi="Times New Roman" w:cs="Times New Roman"/>
          <w:szCs w:val="24"/>
        </w:rPr>
      </w:pPr>
    </w:p>
    <w:p w14:paraId="261C0306" w14:textId="77777777" w:rsidR="008125F0" w:rsidRPr="005A6D79" w:rsidRDefault="008125F0" w:rsidP="00831A6D">
      <w:pPr>
        <w:spacing w:line="480" w:lineRule="auto"/>
        <w:rPr>
          <w:rFonts w:ascii="Times New Roman" w:hAnsi="Times New Roman" w:cs="Times New Roman"/>
          <w:szCs w:val="24"/>
        </w:rPr>
      </w:pPr>
    </w:p>
    <w:p w14:paraId="4FDE96B4" w14:textId="77777777" w:rsidR="008125F0" w:rsidRPr="005A6D79" w:rsidRDefault="008125F0" w:rsidP="00831A6D">
      <w:pPr>
        <w:spacing w:line="480" w:lineRule="auto"/>
        <w:rPr>
          <w:rFonts w:ascii="Times New Roman" w:hAnsi="Times New Roman" w:cs="Times New Roman"/>
          <w:szCs w:val="24"/>
        </w:rPr>
      </w:pPr>
    </w:p>
    <w:p w14:paraId="591B96AE" w14:textId="77777777" w:rsidR="008125F0" w:rsidRPr="005A6D79" w:rsidRDefault="008125F0" w:rsidP="00831A6D">
      <w:pPr>
        <w:spacing w:line="480" w:lineRule="auto"/>
        <w:rPr>
          <w:rFonts w:ascii="Times New Roman" w:hAnsi="Times New Roman" w:cs="Times New Roman"/>
          <w:szCs w:val="24"/>
        </w:rPr>
      </w:pPr>
    </w:p>
    <w:p w14:paraId="6454E5B3" w14:textId="77777777" w:rsidR="000437FE" w:rsidRPr="005A6D79" w:rsidRDefault="000437FE" w:rsidP="002F73F5">
      <w:pPr>
        <w:spacing w:line="480" w:lineRule="auto"/>
        <w:rPr>
          <w:rFonts w:ascii="Times New Roman" w:hAnsi="Times New Roman" w:cs="Times New Roman"/>
          <w:szCs w:val="24"/>
        </w:rPr>
      </w:pPr>
    </w:p>
    <w:p w14:paraId="2301DAF8" w14:textId="77777777" w:rsidR="005A6D79" w:rsidRPr="005A6D79" w:rsidRDefault="00EB264E" w:rsidP="005A6D79">
      <w:pPr>
        <w:spacing w:line="480" w:lineRule="auto"/>
        <w:rPr>
          <w:rFonts w:ascii="Times New Roman" w:hAnsi="Times New Roman" w:cs="Times New Roman"/>
          <w:szCs w:val="24"/>
        </w:rPr>
      </w:pPr>
      <w:bookmarkStart w:id="6" w:name="_Toc221201960"/>
      <w:r w:rsidRPr="005A6D79">
        <w:rPr>
          <w:rStyle w:val="Heading1Char"/>
          <w:rFonts w:ascii="Times New Roman" w:hAnsi="Times New Roman" w:cs="Times New Roman"/>
          <w:b/>
          <w:bCs/>
          <w:color w:val="auto"/>
          <w:sz w:val="24"/>
          <w:szCs w:val="24"/>
        </w:rPr>
        <w:lastRenderedPageBreak/>
        <w:t>6</w:t>
      </w:r>
      <w:r w:rsidR="00F11085" w:rsidRPr="005A6D79">
        <w:rPr>
          <w:rStyle w:val="Heading1Char"/>
          <w:rFonts w:ascii="Times New Roman" w:hAnsi="Times New Roman" w:cs="Times New Roman"/>
          <w:b/>
          <w:bCs/>
          <w:color w:val="auto"/>
          <w:sz w:val="24"/>
          <w:szCs w:val="24"/>
        </w:rPr>
        <w:t>. Conclusion</w:t>
      </w:r>
      <w:bookmarkEnd w:id="6"/>
      <w:r w:rsidR="00F11085" w:rsidRPr="005A6D79">
        <w:rPr>
          <w:rFonts w:ascii="Times New Roman" w:hAnsi="Times New Roman" w:cs="Times New Roman"/>
          <w:b/>
          <w:bCs/>
          <w:szCs w:val="24"/>
        </w:rPr>
        <w:t xml:space="preserve"> </w:t>
      </w:r>
      <w:r w:rsidR="00F11085" w:rsidRPr="005A6D79">
        <w:rPr>
          <w:rFonts w:ascii="Times New Roman" w:hAnsi="Times New Roman" w:cs="Times New Roman"/>
          <w:szCs w:val="24"/>
        </w:rPr>
        <w:br/>
      </w:r>
      <w:bookmarkStart w:id="7" w:name="_Toc221201961"/>
      <w:r w:rsidR="005A6D79" w:rsidRPr="005A6D79">
        <w:rPr>
          <w:rFonts w:ascii="Times New Roman" w:hAnsi="Times New Roman" w:cs="Times New Roman"/>
          <w:szCs w:val="24"/>
        </w:rPr>
        <w:t>This assignment has examined liability and legal risks in the tourism industry, highlighting the complex legal responsibilities faced by tourism businesses. The analysis demonstrates that tourism operators are exposed to heightened legal risk due to the experiential, service-based, and often hazardous nature of tourism activities. Negligence, strict liability, vicarious liability, and contractual breaches emerge as key sources of legal exposure, particularly in relation to personal injury, service failure, and property loss.</w:t>
      </w:r>
    </w:p>
    <w:p w14:paraId="193A22C1" w14:textId="77777777" w:rsidR="005A6D79" w:rsidRPr="005A6D79" w:rsidRDefault="005A6D79" w:rsidP="005A6D79">
      <w:pPr>
        <w:spacing w:line="480" w:lineRule="auto"/>
        <w:rPr>
          <w:rFonts w:ascii="Times New Roman" w:hAnsi="Times New Roman" w:cs="Times New Roman"/>
          <w:szCs w:val="24"/>
        </w:rPr>
      </w:pPr>
      <w:r w:rsidRPr="005A6D79">
        <w:rPr>
          <w:rFonts w:ascii="Times New Roman" w:hAnsi="Times New Roman" w:cs="Times New Roman"/>
          <w:szCs w:val="24"/>
        </w:rPr>
        <w:t>The findings and discussion confirm that courts increasingly expect tourism businesses to adopt proactive risk management practices and uphold high standards of care. Legal liability is no longer confined to isolated incidents but reflects broader expectations regarding safety, professionalism, and consumer protection. While contractual clauses, waivers, and insurance can mitigate financial exposure, they cannot replace the fundamental duty of care owed to consumers.</w:t>
      </w:r>
    </w:p>
    <w:p w14:paraId="6654049A" w14:textId="77777777" w:rsidR="005A6D79" w:rsidRPr="005A6D79" w:rsidRDefault="005A6D79" w:rsidP="005A6D79">
      <w:pPr>
        <w:spacing w:line="480" w:lineRule="auto"/>
        <w:rPr>
          <w:rFonts w:ascii="Times New Roman" w:hAnsi="Times New Roman" w:cs="Times New Roman"/>
          <w:szCs w:val="24"/>
        </w:rPr>
      </w:pPr>
      <w:r w:rsidRPr="005A6D79">
        <w:rPr>
          <w:rFonts w:ascii="Times New Roman" w:hAnsi="Times New Roman" w:cs="Times New Roman"/>
          <w:szCs w:val="24"/>
        </w:rPr>
        <w:t>Overall, effective liability management is essential for protecting tourists, maintaining legal compliance, and ensuring sustainable tourism operations. As tourism continues to evolve through digitalisation, adventure experiences, and global mobility, tourism businesses must continuously adapt their legal and risk management strategies to meet growing legal and ethical expectations.</w:t>
      </w:r>
    </w:p>
    <w:p w14:paraId="6248AB64" w14:textId="77777777" w:rsidR="005A6D79" w:rsidRPr="005A6D79" w:rsidRDefault="005A6D79" w:rsidP="005A6D79">
      <w:pPr>
        <w:spacing w:line="480" w:lineRule="auto"/>
        <w:rPr>
          <w:rFonts w:ascii="Times New Roman" w:hAnsi="Times New Roman" w:cs="Times New Roman"/>
          <w:b/>
          <w:bCs/>
          <w:szCs w:val="24"/>
        </w:rPr>
      </w:pPr>
    </w:p>
    <w:p w14:paraId="0001591A" w14:textId="77777777" w:rsidR="005A6D79" w:rsidRPr="005A6D79" w:rsidRDefault="005A6D79" w:rsidP="005A6D79">
      <w:pPr>
        <w:spacing w:line="480" w:lineRule="auto"/>
        <w:rPr>
          <w:rFonts w:ascii="Times New Roman" w:hAnsi="Times New Roman" w:cs="Times New Roman"/>
          <w:b/>
          <w:bCs/>
          <w:szCs w:val="24"/>
        </w:rPr>
      </w:pPr>
    </w:p>
    <w:p w14:paraId="4E2C412A" w14:textId="77777777" w:rsidR="005A6D79" w:rsidRPr="005A6D79" w:rsidRDefault="005A6D79" w:rsidP="005A6D79">
      <w:pPr>
        <w:spacing w:line="480" w:lineRule="auto"/>
        <w:rPr>
          <w:rFonts w:ascii="Times New Roman" w:hAnsi="Times New Roman" w:cs="Times New Roman"/>
          <w:b/>
          <w:bCs/>
          <w:szCs w:val="24"/>
        </w:rPr>
      </w:pPr>
    </w:p>
    <w:p w14:paraId="562A94A3" w14:textId="77777777" w:rsidR="005A6D79" w:rsidRPr="005A6D79" w:rsidRDefault="005A6D79" w:rsidP="005A6D79">
      <w:pPr>
        <w:spacing w:line="480" w:lineRule="auto"/>
        <w:rPr>
          <w:rFonts w:ascii="Times New Roman" w:hAnsi="Times New Roman" w:cs="Times New Roman"/>
          <w:b/>
          <w:bCs/>
          <w:szCs w:val="24"/>
        </w:rPr>
      </w:pPr>
    </w:p>
    <w:p w14:paraId="0881047A" w14:textId="12CCCEEA" w:rsidR="004D7D13" w:rsidRPr="005A6D79" w:rsidRDefault="004D7D13" w:rsidP="005A6D79">
      <w:pPr>
        <w:spacing w:line="480" w:lineRule="auto"/>
        <w:rPr>
          <w:rFonts w:ascii="Times New Roman" w:hAnsi="Times New Roman" w:cs="Times New Roman"/>
          <w:b/>
          <w:bCs/>
          <w:szCs w:val="24"/>
        </w:rPr>
      </w:pPr>
      <w:r w:rsidRPr="005A6D79">
        <w:rPr>
          <w:rFonts w:ascii="Times New Roman" w:hAnsi="Times New Roman" w:cs="Times New Roman"/>
          <w:b/>
          <w:bCs/>
          <w:szCs w:val="24"/>
        </w:rPr>
        <w:lastRenderedPageBreak/>
        <w:t>Reference List</w:t>
      </w:r>
      <w:bookmarkEnd w:id="7"/>
      <w:r w:rsidRPr="005A6D79">
        <w:rPr>
          <w:rFonts w:ascii="Times New Roman" w:hAnsi="Times New Roman" w:cs="Times New Roman"/>
          <w:b/>
          <w:bCs/>
          <w:szCs w:val="24"/>
        </w:rPr>
        <w:t xml:space="preserve"> </w:t>
      </w:r>
    </w:p>
    <w:p w14:paraId="71BFCE8F" w14:textId="77777777" w:rsidR="005A6D79" w:rsidRPr="005A6D79" w:rsidRDefault="005A6D79" w:rsidP="005A6D79">
      <w:pPr>
        <w:spacing w:line="480" w:lineRule="auto"/>
        <w:rPr>
          <w:rFonts w:ascii="Times New Roman" w:hAnsi="Times New Roman" w:cs="Times New Roman"/>
          <w:szCs w:val="24"/>
        </w:rPr>
      </w:pPr>
      <w:r w:rsidRPr="005A6D79">
        <w:rPr>
          <w:rFonts w:ascii="Times New Roman" w:hAnsi="Times New Roman" w:cs="Times New Roman"/>
          <w:szCs w:val="24"/>
        </w:rPr>
        <w:t xml:space="preserve">Dickerson, T. A. (2021). </w:t>
      </w:r>
      <w:r w:rsidRPr="005A6D79">
        <w:rPr>
          <w:rFonts w:ascii="Times New Roman" w:hAnsi="Times New Roman" w:cs="Times New Roman"/>
          <w:i/>
          <w:iCs/>
          <w:szCs w:val="24"/>
        </w:rPr>
        <w:t>Travel law</w:t>
      </w:r>
      <w:r w:rsidRPr="005A6D79">
        <w:rPr>
          <w:rFonts w:ascii="Times New Roman" w:hAnsi="Times New Roman" w:cs="Times New Roman"/>
          <w:szCs w:val="24"/>
        </w:rPr>
        <w:t xml:space="preserve"> (7th ed.). Law Journal Press.</w:t>
      </w:r>
    </w:p>
    <w:p w14:paraId="666433D1" w14:textId="77777777" w:rsidR="005A6D79" w:rsidRPr="005A6D79" w:rsidRDefault="005A6D79" w:rsidP="005A6D79">
      <w:pPr>
        <w:spacing w:line="480" w:lineRule="auto"/>
        <w:rPr>
          <w:rFonts w:ascii="Times New Roman" w:hAnsi="Times New Roman" w:cs="Times New Roman"/>
          <w:szCs w:val="24"/>
        </w:rPr>
      </w:pPr>
      <w:r w:rsidRPr="005A6D79">
        <w:rPr>
          <w:rFonts w:ascii="Times New Roman" w:hAnsi="Times New Roman" w:cs="Times New Roman"/>
          <w:szCs w:val="24"/>
        </w:rPr>
        <w:t xml:space="preserve">Hall, C. M. (2019). Tourism and risk: Global perspectives. </w:t>
      </w:r>
      <w:r w:rsidRPr="005A6D79">
        <w:rPr>
          <w:rFonts w:ascii="Times New Roman" w:hAnsi="Times New Roman" w:cs="Times New Roman"/>
          <w:i/>
          <w:iCs/>
          <w:szCs w:val="24"/>
        </w:rPr>
        <w:t>Journal of Sustainable Tourism, 27</w:t>
      </w:r>
      <w:r w:rsidRPr="005A6D79">
        <w:rPr>
          <w:rFonts w:ascii="Times New Roman" w:hAnsi="Times New Roman" w:cs="Times New Roman"/>
          <w:szCs w:val="24"/>
        </w:rPr>
        <w:t>(4), 558–576. https://doi.org/10.1080/09669582.2018.1526291</w:t>
      </w:r>
    </w:p>
    <w:p w14:paraId="2D24BA1C" w14:textId="77777777" w:rsidR="005A6D79" w:rsidRPr="005A6D79" w:rsidRDefault="005A6D79" w:rsidP="005A6D79">
      <w:pPr>
        <w:spacing w:line="480" w:lineRule="auto"/>
        <w:rPr>
          <w:rFonts w:ascii="Times New Roman" w:hAnsi="Times New Roman" w:cs="Times New Roman"/>
          <w:szCs w:val="24"/>
        </w:rPr>
      </w:pPr>
      <w:r w:rsidRPr="005A6D79">
        <w:rPr>
          <w:rFonts w:ascii="Times New Roman" w:hAnsi="Times New Roman" w:cs="Times New Roman"/>
          <w:szCs w:val="24"/>
        </w:rPr>
        <w:t xml:space="preserve">Kasim, A., &amp; Wickens, E. (2016). Risk management in tourism. </w:t>
      </w:r>
      <w:r w:rsidRPr="005A6D79">
        <w:rPr>
          <w:rFonts w:ascii="Times New Roman" w:hAnsi="Times New Roman" w:cs="Times New Roman"/>
          <w:i/>
          <w:iCs/>
          <w:szCs w:val="24"/>
        </w:rPr>
        <w:t>International Journal of Contemporary Hospitality Management, 28</w:t>
      </w:r>
      <w:r w:rsidRPr="005A6D79">
        <w:rPr>
          <w:rFonts w:ascii="Times New Roman" w:hAnsi="Times New Roman" w:cs="Times New Roman"/>
          <w:szCs w:val="24"/>
        </w:rPr>
        <w:t>(8), 1591–1607. https://doi.org/10.1108/IJCHM-10-2014-0509</w:t>
      </w:r>
    </w:p>
    <w:p w14:paraId="75048E33" w14:textId="77777777" w:rsidR="005A6D79" w:rsidRPr="005A6D79" w:rsidRDefault="005A6D79" w:rsidP="005A6D79">
      <w:pPr>
        <w:spacing w:line="480" w:lineRule="auto"/>
        <w:rPr>
          <w:rFonts w:ascii="Times New Roman" w:hAnsi="Times New Roman" w:cs="Times New Roman"/>
          <w:szCs w:val="24"/>
        </w:rPr>
      </w:pPr>
      <w:r w:rsidRPr="005A6D79">
        <w:rPr>
          <w:rFonts w:ascii="Times New Roman" w:hAnsi="Times New Roman" w:cs="Times New Roman"/>
          <w:szCs w:val="24"/>
        </w:rPr>
        <w:t xml:space="preserve">McDonald, J. (2020). Employer liability and risk exposure in service industries. </w:t>
      </w:r>
      <w:r w:rsidRPr="005A6D79">
        <w:rPr>
          <w:rFonts w:ascii="Times New Roman" w:hAnsi="Times New Roman" w:cs="Times New Roman"/>
          <w:i/>
          <w:iCs/>
          <w:szCs w:val="24"/>
        </w:rPr>
        <w:t>International Journal of Law and Management, 62</w:t>
      </w:r>
      <w:r w:rsidRPr="005A6D79">
        <w:rPr>
          <w:rFonts w:ascii="Times New Roman" w:hAnsi="Times New Roman" w:cs="Times New Roman"/>
          <w:szCs w:val="24"/>
        </w:rPr>
        <w:t>(3), 233–248. https://doi.org/10.1108/IJLMA-06-2019-0142</w:t>
      </w:r>
    </w:p>
    <w:p w14:paraId="4AD0260D" w14:textId="77777777" w:rsidR="005A6D79" w:rsidRPr="005A6D79" w:rsidRDefault="005A6D79" w:rsidP="005A6D79">
      <w:pPr>
        <w:spacing w:line="480" w:lineRule="auto"/>
        <w:rPr>
          <w:rFonts w:ascii="Times New Roman" w:hAnsi="Times New Roman" w:cs="Times New Roman"/>
          <w:szCs w:val="24"/>
        </w:rPr>
      </w:pPr>
      <w:r w:rsidRPr="005A6D79">
        <w:rPr>
          <w:rFonts w:ascii="Times New Roman" w:hAnsi="Times New Roman" w:cs="Times New Roman"/>
          <w:szCs w:val="24"/>
        </w:rPr>
        <w:t xml:space="preserve">Mendelsohn, M. (2017). Liability waivers and enforceability in tourism. </w:t>
      </w:r>
      <w:r w:rsidRPr="005A6D79">
        <w:rPr>
          <w:rFonts w:ascii="Times New Roman" w:hAnsi="Times New Roman" w:cs="Times New Roman"/>
          <w:i/>
          <w:iCs/>
          <w:szCs w:val="24"/>
        </w:rPr>
        <w:t>Journal of Travel Research, 56</w:t>
      </w:r>
      <w:r w:rsidRPr="005A6D79">
        <w:rPr>
          <w:rFonts w:ascii="Times New Roman" w:hAnsi="Times New Roman" w:cs="Times New Roman"/>
          <w:szCs w:val="24"/>
        </w:rPr>
        <w:t>(6), 768–780. https://doi.org/10.1177/0047287516669051</w:t>
      </w:r>
    </w:p>
    <w:p w14:paraId="2E508D60" w14:textId="77777777" w:rsidR="005A6D79" w:rsidRPr="005A6D79" w:rsidRDefault="005A6D79" w:rsidP="005A6D79">
      <w:pPr>
        <w:spacing w:line="480" w:lineRule="auto"/>
        <w:rPr>
          <w:rFonts w:ascii="Times New Roman" w:hAnsi="Times New Roman" w:cs="Times New Roman"/>
          <w:szCs w:val="24"/>
        </w:rPr>
      </w:pPr>
      <w:r w:rsidRPr="005A6D79">
        <w:rPr>
          <w:rFonts w:ascii="Times New Roman" w:hAnsi="Times New Roman" w:cs="Times New Roman"/>
          <w:szCs w:val="24"/>
        </w:rPr>
        <w:t xml:space="preserve">Poole, J. (2020). </w:t>
      </w:r>
      <w:r w:rsidRPr="005A6D79">
        <w:rPr>
          <w:rFonts w:ascii="Times New Roman" w:hAnsi="Times New Roman" w:cs="Times New Roman"/>
          <w:i/>
          <w:iCs/>
          <w:szCs w:val="24"/>
        </w:rPr>
        <w:t>Textbook on contract law</w:t>
      </w:r>
      <w:r w:rsidRPr="005A6D79">
        <w:rPr>
          <w:rFonts w:ascii="Times New Roman" w:hAnsi="Times New Roman" w:cs="Times New Roman"/>
          <w:szCs w:val="24"/>
        </w:rPr>
        <w:t xml:space="preserve"> (15th ed.). Oxford University Press.</w:t>
      </w:r>
    </w:p>
    <w:p w14:paraId="634C6EBE" w14:textId="77777777" w:rsidR="005A6D79" w:rsidRPr="005A6D79" w:rsidRDefault="005A6D79" w:rsidP="005A6D79">
      <w:pPr>
        <w:spacing w:line="480" w:lineRule="auto"/>
        <w:rPr>
          <w:rFonts w:ascii="Times New Roman" w:hAnsi="Times New Roman" w:cs="Times New Roman"/>
          <w:szCs w:val="24"/>
        </w:rPr>
      </w:pPr>
      <w:r w:rsidRPr="005A6D79">
        <w:rPr>
          <w:rFonts w:ascii="Times New Roman" w:hAnsi="Times New Roman" w:cs="Times New Roman"/>
          <w:szCs w:val="24"/>
        </w:rPr>
        <w:t xml:space="preserve">Rutherford, D. G., &amp; O’Fallon, M. J. (2007). Hotel liability and safety. </w:t>
      </w:r>
      <w:r w:rsidRPr="005A6D79">
        <w:rPr>
          <w:rFonts w:ascii="Times New Roman" w:hAnsi="Times New Roman" w:cs="Times New Roman"/>
          <w:i/>
          <w:iCs/>
          <w:szCs w:val="24"/>
        </w:rPr>
        <w:t>Cornell Hotel and Restaurant Administration Quarterly, 48</w:t>
      </w:r>
      <w:r w:rsidRPr="005A6D79">
        <w:rPr>
          <w:rFonts w:ascii="Times New Roman" w:hAnsi="Times New Roman" w:cs="Times New Roman"/>
          <w:szCs w:val="24"/>
        </w:rPr>
        <w:t>(2), 144–155. https://doi.org/10.1177/0010880407299538</w:t>
      </w:r>
    </w:p>
    <w:p w14:paraId="06416B2F" w14:textId="77777777" w:rsidR="005A6D79" w:rsidRPr="005A6D79" w:rsidRDefault="005A6D79" w:rsidP="005A6D79">
      <w:pPr>
        <w:spacing w:line="480" w:lineRule="auto"/>
        <w:rPr>
          <w:rFonts w:ascii="Times New Roman" w:hAnsi="Times New Roman" w:cs="Times New Roman"/>
          <w:szCs w:val="24"/>
        </w:rPr>
      </w:pPr>
      <w:r w:rsidRPr="005A6D79">
        <w:rPr>
          <w:rFonts w:ascii="Times New Roman" w:hAnsi="Times New Roman" w:cs="Times New Roman"/>
          <w:szCs w:val="24"/>
        </w:rPr>
        <w:t xml:space="preserve">Weatherill, S. (2020). </w:t>
      </w:r>
      <w:r w:rsidRPr="005A6D79">
        <w:rPr>
          <w:rFonts w:ascii="Times New Roman" w:hAnsi="Times New Roman" w:cs="Times New Roman"/>
          <w:i/>
          <w:iCs/>
          <w:szCs w:val="24"/>
        </w:rPr>
        <w:t>EU consumer law and policy</w:t>
      </w:r>
      <w:r w:rsidRPr="005A6D79">
        <w:rPr>
          <w:rFonts w:ascii="Times New Roman" w:hAnsi="Times New Roman" w:cs="Times New Roman"/>
          <w:szCs w:val="24"/>
        </w:rPr>
        <w:t xml:space="preserve"> (2nd ed.). Edward Elgar Publishing. https://doi.org/10.4337/9781788979673</w:t>
      </w:r>
    </w:p>
    <w:p w14:paraId="16B99CBB" w14:textId="77777777" w:rsidR="005A6D79" w:rsidRPr="005A6D79" w:rsidRDefault="005A6D79" w:rsidP="005A6D79">
      <w:pPr>
        <w:spacing w:line="480" w:lineRule="auto"/>
        <w:rPr>
          <w:rFonts w:ascii="Times New Roman" w:hAnsi="Times New Roman" w:cs="Times New Roman"/>
          <w:szCs w:val="24"/>
        </w:rPr>
      </w:pPr>
      <w:proofErr w:type="spellStart"/>
      <w:r w:rsidRPr="005A6D79">
        <w:rPr>
          <w:rFonts w:ascii="Times New Roman" w:hAnsi="Times New Roman" w:cs="Times New Roman"/>
          <w:szCs w:val="24"/>
        </w:rPr>
        <w:t>Buhalis</w:t>
      </w:r>
      <w:proofErr w:type="spellEnd"/>
      <w:r w:rsidRPr="005A6D79">
        <w:rPr>
          <w:rFonts w:ascii="Times New Roman" w:hAnsi="Times New Roman" w:cs="Times New Roman"/>
          <w:szCs w:val="24"/>
        </w:rPr>
        <w:t xml:space="preserve">, D. (2019). Technology and risk management in tourism. </w:t>
      </w:r>
      <w:r w:rsidRPr="005A6D79">
        <w:rPr>
          <w:rFonts w:ascii="Times New Roman" w:hAnsi="Times New Roman" w:cs="Times New Roman"/>
          <w:i/>
          <w:iCs/>
          <w:szCs w:val="24"/>
        </w:rPr>
        <w:t>Tourism Management Perspectives, 30</w:t>
      </w:r>
      <w:r w:rsidRPr="005A6D79">
        <w:rPr>
          <w:rFonts w:ascii="Times New Roman" w:hAnsi="Times New Roman" w:cs="Times New Roman"/>
          <w:szCs w:val="24"/>
        </w:rPr>
        <w:t>, 216–224. https://doi.org/10.1016/j.tmp.2019.02.005</w:t>
      </w:r>
    </w:p>
    <w:p w14:paraId="69BE5D51" w14:textId="77777777" w:rsidR="005A6D79" w:rsidRPr="005A6D79" w:rsidRDefault="005A6D79" w:rsidP="005A6D79">
      <w:pPr>
        <w:spacing w:line="480" w:lineRule="auto"/>
        <w:rPr>
          <w:rFonts w:ascii="Times New Roman" w:hAnsi="Times New Roman" w:cs="Times New Roman"/>
          <w:szCs w:val="24"/>
        </w:rPr>
      </w:pPr>
      <w:r w:rsidRPr="005A6D79">
        <w:rPr>
          <w:rFonts w:ascii="Times New Roman" w:hAnsi="Times New Roman" w:cs="Times New Roman"/>
          <w:szCs w:val="24"/>
        </w:rPr>
        <w:t xml:space="preserve">Hall, C. M., Timothy, D. J., &amp; Duval, D. T. (2015). </w:t>
      </w:r>
      <w:r w:rsidRPr="005A6D79">
        <w:rPr>
          <w:rFonts w:ascii="Times New Roman" w:hAnsi="Times New Roman" w:cs="Times New Roman"/>
          <w:i/>
          <w:iCs/>
          <w:szCs w:val="24"/>
        </w:rPr>
        <w:t>Safety and security in tourism</w:t>
      </w:r>
      <w:r w:rsidRPr="005A6D79">
        <w:rPr>
          <w:rFonts w:ascii="Times New Roman" w:hAnsi="Times New Roman" w:cs="Times New Roman"/>
          <w:szCs w:val="24"/>
        </w:rPr>
        <w:t>. Routledge. https://doi.org/10.4324/9781315727629</w:t>
      </w:r>
    </w:p>
    <w:p w14:paraId="470ECCC9" w14:textId="77777777" w:rsidR="005A6D79" w:rsidRPr="005A6D79" w:rsidRDefault="005A6D79" w:rsidP="005A6D79">
      <w:pPr>
        <w:spacing w:line="480" w:lineRule="auto"/>
        <w:rPr>
          <w:rFonts w:ascii="Times New Roman" w:hAnsi="Times New Roman" w:cs="Times New Roman"/>
          <w:szCs w:val="24"/>
        </w:rPr>
      </w:pPr>
      <w:proofErr w:type="spellStart"/>
      <w:r w:rsidRPr="005A6D79">
        <w:rPr>
          <w:rFonts w:ascii="Times New Roman" w:hAnsi="Times New Roman" w:cs="Times New Roman"/>
          <w:szCs w:val="24"/>
        </w:rPr>
        <w:lastRenderedPageBreak/>
        <w:t>Pizam</w:t>
      </w:r>
      <w:proofErr w:type="spellEnd"/>
      <w:r w:rsidRPr="005A6D79">
        <w:rPr>
          <w:rFonts w:ascii="Times New Roman" w:hAnsi="Times New Roman" w:cs="Times New Roman"/>
          <w:szCs w:val="24"/>
        </w:rPr>
        <w:t xml:space="preserve">, A. (2010). Tourism risk and safety. </w:t>
      </w:r>
      <w:r w:rsidRPr="005A6D79">
        <w:rPr>
          <w:rFonts w:ascii="Times New Roman" w:hAnsi="Times New Roman" w:cs="Times New Roman"/>
          <w:i/>
          <w:iCs/>
          <w:szCs w:val="24"/>
        </w:rPr>
        <w:t>Tourism Economics, 16</w:t>
      </w:r>
      <w:r w:rsidRPr="005A6D79">
        <w:rPr>
          <w:rFonts w:ascii="Times New Roman" w:hAnsi="Times New Roman" w:cs="Times New Roman"/>
          <w:szCs w:val="24"/>
        </w:rPr>
        <w:t>(1), 217–225. https://doi.org/10.5367/000000010790872015</w:t>
      </w:r>
    </w:p>
    <w:p w14:paraId="1DD30520" w14:textId="77777777" w:rsidR="005A6D79" w:rsidRPr="005A6D79" w:rsidRDefault="005A6D79" w:rsidP="005A6D79">
      <w:pPr>
        <w:spacing w:line="480" w:lineRule="auto"/>
        <w:rPr>
          <w:rFonts w:ascii="Times New Roman" w:hAnsi="Times New Roman" w:cs="Times New Roman"/>
          <w:szCs w:val="24"/>
        </w:rPr>
      </w:pPr>
      <w:r w:rsidRPr="005A6D79">
        <w:rPr>
          <w:rFonts w:ascii="Times New Roman" w:hAnsi="Times New Roman" w:cs="Times New Roman"/>
          <w:szCs w:val="24"/>
        </w:rPr>
        <w:t xml:space="preserve">Sigala, M. (2020). Tourism risk, crisis, and resilience. </w:t>
      </w:r>
      <w:r w:rsidRPr="005A6D79">
        <w:rPr>
          <w:rFonts w:ascii="Times New Roman" w:hAnsi="Times New Roman" w:cs="Times New Roman"/>
          <w:i/>
          <w:iCs/>
          <w:szCs w:val="24"/>
        </w:rPr>
        <w:t>Tourism Management Perspectives, 35</w:t>
      </w:r>
      <w:r w:rsidRPr="005A6D79">
        <w:rPr>
          <w:rFonts w:ascii="Times New Roman" w:hAnsi="Times New Roman" w:cs="Times New Roman"/>
          <w:szCs w:val="24"/>
        </w:rPr>
        <w:t>, 100713. https://doi.org/10.1016/j.tmp.2020.100713</w:t>
      </w:r>
    </w:p>
    <w:p w14:paraId="437868C1" w14:textId="77777777" w:rsidR="005A6D79" w:rsidRPr="005A6D79" w:rsidRDefault="005A6D79" w:rsidP="005A6D79">
      <w:pPr>
        <w:spacing w:line="480" w:lineRule="auto"/>
        <w:rPr>
          <w:rFonts w:ascii="Times New Roman" w:hAnsi="Times New Roman" w:cs="Times New Roman"/>
          <w:szCs w:val="24"/>
        </w:rPr>
      </w:pPr>
      <w:r w:rsidRPr="005A6D79">
        <w:rPr>
          <w:rFonts w:ascii="Times New Roman" w:hAnsi="Times New Roman" w:cs="Times New Roman"/>
          <w:szCs w:val="24"/>
        </w:rPr>
        <w:t xml:space="preserve">Tarlow, P. (2014). Tourism security and safety. </w:t>
      </w:r>
      <w:r w:rsidRPr="005A6D79">
        <w:rPr>
          <w:rFonts w:ascii="Times New Roman" w:hAnsi="Times New Roman" w:cs="Times New Roman"/>
          <w:i/>
          <w:iCs/>
          <w:szCs w:val="24"/>
        </w:rPr>
        <w:t>Tourism Review, 69</w:t>
      </w:r>
      <w:r w:rsidRPr="005A6D79">
        <w:rPr>
          <w:rFonts w:ascii="Times New Roman" w:hAnsi="Times New Roman" w:cs="Times New Roman"/>
          <w:szCs w:val="24"/>
        </w:rPr>
        <w:t>(3), 137–144. https://doi.org/10.1108/TR-07-2014-0036</w:t>
      </w:r>
    </w:p>
    <w:p w14:paraId="7D577C91" w14:textId="77777777" w:rsidR="005A6D79" w:rsidRPr="005A6D79" w:rsidRDefault="005A6D79" w:rsidP="005A6D79">
      <w:pPr>
        <w:spacing w:line="480" w:lineRule="auto"/>
        <w:rPr>
          <w:rFonts w:ascii="Times New Roman" w:hAnsi="Times New Roman" w:cs="Times New Roman"/>
          <w:szCs w:val="24"/>
        </w:rPr>
      </w:pPr>
      <w:r w:rsidRPr="005A6D79">
        <w:rPr>
          <w:rFonts w:ascii="Times New Roman" w:hAnsi="Times New Roman" w:cs="Times New Roman"/>
          <w:szCs w:val="24"/>
        </w:rPr>
        <w:t xml:space="preserve">UN World Tourism Organization. (2021). </w:t>
      </w:r>
      <w:r w:rsidRPr="005A6D79">
        <w:rPr>
          <w:rFonts w:ascii="Times New Roman" w:hAnsi="Times New Roman" w:cs="Times New Roman"/>
          <w:i/>
          <w:iCs/>
          <w:szCs w:val="24"/>
        </w:rPr>
        <w:t>International code for the protection of tourists</w:t>
      </w:r>
      <w:r w:rsidRPr="005A6D79">
        <w:rPr>
          <w:rFonts w:ascii="Times New Roman" w:hAnsi="Times New Roman" w:cs="Times New Roman"/>
          <w:szCs w:val="24"/>
        </w:rPr>
        <w:t xml:space="preserve">. </w:t>
      </w:r>
      <w:hyperlink r:id="rId8" w:tgtFrame="_new" w:history="1">
        <w:r w:rsidRPr="005A6D79">
          <w:rPr>
            <w:rStyle w:val="Hyperlink"/>
            <w:rFonts w:ascii="Times New Roman" w:hAnsi="Times New Roman" w:cs="Times New Roman"/>
            <w:szCs w:val="24"/>
          </w:rPr>
          <w:t>https://www.unwto.org</w:t>
        </w:r>
      </w:hyperlink>
    </w:p>
    <w:p w14:paraId="2052B951" w14:textId="77777777" w:rsidR="005A6D79" w:rsidRPr="005A6D79" w:rsidRDefault="005A6D79" w:rsidP="005A6D79">
      <w:pPr>
        <w:spacing w:line="480" w:lineRule="auto"/>
        <w:rPr>
          <w:rFonts w:ascii="Times New Roman" w:hAnsi="Times New Roman" w:cs="Times New Roman"/>
          <w:szCs w:val="24"/>
        </w:rPr>
      </w:pPr>
      <w:r w:rsidRPr="005A6D79">
        <w:rPr>
          <w:rFonts w:ascii="Times New Roman" w:hAnsi="Times New Roman" w:cs="Times New Roman"/>
          <w:szCs w:val="24"/>
        </w:rPr>
        <w:t xml:space="preserve">European Commission. (2022). </w:t>
      </w:r>
      <w:r w:rsidRPr="005A6D79">
        <w:rPr>
          <w:rFonts w:ascii="Times New Roman" w:hAnsi="Times New Roman" w:cs="Times New Roman"/>
          <w:i/>
          <w:iCs/>
          <w:szCs w:val="24"/>
        </w:rPr>
        <w:t>Liability and safety obligations in tourism services</w:t>
      </w:r>
      <w:r w:rsidRPr="005A6D79">
        <w:rPr>
          <w:rFonts w:ascii="Times New Roman" w:hAnsi="Times New Roman" w:cs="Times New Roman"/>
          <w:szCs w:val="24"/>
        </w:rPr>
        <w:t xml:space="preserve">. </w:t>
      </w:r>
      <w:hyperlink r:id="rId9" w:tgtFrame="_new" w:history="1">
        <w:r w:rsidRPr="005A6D79">
          <w:rPr>
            <w:rStyle w:val="Hyperlink"/>
            <w:rFonts w:ascii="Times New Roman" w:hAnsi="Times New Roman" w:cs="Times New Roman"/>
            <w:szCs w:val="24"/>
          </w:rPr>
          <w:t>https://commission.europa.eu</w:t>
        </w:r>
      </w:hyperlink>
    </w:p>
    <w:p w14:paraId="18D123F1" w14:textId="77777777" w:rsidR="00F11085" w:rsidRPr="005A6D79" w:rsidRDefault="00F11085" w:rsidP="003D68C5">
      <w:pPr>
        <w:spacing w:line="480" w:lineRule="auto"/>
        <w:rPr>
          <w:rFonts w:ascii="Times New Roman" w:hAnsi="Times New Roman" w:cs="Times New Roman"/>
          <w:szCs w:val="24"/>
          <w:lang w:val="en-US"/>
        </w:rPr>
      </w:pPr>
    </w:p>
    <w:sectPr w:rsidR="00F11085" w:rsidRPr="005A6D7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5515D8"/>
    <w:multiLevelType w:val="multilevel"/>
    <w:tmpl w:val="49A46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634F64"/>
    <w:multiLevelType w:val="multilevel"/>
    <w:tmpl w:val="EA704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1702379"/>
    <w:multiLevelType w:val="multilevel"/>
    <w:tmpl w:val="38765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4"/>
  </w:num>
  <w:num w:numId="2" w16cid:durableId="1928492258">
    <w:abstractNumId w:val="17"/>
  </w:num>
  <w:num w:numId="3" w16cid:durableId="1950237153">
    <w:abstractNumId w:val="3"/>
  </w:num>
  <w:num w:numId="4" w16cid:durableId="1363168827">
    <w:abstractNumId w:val="22"/>
  </w:num>
  <w:num w:numId="5" w16cid:durableId="357974320">
    <w:abstractNumId w:val="6"/>
  </w:num>
  <w:num w:numId="6" w16cid:durableId="579674841">
    <w:abstractNumId w:val="7"/>
  </w:num>
  <w:num w:numId="7" w16cid:durableId="359084666">
    <w:abstractNumId w:val="5"/>
  </w:num>
  <w:num w:numId="8" w16cid:durableId="1333096502">
    <w:abstractNumId w:val="18"/>
  </w:num>
  <w:num w:numId="9" w16cid:durableId="897087251">
    <w:abstractNumId w:val="24"/>
  </w:num>
  <w:num w:numId="10" w16cid:durableId="1949465594">
    <w:abstractNumId w:val="28"/>
  </w:num>
  <w:num w:numId="11" w16cid:durableId="540483361">
    <w:abstractNumId w:val="21"/>
  </w:num>
  <w:num w:numId="12" w16cid:durableId="949244108">
    <w:abstractNumId w:val="26"/>
  </w:num>
  <w:num w:numId="13" w16cid:durableId="646470493">
    <w:abstractNumId w:val="13"/>
  </w:num>
  <w:num w:numId="14" w16cid:durableId="1633947311">
    <w:abstractNumId w:val="31"/>
  </w:num>
  <w:num w:numId="15" w16cid:durableId="958996080">
    <w:abstractNumId w:val="19"/>
  </w:num>
  <w:num w:numId="16" w16cid:durableId="1218054281">
    <w:abstractNumId w:val="10"/>
  </w:num>
  <w:num w:numId="17" w16cid:durableId="303777591">
    <w:abstractNumId w:val="15"/>
  </w:num>
  <w:num w:numId="18" w16cid:durableId="802387298">
    <w:abstractNumId w:val="29"/>
  </w:num>
  <w:num w:numId="19" w16cid:durableId="1948197075">
    <w:abstractNumId w:val="0"/>
  </w:num>
  <w:num w:numId="20" w16cid:durableId="1655917397">
    <w:abstractNumId w:val="9"/>
  </w:num>
  <w:num w:numId="21" w16cid:durableId="1052074971">
    <w:abstractNumId w:val="2"/>
  </w:num>
  <w:num w:numId="22" w16cid:durableId="98644351">
    <w:abstractNumId w:val="33"/>
  </w:num>
  <w:num w:numId="23" w16cid:durableId="1674335103">
    <w:abstractNumId w:val="34"/>
  </w:num>
  <w:num w:numId="24" w16cid:durableId="1212956802">
    <w:abstractNumId w:val="1"/>
  </w:num>
  <w:num w:numId="25" w16cid:durableId="1806390333">
    <w:abstractNumId w:val="30"/>
  </w:num>
  <w:num w:numId="26" w16cid:durableId="1089423568">
    <w:abstractNumId w:val="4"/>
  </w:num>
  <w:num w:numId="27" w16cid:durableId="1158611673">
    <w:abstractNumId w:val="20"/>
  </w:num>
  <w:num w:numId="28" w16cid:durableId="839468264">
    <w:abstractNumId w:val="11"/>
  </w:num>
  <w:num w:numId="29" w16cid:durableId="1218474286">
    <w:abstractNumId w:val="12"/>
  </w:num>
  <w:num w:numId="30" w16cid:durableId="1486164698">
    <w:abstractNumId w:val="32"/>
  </w:num>
  <w:num w:numId="31" w16cid:durableId="2007511022">
    <w:abstractNumId w:val="23"/>
  </w:num>
  <w:num w:numId="32" w16cid:durableId="1795828787">
    <w:abstractNumId w:val="16"/>
  </w:num>
  <w:num w:numId="33" w16cid:durableId="1348405068">
    <w:abstractNumId w:val="25"/>
  </w:num>
  <w:num w:numId="34" w16cid:durableId="1460762161">
    <w:abstractNumId w:val="27"/>
  </w:num>
  <w:num w:numId="35" w16cid:durableId="202200648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2165"/>
    <w:rsid w:val="00013DBD"/>
    <w:rsid w:val="00023322"/>
    <w:rsid w:val="00030EF9"/>
    <w:rsid w:val="000318AA"/>
    <w:rsid w:val="000437FE"/>
    <w:rsid w:val="00045641"/>
    <w:rsid w:val="000512A3"/>
    <w:rsid w:val="00057821"/>
    <w:rsid w:val="0006425E"/>
    <w:rsid w:val="00066DA5"/>
    <w:rsid w:val="00085DFC"/>
    <w:rsid w:val="0009281E"/>
    <w:rsid w:val="00092BBD"/>
    <w:rsid w:val="000C4AFA"/>
    <w:rsid w:val="000D12EF"/>
    <w:rsid w:val="000E04F4"/>
    <w:rsid w:val="000E1A2C"/>
    <w:rsid w:val="000F369F"/>
    <w:rsid w:val="0011588B"/>
    <w:rsid w:val="00151724"/>
    <w:rsid w:val="00160E9C"/>
    <w:rsid w:val="00174C04"/>
    <w:rsid w:val="00183304"/>
    <w:rsid w:val="0018722F"/>
    <w:rsid w:val="001F1C7B"/>
    <w:rsid w:val="0023731E"/>
    <w:rsid w:val="00253A27"/>
    <w:rsid w:val="0025617E"/>
    <w:rsid w:val="002576A9"/>
    <w:rsid w:val="00275EAE"/>
    <w:rsid w:val="002F73F5"/>
    <w:rsid w:val="0033247F"/>
    <w:rsid w:val="003457EF"/>
    <w:rsid w:val="00375277"/>
    <w:rsid w:val="00377FF0"/>
    <w:rsid w:val="003900F7"/>
    <w:rsid w:val="00394C39"/>
    <w:rsid w:val="003A5BF6"/>
    <w:rsid w:val="003D68C5"/>
    <w:rsid w:val="003F67E3"/>
    <w:rsid w:val="00426EA7"/>
    <w:rsid w:val="004543F0"/>
    <w:rsid w:val="00461DBF"/>
    <w:rsid w:val="00496E55"/>
    <w:rsid w:val="004A1F6F"/>
    <w:rsid w:val="004C1220"/>
    <w:rsid w:val="004C34DB"/>
    <w:rsid w:val="004D7D13"/>
    <w:rsid w:val="004E3186"/>
    <w:rsid w:val="004E3D1C"/>
    <w:rsid w:val="005236D9"/>
    <w:rsid w:val="005451DE"/>
    <w:rsid w:val="005636D9"/>
    <w:rsid w:val="00563C07"/>
    <w:rsid w:val="00582227"/>
    <w:rsid w:val="00590878"/>
    <w:rsid w:val="00590BBC"/>
    <w:rsid w:val="005A0794"/>
    <w:rsid w:val="005A6D79"/>
    <w:rsid w:val="005B0192"/>
    <w:rsid w:val="005C7750"/>
    <w:rsid w:val="00613E81"/>
    <w:rsid w:val="00626634"/>
    <w:rsid w:val="00632ED6"/>
    <w:rsid w:val="00635AB0"/>
    <w:rsid w:val="00654B4B"/>
    <w:rsid w:val="006640E0"/>
    <w:rsid w:val="00664D7C"/>
    <w:rsid w:val="006826F9"/>
    <w:rsid w:val="006D483F"/>
    <w:rsid w:val="00714A73"/>
    <w:rsid w:val="007469A5"/>
    <w:rsid w:val="00763D1C"/>
    <w:rsid w:val="00770D56"/>
    <w:rsid w:val="007F2D81"/>
    <w:rsid w:val="00810849"/>
    <w:rsid w:val="008125F0"/>
    <w:rsid w:val="00825AA5"/>
    <w:rsid w:val="00825F73"/>
    <w:rsid w:val="008302E2"/>
    <w:rsid w:val="00831A6D"/>
    <w:rsid w:val="00835BAE"/>
    <w:rsid w:val="00843EDD"/>
    <w:rsid w:val="00854D19"/>
    <w:rsid w:val="00857685"/>
    <w:rsid w:val="008649B5"/>
    <w:rsid w:val="0086710E"/>
    <w:rsid w:val="00867CF1"/>
    <w:rsid w:val="00883B85"/>
    <w:rsid w:val="00887242"/>
    <w:rsid w:val="008C04A8"/>
    <w:rsid w:val="008C18CC"/>
    <w:rsid w:val="008F0FCA"/>
    <w:rsid w:val="0092274C"/>
    <w:rsid w:val="00933716"/>
    <w:rsid w:val="0095171B"/>
    <w:rsid w:val="0095220B"/>
    <w:rsid w:val="00952A7F"/>
    <w:rsid w:val="009541AC"/>
    <w:rsid w:val="009551BB"/>
    <w:rsid w:val="00976F72"/>
    <w:rsid w:val="0098381B"/>
    <w:rsid w:val="00986E2A"/>
    <w:rsid w:val="009D42B4"/>
    <w:rsid w:val="00A22E5D"/>
    <w:rsid w:val="00A433D7"/>
    <w:rsid w:val="00A56F7D"/>
    <w:rsid w:val="00A63241"/>
    <w:rsid w:val="00A76B20"/>
    <w:rsid w:val="00AA1438"/>
    <w:rsid w:val="00AB5112"/>
    <w:rsid w:val="00AD05F9"/>
    <w:rsid w:val="00B02610"/>
    <w:rsid w:val="00B06124"/>
    <w:rsid w:val="00B0661E"/>
    <w:rsid w:val="00B425D9"/>
    <w:rsid w:val="00B6174C"/>
    <w:rsid w:val="00B75166"/>
    <w:rsid w:val="00BA1A47"/>
    <w:rsid w:val="00BD23A3"/>
    <w:rsid w:val="00BD4725"/>
    <w:rsid w:val="00BE2744"/>
    <w:rsid w:val="00BF0D10"/>
    <w:rsid w:val="00C06DEB"/>
    <w:rsid w:val="00C1597C"/>
    <w:rsid w:val="00C766B3"/>
    <w:rsid w:val="00C82410"/>
    <w:rsid w:val="00CC17BF"/>
    <w:rsid w:val="00CE4EE4"/>
    <w:rsid w:val="00D1330E"/>
    <w:rsid w:val="00D16B77"/>
    <w:rsid w:val="00D33052"/>
    <w:rsid w:val="00D346FC"/>
    <w:rsid w:val="00D349AA"/>
    <w:rsid w:val="00D43708"/>
    <w:rsid w:val="00D67892"/>
    <w:rsid w:val="00D74A74"/>
    <w:rsid w:val="00D8310C"/>
    <w:rsid w:val="00D84E95"/>
    <w:rsid w:val="00D92241"/>
    <w:rsid w:val="00DA5550"/>
    <w:rsid w:val="00DD48B2"/>
    <w:rsid w:val="00DF3FD0"/>
    <w:rsid w:val="00E01C5B"/>
    <w:rsid w:val="00E031DE"/>
    <w:rsid w:val="00E34C40"/>
    <w:rsid w:val="00E47DA5"/>
    <w:rsid w:val="00E65C9D"/>
    <w:rsid w:val="00EA7FD8"/>
    <w:rsid w:val="00EB264E"/>
    <w:rsid w:val="00EB37A9"/>
    <w:rsid w:val="00ED1841"/>
    <w:rsid w:val="00ED24CF"/>
    <w:rsid w:val="00ED5513"/>
    <w:rsid w:val="00F11085"/>
    <w:rsid w:val="00F20A8A"/>
    <w:rsid w:val="00F33F4A"/>
    <w:rsid w:val="00F43E3F"/>
    <w:rsid w:val="00F72ED2"/>
    <w:rsid w:val="00FB4CC9"/>
    <w:rsid w:val="00FD2546"/>
    <w:rsid w:val="00FD4D01"/>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wto.org"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ommission.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4609</Words>
  <Characters>26276</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Vanshika (24134918)</cp:lastModifiedBy>
  <cp:revision>2</cp:revision>
  <dcterms:created xsi:type="dcterms:W3CDTF">2026-02-05T14:46:00Z</dcterms:created>
  <dcterms:modified xsi:type="dcterms:W3CDTF">2026-02-05T14:46:00Z</dcterms:modified>
</cp:coreProperties>
</file>