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8E5CC" w14:textId="77777777" w:rsidR="00864FB4" w:rsidRPr="00195A87" w:rsidRDefault="00864FB4" w:rsidP="00B34C13">
      <w:pPr>
        <w:spacing w:line="480" w:lineRule="auto"/>
        <w:jc w:val="center"/>
        <w:rPr>
          <w:rFonts w:ascii="Calibri" w:hAnsi="Calibri" w:cs="Calibri"/>
          <w:b/>
          <w:bCs/>
          <w:color w:val="000000" w:themeColor="text1"/>
          <w:szCs w:val="24"/>
        </w:rPr>
      </w:pPr>
      <w:r w:rsidRPr="00195A87">
        <w:rPr>
          <w:rFonts w:ascii="Calibri" w:hAnsi="Calibri" w:cs="Calibri"/>
          <w:b/>
          <w:bCs/>
          <w:noProof/>
          <w:color w:val="000000" w:themeColor="text1"/>
          <w:szCs w:val="24"/>
        </w:rPr>
        <w:drawing>
          <wp:inline distT="0" distB="0" distL="0" distR="0" wp14:anchorId="4E48DE56" wp14:editId="5C867596">
            <wp:extent cx="2648320" cy="743054"/>
            <wp:effectExtent l="0" t="0" r="0" b="0"/>
            <wp:docPr id="1945696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696584" name=""/>
                    <pic:cNvPicPr/>
                  </pic:nvPicPr>
                  <pic:blipFill>
                    <a:blip r:embed="rId4"/>
                    <a:stretch>
                      <a:fillRect/>
                    </a:stretch>
                  </pic:blipFill>
                  <pic:spPr>
                    <a:xfrm>
                      <a:off x="0" y="0"/>
                      <a:ext cx="2648320" cy="743054"/>
                    </a:xfrm>
                    <a:prstGeom prst="rect">
                      <a:avLst/>
                    </a:prstGeom>
                  </pic:spPr>
                </pic:pic>
              </a:graphicData>
            </a:graphic>
          </wp:inline>
        </w:drawing>
      </w:r>
    </w:p>
    <w:p w14:paraId="4D849707" w14:textId="77777777" w:rsidR="00864FB4" w:rsidRPr="00195A87" w:rsidRDefault="00864FB4" w:rsidP="00B34C13">
      <w:pPr>
        <w:spacing w:line="480" w:lineRule="auto"/>
        <w:jc w:val="center"/>
        <w:rPr>
          <w:rFonts w:ascii="Calibri" w:hAnsi="Calibri" w:cs="Calibri"/>
          <w:b/>
          <w:bCs/>
          <w:color w:val="000000" w:themeColor="text1"/>
          <w:szCs w:val="24"/>
        </w:rPr>
      </w:pPr>
      <w:r w:rsidRPr="00195A87">
        <w:rPr>
          <w:rFonts w:ascii="Calibri" w:hAnsi="Calibri" w:cs="Calibri"/>
          <w:b/>
          <w:bCs/>
          <w:color w:val="000000" w:themeColor="text1"/>
          <w:szCs w:val="24"/>
        </w:rPr>
        <w:t xml:space="preserve">Bachelors in tourism and recreation </w:t>
      </w:r>
    </w:p>
    <w:p w14:paraId="72A2D22A" w14:textId="77777777" w:rsidR="00864FB4" w:rsidRPr="00195A87" w:rsidRDefault="00864FB4" w:rsidP="00B34C13">
      <w:pPr>
        <w:spacing w:line="480" w:lineRule="auto"/>
        <w:jc w:val="center"/>
        <w:rPr>
          <w:rFonts w:ascii="Calibri" w:hAnsi="Calibri" w:cs="Calibri"/>
          <w:b/>
          <w:bCs/>
          <w:color w:val="000000" w:themeColor="text1"/>
          <w:szCs w:val="24"/>
        </w:rPr>
      </w:pPr>
      <w:r w:rsidRPr="00195A87">
        <w:rPr>
          <w:rFonts w:ascii="Calibri" w:hAnsi="Calibri" w:cs="Calibri"/>
          <w:b/>
          <w:bCs/>
          <w:color w:val="000000" w:themeColor="text1"/>
          <w:szCs w:val="24"/>
        </w:rPr>
        <w:t>Business Organization and Human Resource Management</w:t>
      </w:r>
    </w:p>
    <w:p w14:paraId="6B65814D" w14:textId="77777777" w:rsidR="00864FB4" w:rsidRPr="00195A87" w:rsidRDefault="00864FB4" w:rsidP="00B34C13">
      <w:pPr>
        <w:spacing w:line="480" w:lineRule="auto"/>
        <w:jc w:val="center"/>
        <w:rPr>
          <w:rFonts w:ascii="Calibri" w:hAnsi="Calibri" w:cs="Calibri"/>
          <w:color w:val="000000" w:themeColor="text1"/>
          <w:szCs w:val="24"/>
        </w:rPr>
      </w:pPr>
    </w:p>
    <w:p w14:paraId="301E647B" w14:textId="77777777" w:rsidR="00864FB4" w:rsidRPr="00195A87" w:rsidRDefault="00864FB4" w:rsidP="00B34C13">
      <w:pPr>
        <w:spacing w:line="480" w:lineRule="auto"/>
        <w:rPr>
          <w:rFonts w:ascii="Calibri" w:hAnsi="Calibri" w:cs="Calibri"/>
          <w:b/>
          <w:bCs/>
          <w:color w:val="000000" w:themeColor="text1"/>
          <w:szCs w:val="24"/>
        </w:rPr>
      </w:pPr>
      <w:r w:rsidRPr="00195A87">
        <w:rPr>
          <w:rFonts w:ascii="Calibri" w:hAnsi="Calibri" w:cs="Calibri"/>
          <w:color w:val="000000" w:themeColor="text1"/>
          <w:szCs w:val="24"/>
        </w:rPr>
        <w:drawing>
          <wp:inline distT="0" distB="0" distL="0" distR="0" wp14:anchorId="2D59EE5C" wp14:editId="6E1A045A">
            <wp:extent cx="5943600" cy="3526155"/>
            <wp:effectExtent l="0" t="0" r="0" b="0"/>
            <wp:docPr id="1975618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618061" name=""/>
                    <pic:cNvPicPr/>
                  </pic:nvPicPr>
                  <pic:blipFill>
                    <a:blip r:embed="rId5"/>
                    <a:stretch>
                      <a:fillRect/>
                    </a:stretch>
                  </pic:blipFill>
                  <pic:spPr>
                    <a:xfrm>
                      <a:off x="0" y="0"/>
                      <a:ext cx="5943600" cy="3526155"/>
                    </a:xfrm>
                    <a:prstGeom prst="rect">
                      <a:avLst/>
                    </a:prstGeom>
                  </pic:spPr>
                </pic:pic>
              </a:graphicData>
            </a:graphic>
          </wp:inline>
        </w:drawing>
      </w:r>
    </w:p>
    <w:p w14:paraId="19017FC1" w14:textId="77777777" w:rsidR="00864FB4" w:rsidRPr="00195A87" w:rsidRDefault="00864FB4" w:rsidP="00B34C13">
      <w:pPr>
        <w:spacing w:line="480" w:lineRule="auto"/>
        <w:jc w:val="center"/>
        <w:rPr>
          <w:rFonts w:ascii="Calibri" w:hAnsi="Calibri" w:cs="Calibri"/>
          <w:b/>
          <w:bCs/>
          <w:color w:val="000000" w:themeColor="text1"/>
          <w:szCs w:val="24"/>
        </w:rPr>
      </w:pPr>
    </w:p>
    <w:p w14:paraId="698EC403" w14:textId="77777777" w:rsidR="00864FB4" w:rsidRPr="00195A87" w:rsidRDefault="00864FB4" w:rsidP="00B34C13">
      <w:pPr>
        <w:spacing w:line="480" w:lineRule="auto"/>
        <w:jc w:val="center"/>
        <w:rPr>
          <w:rFonts w:ascii="Calibri" w:hAnsi="Calibri" w:cs="Calibri"/>
          <w:b/>
          <w:bCs/>
          <w:color w:val="000000" w:themeColor="text1"/>
          <w:szCs w:val="24"/>
        </w:rPr>
      </w:pPr>
    </w:p>
    <w:p w14:paraId="762265D1" w14:textId="77777777" w:rsidR="00864FB4" w:rsidRPr="00195A87" w:rsidRDefault="00864FB4" w:rsidP="00B34C13">
      <w:pPr>
        <w:spacing w:line="480" w:lineRule="auto"/>
        <w:rPr>
          <w:rFonts w:ascii="Calibri" w:hAnsi="Calibri" w:cs="Calibri"/>
          <w:b/>
          <w:bCs/>
          <w:color w:val="000000" w:themeColor="text1"/>
          <w:szCs w:val="24"/>
        </w:rPr>
      </w:pPr>
    </w:p>
    <w:p w14:paraId="20A8F98A" w14:textId="77777777" w:rsidR="00864FB4" w:rsidRPr="00195A87" w:rsidRDefault="00864FB4" w:rsidP="00B34C13">
      <w:pPr>
        <w:spacing w:line="480" w:lineRule="auto"/>
        <w:rPr>
          <w:rFonts w:ascii="Calibri" w:hAnsi="Calibri" w:cs="Calibri"/>
          <w:b/>
          <w:bCs/>
          <w:color w:val="000000" w:themeColor="text1"/>
          <w:szCs w:val="24"/>
        </w:rPr>
      </w:pPr>
    </w:p>
    <w:sdt>
      <w:sdtPr>
        <w:rPr>
          <w:rFonts w:ascii="Calibri" w:eastAsiaTheme="minorHAnsi" w:hAnsi="Calibri" w:cs="Calibri"/>
          <w:color w:val="auto"/>
          <w:kern w:val="2"/>
          <w:sz w:val="24"/>
          <w:szCs w:val="21"/>
          <w:lang w:val="en-GB" w:bidi="hi-IN"/>
          <w14:ligatures w14:val="standardContextual"/>
        </w:rPr>
        <w:id w:val="-1538275456"/>
        <w:docPartObj>
          <w:docPartGallery w:val="Table of Contents"/>
          <w:docPartUnique/>
        </w:docPartObj>
      </w:sdtPr>
      <w:sdtEndPr>
        <w:rPr>
          <w:b/>
          <w:bCs/>
          <w:noProof/>
        </w:rPr>
      </w:sdtEndPr>
      <w:sdtContent>
        <w:p w14:paraId="0D79EB4B" w14:textId="77777777" w:rsidR="00864FB4" w:rsidRPr="00195A87" w:rsidRDefault="00864FB4" w:rsidP="00B34C13">
          <w:pPr>
            <w:pStyle w:val="TOCHeading"/>
            <w:spacing w:line="480" w:lineRule="auto"/>
            <w:rPr>
              <w:rFonts w:ascii="Calibri" w:hAnsi="Calibri" w:cs="Calibri"/>
            </w:rPr>
          </w:pPr>
          <w:r w:rsidRPr="00195A87">
            <w:rPr>
              <w:rFonts w:ascii="Calibri" w:hAnsi="Calibri" w:cs="Calibri"/>
            </w:rPr>
            <w:t>Contents</w:t>
          </w:r>
        </w:p>
        <w:p w14:paraId="19444CA7" w14:textId="77777777" w:rsidR="00864FB4" w:rsidRPr="00195A87" w:rsidRDefault="00864FB4" w:rsidP="00B34C13">
          <w:pPr>
            <w:pStyle w:val="TOC1"/>
            <w:tabs>
              <w:tab w:val="right" w:leader="dot" w:pos="9350"/>
            </w:tabs>
            <w:spacing w:line="480" w:lineRule="auto"/>
            <w:rPr>
              <w:rFonts w:ascii="Calibri" w:hAnsi="Calibri" w:cs="Calibri"/>
              <w:noProof/>
            </w:rPr>
          </w:pPr>
          <w:r w:rsidRPr="00195A87">
            <w:rPr>
              <w:rFonts w:ascii="Calibri" w:hAnsi="Calibri" w:cs="Calibri"/>
            </w:rPr>
            <w:fldChar w:fldCharType="begin"/>
          </w:r>
          <w:r w:rsidRPr="00195A87">
            <w:rPr>
              <w:rFonts w:ascii="Calibri" w:hAnsi="Calibri" w:cs="Calibri"/>
            </w:rPr>
            <w:instrText xml:space="preserve"> TOC \o "1-3" \h \z \u </w:instrText>
          </w:r>
          <w:r w:rsidRPr="00195A87">
            <w:rPr>
              <w:rFonts w:ascii="Calibri" w:hAnsi="Calibri" w:cs="Calibri"/>
            </w:rPr>
            <w:fldChar w:fldCharType="separate"/>
          </w:r>
          <w:hyperlink w:anchor="_Toc220957850" w:history="1">
            <w:r w:rsidRPr="00195A87">
              <w:rPr>
                <w:rStyle w:val="Hyperlink"/>
                <w:rFonts w:ascii="Calibri" w:hAnsi="Calibri" w:cs="Calibri"/>
                <w:noProof/>
              </w:rPr>
              <w:t>Abstract</w:t>
            </w:r>
            <w:r w:rsidRPr="00195A87">
              <w:rPr>
                <w:rFonts w:ascii="Calibri" w:hAnsi="Calibri" w:cs="Calibri"/>
                <w:noProof/>
                <w:webHidden/>
              </w:rPr>
              <w:tab/>
            </w:r>
            <w:r w:rsidRPr="00195A87">
              <w:rPr>
                <w:rFonts w:ascii="Calibri" w:hAnsi="Calibri" w:cs="Calibri"/>
                <w:noProof/>
                <w:webHidden/>
              </w:rPr>
              <w:fldChar w:fldCharType="begin"/>
            </w:r>
            <w:r w:rsidRPr="00195A87">
              <w:rPr>
                <w:rFonts w:ascii="Calibri" w:hAnsi="Calibri" w:cs="Calibri"/>
                <w:noProof/>
                <w:webHidden/>
              </w:rPr>
              <w:instrText xml:space="preserve"> PAGEREF _Toc220957850 \h </w:instrText>
            </w:r>
            <w:r w:rsidRPr="00195A87">
              <w:rPr>
                <w:rFonts w:ascii="Calibri" w:hAnsi="Calibri" w:cs="Calibri"/>
                <w:noProof/>
                <w:webHidden/>
              </w:rPr>
            </w:r>
            <w:r w:rsidRPr="00195A87">
              <w:rPr>
                <w:rFonts w:ascii="Calibri" w:hAnsi="Calibri" w:cs="Calibri"/>
                <w:noProof/>
                <w:webHidden/>
              </w:rPr>
              <w:fldChar w:fldCharType="separate"/>
            </w:r>
            <w:r w:rsidRPr="00195A87">
              <w:rPr>
                <w:rFonts w:ascii="Calibri" w:hAnsi="Calibri" w:cs="Calibri"/>
                <w:noProof/>
                <w:webHidden/>
              </w:rPr>
              <w:t>3</w:t>
            </w:r>
            <w:r w:rsidRPr="00195A87">
              <w:rPr>
                <w:rFonts w:ascii="Calibri" w:hAnsi="Calibri" w:cs="Calibri"/>
                <w:noProof/>
                <w:webHidden/>
              </w:rPr>
              <w:fldChar w:fldCharType="end"/>
            </w:r>
          </w:hyperlink>
        </w:p>
        <w:p w14:paraId="6C3D632E" w14:textId="77777777" w:rsidR="00864FB4" w:rsidRPr="00195A87" w:rsidRDefault="00864FB4" w:rsidP="00B34C13">
          <w:pPr>
            <w:pStyle w:val="TOC1"/>
            <w:tabs>
              <w:tab w:val="right" w:leader="dot" w:pos="9350"/>
            </w:tabs>
            <w:spacing w:line="480" w:lineRule="auto"/>
            <w:rPr>
              <w:rFonts w:ascii="Calibri" w:hAnsi="Calibri" w:cs="Calibri"/>
              <w:noProof/>
            </w:rPr>
          </w:pPr>
          <w:hyperlink w:anchor="_Toc220957851" w:history="1">
            <w:r w:rsidRPr="00195A87">
              <w:rPr>
                <w:rStyle w:val="Hyperlink"/>
                <w:rFonts w:ascii="Calibri" w:hAnsi="Calibri" w:cs="Calibri"/>
                <w:noProof/>
              </w:rPr>
              <w:t>Introduction</w:t>
            </w:r>
            <w:r w:rsidRPr="00195A87">
              <w:rPr>
                <w:rFonts w:ascii="Calibri" w:hAnsi="Calibri" w:cs="Calibri"/>
                <w:noProof/>
                <w:webHidden/>
              </w:rPr>
              <w:tab/>
            </w:r>
            <w:r w:rsidRPr="00195A87">
              <w:rPr>
                <w:rFonts w:ascii="Calibri" w:hAnsi="Calibri" w:cs="Calibri"/>
                <w:noProof/>
                <w:webHidden/>
              </w:rPr>
              <w:fldChar w:fldCharType="begin"/>
            </w:r>
            <w:r w:rsidRPr="00195A87">
              <w:rPr>
                <w:rFonts w:ascii="Calibri" w:hAnsi="Calibri" w:cs="Calibri"/>
                <w:noProof/>
                <w:webHidden/>
              </w:rPr>
              <w:instrText xml:space="preserve"> PAGEREF _Toc220957851 \h </w:instrText>
            </w:r>
            <w:r w:rsidRPr="00195A87">
              <w:rPr>
                <w:rFonts w:ascii="Calibri" w:hAnsi="Calibri" w:cs="Calibri"/>
                <w:noProof/>
                <w:webHidden/>
              </w:rPr>
            </w:r>
            <w:r w:rsidRPr="00195A87">
              <w:rPr>
                <w:rFonts w:ascii="Calibri" w:hAnsi="Calibri" w:cs="Calibri"/>
                <w:noProof/>
                <w:webHidden/>
              </w:rPr>
              <w:fldChar w:fldCharType="separate"/>
            </w:r>
            <w:r w:rsidRPr="00195A87">
              <w:rPr>
                <w:rFonts w:ascii="Calibri" w:hAnsi="Calibri" w:cs="Calibri"/>
                <w:noProof/>
                <w:webHidden/>
              </w:rPr>
              <w:t>3</w:t>
            </w:r>
            <w:r w:rsidRPr="00195A87">
              <w:rPr>
                <w:rFonts w:ascii="Calibri" w:hAnsi="Calibri" w:cs="Calibri"/>
                <w:noProof/>
                <w:webHidden/>
              </w:rPr>
              <w:fldChar w:fldCharType="end"/>
            </w:r>
          </w:hyperlink>
        </w:p>
        <w:p w14:paraId="0A12C49D" w14:textId="77777777" w:rsidR="00864FB4" w:rsidRPr="00195A87" w:rsidRDefault="00864FB4" w:rsidP="00B34C13">
          <w:pPr>
            <w:pStyle w:val="TOC1"/>
            <w:tabs>
              <w:tab w:val="right" w:leader="dot" w:pos="9350"/>
            </w:tabs>
            <w:spacing w:line="480" w:lineRule="auto"/>
            <w:rPr>
              <w:rFonts w:ascii="Calibri" w:hAnsi="Calibri" w:cs="Calibri"/>
              <w:noProof/>
            </w:rPr>
          </w:pPr>
          <w:hyperlink w:anchor="_Toc220957852" w:history="1">
            <w:r w:rsidRPr="00195A87">
              <w:rPr>
                <w:rStyle w:val="Hyperlink"/>
                <w:rFonts w:ascii="Calibri" w:hAnsi="Calibri" w:cs="Calibri"/>
                <w:noProof/>
              </w:rPr>
              <w:t>Literature Review</w:t>
            </w:r>
            <w:r w:rsidRPr="00195A87">
              <w:rPr>
                <w:rFonts w:ascii="Calibri" w:hAnsi="Calibri" w:cs="Calibri"/>
                <w:noProof/>
                <w:webHidden/>
              </w:rPr>
              <w:tab/>
            </w:r>
            <w:r w:rsidRPr="00195A87">
              <w:rPr>
                <w:rFonts w:ascii="Calibri" w:hAnsi="Calibri" w:cs="Calibri"/>
                <w:noProof/>
                <w:webHidden/>
              </w:rPr>
              <w:fldChar w:fldCharType="begin"/>
            </w:r>
            <w:r w:rsidRPr="00195A87">
              <w:rPr>
                <w:rFonts w:ascii="Calibri" w:hAnsi="Calibri" w:cs="Calibri"/>
                <w:noProof/>
                <w:webHidden/>
              </w:rPr>
              <w:instrText xml:space="preserve"> PAGEREF _Toc220957852 \h </w:instrText>
            </w:r>
            <w:r w:rsidRPr="00195A87">
              <w:rPr>
                <w:rFonts w:ascii="Calibri" w:hAnsi="Calibri" w:cs="Calibri"/>
                <w:noProof/>
                <w:webHidden/>
              </w:rPr>
            </w:r>
            <w:r w:rsidRPr="00195A87">
              <w:rPr>
                <w:rFonts w:ascii="Calibri" w:hAnsi="Calibri" w:cs="Calibri"/>
                <w:noProof/>
                <w:webHidden/>
              </w:rPr>
              <w:fldChar w:fldCharType="separate"/>
            </w:r>
            <w:r w:rsidRPr="00195A87">
              <w:rPr>
                <w:rFonts w:ascii="Calibri" w:hAnsi="Calibri" w:cs="Calibri"/>
                <w:noProof/>
                <w:webHidden/>
              </w:rPr>
              <w:t>5</w:t>
            </w:r>
            <w:r w:rsidRPr="00195A87">
              <w:rPr>
                <w:rFonts w:ascii="Calibri" w:hAnsi="Calibri" w:cs="Calibri"/>
                <w:noProof/>
                <w:webHidden/>
              </w:rPr>
              <w:fldChar w:fldCharType="end"/>
            </w:r>
          </w:hyperlink>
        </w:p>
        <w:p w14:paraId="0D0D79E7" w14:textId="77777777" w:rsidR="00864FB4" w:rsidRPr="00195A87" w:rsidRDefault="00864FB4" w:rsidP="00B34C13">
          <w:pPr>
            <w:pStyle w:val="TOC1"/>
            <w:tabs>
              <w:tab w:val="right" w:leader="dot" w:pos="9350"/>
            </w:tabs>
            <w:spacing w:line="480" w:lineRule="auto"/>
            <w:rPr>
              <w:rFonts w:ascii="Calibri" w:hAnsi="Calibri" w:cs="Calibri"/>
              <w:noProof/>
            </w:rPr>
          </w:pPr>
          <w:hyperlink w:anchor="_Toc220957853" w:history="1">
            <w:r w:rsidRPr="00195A87">
              <w:rPr>
                <w:rStyle w:val="Hyperlink"/>
                <w:rFonts w:ascii="Calibri" w:hAnsi="Calibri" w:cs="Calibri"/>
                <w:b/>
                <w:bCs/>
                <w:noProof/>
              </w:rPr>
              <w:t>Methodology</w:t>
            </w:r>
            <w:r w:rsidRPr="00195A87">
              <w:rPr>
                <w:rFonts w:ascii="Calibri" w:hAnsi="Calibri" w:cs="Calibri"/>
                <w:noProof/>
                <w:webHidden/>
              </w:rPr>
              <w:tab/>
            </w:r>
            <w:r w:rsidRPr="00195A87">
              <w:rPr>
                <w:rFonts w:ascii="Calibri" w:hAnsi="Calibri" w:cs="Calibri"/>
                <w:noProof/>
                <w:webHidden/>
              </w:rPr>
              <w:fldChar w:fldCharType="begin"/>
            </w:r>
            <w:r w:rsidRPr="00195A87">
              <w:rPr>
                <w:rFonts w:ascii="Calibri" w:hAnsi="Calibri" w:cs="Calibri"/>
                <w:noProof/>
                <w:webHidden/>
              </w:rPr>
              <w:instrText xml:space="preserve"> PAGEREF _Toc220957853 \h </w:instrText>
            </w:r>
            <w:r w:rsidRPr="00195A87">
              <w:rPr>
                <w:rFonts w:ascii="Calibri" w:hAnsi="Calibri" w:cs="Calibri"/>
                <w:noProof/>
                <w:webHidden/>
              </w:rPr>
            </w:r>
            <w:r w:rsidRPr="00195A87">
              <w:rPr>
                <w:rFonts w:ascii="Calibri" w:hAnsi="Calibri" w:cs="Calibri"/>
                <w:noProof/>
                <w:webHidden/>
              </w:rPr>
              <w:fldChar w:fldCharType="separate"/>
            </w:r>
            <w:r w:rsidRPr="00195A87">
              <w:rPr>
                <w:rFonts w:ascii="Calibri" w:hAnsi="Calibri" w:cs="Calibri"/>
                <w:noProof/>
                <w:webHidden/>
              </w:rPr>
              <w:t>9</w:t>
            </w:r>
            <w:r w:rsidRPr="00195A87">
              <w:rPr>
                <w:rFonts w:ascii="Calibri" w:hAnsi="Calibri" w:cs="Calibri"/>
                <w:noProof/>
                <w:webHidden/>
              </w:rPr>
              <w:fldChar w:fldCharType="end"/>
            </w:r>
          </w:hyperlink>
        </w:p>
        <w:p w14:paraId="590A559A" w14:textId="77777777" w:rsidR="00864FB4" w:rsidRPr="00195A87" w:rsidRDefault="00864FB4" w:rsidP="00B34C13">
          <w:pPr>
            <w:pStyle w:val="TOC1"/>
            <w:tabs>
              <w:tab w:val="right" w:leader="dot" w:pos="9350"/>
            </w:tabs>
            <w:spacing w:line="480" w:lineRule="auto"/>
            <w:rPr>
              <w:rFonts w:ascii="Calibri" w:hAnsi="Calibri" w:cs="Calibri"/>
              <w:noProof/>
            </w:rPr>
          </w:pPr>
          <w:hyperlink w:anchor="_Toc220957854" w:history="1">
            <w:r w:rsidRPr="00195A87">
              <w:rPr>
                <w:rStyle w:val="Hyperlink"/>
                <w:rFonts w:ascii="Calibri" w:hAnsi="Calibri" w:cs="Calibri"/>
                <w:b/>
                <w:bCs/>
                <w:noProof/>
              </w:rPr>
              <w:t>Findings</w:t>
            </w:r>
            <w:r w:rsidRPr="00195A87">
              <w:rPr>
                <w:rFonts w:ascii="Calibri" w:hAnsi="Calibri" w:cs="Calibri"/>
                <w:noProof/>
                <w:webHidden/>
              </w:rPr>
              <w:tab/>
            </w:r>
            <w:r w:rsidRPr="00195A87">
              <w:rPr>
                <w:rFonts w:ascii="Calibri" w:hAnsi="Calibri" w:cs="Calibri"/>
                <w:noProof/>
                <w:webHidden/>
              </w:rPr>
              <w:fldChar w:fldCharType="begin"/>
            </w:r>
            <w:r w:rsidRPr="00195A87">
              <w:rPr>
                <w:rFonts w:ascii="Calibri" w:hAnsi="Calibri" w:cs="Calibri"/>
                <w:noProof/>
                <w:webHidden/>
              </w:rPr>
              <w:instrText xml:space="preserve"> PAGEREF _Toc220957854 \h </w:instrText>
            </w:r>
            <w:r w:rsidRPr="00195A87">
              <w:rPr>
                <w:rFonts w:ascii="Calibri" w:hAnsi="Calibri" w:cs="Calibri"/>
                <w:noProof/>
                <w:webHidden/>
              </w:rPr>
            </w:r>
            <w:r w:rsidRPr="00195A87">
              <w:rPr>
                <w:rFonts w:ascii="Calibri" w:hAnsi="Calibri" w:cs="Calibri"/>
                <w:noProof/>
                <w:webHidden/>
              </w:rPr>
              <w:fldChar w:fldCharType="separate"/>
            </w:r>
            <w:r w:rsidRPr="00195A87">
              <w:rPr>
                <w:rFonts w:ascii="Calibri" w:hAnsi="Calibri" w:cs="Calibri"/>
                <w:noProof/>
                <w:webHidden/>
              </w:rPr>
              <w:t>10</w:t>
            </w:r>
            <w:r w:rsidRPr="00195A87">
              <w:rPr>
                <w:rFonts w:ascii="Calibri" w:hAnsi="Calibri" w:cs="Calibri"/>
                <w:noProof/>
                <w:webHidden/>
              </w:rPr>
              <w:fldChar w:fldCharType="end"/>
            </w:r>
          </w:hyperlink>
        </w:p>
        <w:p w14:paraId="7C82E81B" w14:textId="77777777" w:rsidR="00864FB4" w:rsidRPr="00195A87" w:rsidRDefault="00864FB4" w:rsidP="00B34C13">
          <w:pPr>
            <w:pStyle w:val="TOC1"/>
            <w:tabs>
              <w:tab w:val="right" w:leader="dot" w:pos="9350"/>
            </w:tabs>
            <w:spacing w:line="480" w:lineRule="auto"/>
            <w:rPr>
              <w:rFonts w:ascii="Calibri" w:hAnsi="Calibri" w:cs="Calibri"/>
              <w:noProof/>
            </w:rPr>
          </w:pPr>
          <w:hyperlink w:anchor="_Toc220957855" w:history="1">
            <w:r w:rsidRPr="00195A87">
              <w:rPr>
                <w:rStyle w:val="Hyperlink"/>
                <w:rFonts w:ascii="Calibri" w:hAnsi="Calibri" w:cs="Calibri"/>
                <w:noProof/>
              </w:rPr>
              <w:t>Discussion</w:t>
            </w:r>
            <w:r w:rsidRPr="00195A87">
              <w:rPr>
                <w:rFonts w:ascii="Calibri" w:hAnsi="Calibri" w:cs="Calibri"/>
                <w:noProof/>
                <w:webHidden/>
              </w:rPr>
              <w:tab/>
            </w:r>
            <w:r w:rsidRPr="00195A87">
              <w:rPr>
                <w:rFonts w:ascii="Calibri" w:hAnsi="Calibri" w:cs="Calibri"/>
                <w:noProof/>
                <w:webHidden/>
              </w:rPr>
              <w:fldChar w:fldCharType="begin"/>
            </w:r>
            <w:r w:rsidRPr="00195A87">
              <w:rPr>
                <w:rFonts w:ascii="Calibri" w:hAnsi="Calibri" w:cs="Calibri"/>
                <w:noProof/>
                <w:webHidden/>
              </w:rPr>
              <w:instrText xml:space="preserve"> PAGEREF _Toc220957855 \h </w:instrText>
            </w:r>
            <w:r w:rsidRPr="00195A87">
              <w:rPr>
                <w:rFonts w:ascii="Calibri" w:hAnsi="Calibri" w:cs="Calibri"/>
                <w:noProof/>
                <w:webHidden/>
              </w:rPr>
            </w:r>
            <w:r w:rsidRPr="00195A87">
              <w:rPr>
                <w:rFonts w:ascii="Calibri" w:hAnsi="Calibri" w:cs="Calibri"/>
                <w:noProof/>
                <w:webHidden/>
              </w:rPr>
              <w:fldChar w:fldCharType="separate"/>
            </w:r>
            <w:r w:rsidRPr="00195A87">
              <w:rPr>
                <w:rFonts w:ascii="Calibri" w:hAnsi="Calibri" w:cs="Calibri"/>
                <w:noProof/>
                <w:webHidden/>
              </w:rPr>
              <w:t>12</w:t>
            </w:r>
            <w:r w:rsidRPr="00195A87">
              <w:rPr>
                <w:rFonts w:ascii="Calibri" w:hAnsi="Calibri" w:cs="Calibri"/>
                <w:noProof/>
                <w:webHidden/>
              </w:rPr>
              <w:fldChar w:fldCharType="end"/>
            </w:r>
          </w:hyperlink>
        </w:p>
        <w:p w14:paraId="450F5AFB" w14:textId="77777777" w:rsidR="00864FB4" w:rsidRPr="00195A87" w:rsidRDefault="00864FB4" w:rsidP="00B34C13">
          <w:pPr>
            <w:pStyle w:val="TOC1"/>
            <w:tabs>
              <w:tab w:val="right" w:leader="dot" w:pos="9350"/>
            </w:tabs>
            <w:spacing w:line="480" w:lineRule="auto"/>
            <w:rPr>
              <w:rFonts w:ascii="Calibri" w:hAnsi="Calibri" w:cs="Calibri"/>
              <w:noProof/>
            </w:rPr>
          </w:pPr>
          <w:hyperlink w:anchor="_Toc220957856" w:history="1">
            <w:r w:rsidRPr="00195A87">
              <w:rPr>
                <w:rStyle w:val="Hyperlink"/>
                <w:rFonts w:ascii="Calibri" w:hAnsi="Calibri" w:cs="Calibri"/>
                <w:noProof/>
              </w:rPr>
              <w:t>Conclusion</w:t>
            </w:r>
            <w:r w:rsidRPr="00195A87">
              <w:rPr>
                <w:rFonts w:ascii="Calibri" w:hAnsi="Calibri" w:cs="Calibri"/>
                <w:noProof/>
                <w:webHidden/>
              </w:rPr>
              <w:tab/>
            </w:r>
            <w:r w:rsidRPr="00195A87">
              <w:rPr>
                <w:rFonts w:ascii="Calibri" w:hAnsi="Calibri" w:cs="Calibri"/>
                <w:noProof/>
                <w:webHidden/>
              </w:rPr>
              <w:fldChar w:fldCharType="begin"/>
            </w:r>
            <w:r w:rsidRPr="00195A87">
              <w:rPr>
                <w:rFonts w:ascii="Calibri" w:hAnsi="Calibri" w:cs="Calibri"/>
                <w:noProof/>
                <w:webHidden/>
              </w:rPr>
              <w:instrText xml:space="preserve"> PAGEREF _Toc220957856 \h </w:instrText>
            </w:r>
            <w:r w:rsidRPr="00195A87">
              <w:rPr>
                <w:rFonts w:ascii="Calibri" w:hAnsi="Calibri" w:cs="Calibri"/>
                <w:noProof/>
                <w:webHidden/>
              </w:rPr>
            </w:r>
            <w:r w:rsidRPr="00195A87">
              <w:rPr>
                <w:rFonts w:ascii="Calibri" w:hAnsi="Calibri" w:cs="Calibri"/>
                <w:noProof/>
                <w:webHidden/>
              </w:rPr>
              <w:fldChar w:fldCharType="separate"/>
            </w:r>
            <w:r w:rsidRPr="00195A87">
              <w:rPr>
                <w:rFonts w:ascii="Calibri" w:hAnsi="Calibri" w:cs="Calibri"/>
                <w:noProof/>
                <w:webHidden/>
              </w:rPr>
              <w:t>15</w:t>
            </w:r>
            <w:r w:rsidRPr="00195A87">
              <w:rPr>
                <w:rFonts w:ascii="Calibri" w:hAnsi="Calibri" w:cs="Calibri"/>
                <w:noProof/>
                <w:webHidden/>
              </w:rPr>
              <w:fldChar w:fldCharType="end"/>
            </w:r>
          </w:hyperlink>
        </w:p>
        <w:p w14:paraId="79221CBB" w14:textId="77777777" w:rsidR="00864FB4" w:rsidRPr="00195A87" w:rsidRDefault="00864FB4" w:rsidP="00B34C13">
          <w:pPr>
            <w:pStyle w:val="TOC1"/>
            <w:tabs>
              <w:tab w:val="right" w:leader="dot" w:pos="9350"/>
            </w:tabs>
            <w:spacing w:line="480" w:lineRule="auto"/>
            <w:rPr>
              <w:rFonts w:ascii="Calibri" w:hAnsi="Calibri" w:cs="Calibri"/>
              <w:noProof/>
            </w:rPr>
          </w:pPr>
          <w:hyperlink w:anchor="_Toc220957857" w:history="1">
            <w:r w:rsidRPr="00195A87">
              <w:rPr>
                <w:rStyle w:val="Hyperlink"/>
                <w:rFonts w:ascii="Calibri" w:hAnsi="Calibri" w:cs="Calibri"/>
                <w:noProof/>
              </w:rPr>
              <w:t>References</w:t>
            </w:r>
            <w:r w:rsidRPr="00195A87">
              <w:rPr>
                <w:rFonts w:ascii="Calibri" w:hAnsi="Calibri" w:cs="Calibri"/>
                <w:noProof/>
                <w:webHidden/>
              </w:rPr>
              <w:tab/>
            </w:r>
            <w:r w:rsidRPr="00195A87">
              <w:rPr>
                <w:rFonts w:ascii="Calibri" w:hAnsi="Calibri" w:cs="Calibri"/>
                <w:noProof/>
                <w:webHidden/>
              </w:rPr>
              <w:fldChar w:fldCharType="begin"/>
            </w:r>
            <w:r w:rsidRPr="00195A87">
              <w:rPr>
                <w:rFonts w:ascii="Calibri" w:hAnsi="Calibri" w:cs="Calibri"/>
                <w:noProof/>
                <w:webHidden/>
              </w:rPr>
              <w:instrText xml:space="preserve"> PAGEREF _Toc220957857 \h </w:instrText>
            </w:r>
            <w:r w:rsidRPr="00195A87">
              <w:rPr>
                <w:rFonts w:ascii="Calibri" w:hAnsi="Calibri" w:cs="Calibri"/>
                <w:noProof/>
                <w:webHidden/>
              </w:rPr>
            </w:r>
            <w:r w:rsidRPr="00195A87">
              <w:rPr>
                <w:rFonts w:ascii="Calibri" w:hAnsi="Calibri" w:cs="Calibri"/>
                <w:noProof/>
                <w:webHidden/>
              </w:rPr>
              <w:fldChar w:fldCharType="separate"/>
            </w:r>
            <w:r w:rsidRPr="00195A87">
              <w:rPr>
                <w:rFonts w:ascii="Calibri" w:hAnsi="Calibri" w:cs="Calibri"/>
                <w:noProof/>
                <w:webHidden/>
              </w:rPr>
              <w:t>16</w:t>
            </w:r>
            <w:r w:rsidRPr="00195A87">
              <w:rPr>
                <w:rFonts w:ascii="Calibri" w:hAnsi="Calibri" w:cs="Calibri"/>
                <w:noProof/>
                <w:webHidden/>
              </w:rPr>
              <w:fldChar w:fldCharType="end"/>
            </w:r>
          </w:hyperlink>
        </w:p>
        <w:p w14:paraId="2CB53210" w14:textId="77777777" w:rsidR="00864FB4" w:rsidRPr="00195A87" w:rsidRDefault="00864FB4" w:rsidP="00B34C13">
          <w:pPr>
            <w:spacing w:line="480" w:lineRule="auto"/>
            <w:rPr>
              <w:rFonts w:ascii="Calibri" w:hAnsi="Calibri" w:cs="Calibri"/>
            </w:rPr>
          </w:pPr>
          <w:r w:rsidRPr="00195A87">
            <w:rPr>
              <w:rFonts w:ascii="Calibri" w:hAnsi="Calibri" w:cs="Calibri"/>
              <w:b/>
              <w:bCs/>
              <w:noProof/>
            </w:rPr>
            <w:fldChar w:fldCharType="end"/>
          </w:r>
        </w:p>
      </w:sdtContent>
    </w:sdt>
    <w:p w14:paraId="3E4E5AAB" w14:textId="77777777" w:rsidR="00864FB4" w:rsidRPr="00195A87" w:rsidRDefault="00864FB4" w:rsidP="00B34C13">
      <w:pPr>
        <w:spacing w:line="480" w:lineRule="auto"/>
        <w:rPr>
          <w:rFonts w:ascii="Calibri" w:hAnsi="Calibri" w:cs="Calibri"/>
          <w:b/>
          <w:bCs/>
          <w:color w:val="000000" w:themeColor="text1"/>
          <w:szCs w:val="24"/>
        </w:rPr>
      </w:pPr>
    </w:p>
    <w:p w14:paraId="5EF91734" w14:textId="77777777" w:rsidR="00864FB4" w:rsidRPr="00195A87" w:rsidRDefault="00864FB4" w:rsidP="00B34C13">
      <w:pPr>
        <w:spacing w:line="480" w:lineRule="auto"/>
        <w:jc w:val="center"/>
        <w:rPr>
          <w:rFonts w:ascii="Calibri" w:hAnsi="Calibri" w:cs="Calibri"/>
          <w:b/>
          <w:bCs/>
          <w:color w:val="000000" w:themeColor="text1"/>
          <w:szCs w:val="24"/>
        </w:rPr>
      </w:pPr>
    </w:p>
    <w:p w14:paraId="288EC984" w14:textId="77777777" w:rsidR="00864FB4" w:rsidRPr="00195A87" w:rsidRDefault="00864FB4" w:rsidP="00B34C13">
      <w:pPr>
        <w:spacing w:line="480" w:lineRule="auto"/>
        <w:rPr>
          <w:rFonts w:ascii="Calibri" w:hAnsi="Calibri" w:cs="Calibri"/>
          <w:b/>
          <w:bCs/>
          <w:color w:val="000000" w:themeColor="text1"/>
          <w:szCs w:val="24"/>
        </w:rPr>
      </w:pPr>
    </w:p>
    <w:p w14:paraId="053D0B4E" w14:textId="77777777" w:rsidR="00B34C13" w:rsidRPr="00195A87" w:rsidRDefault="00B34C13" w:rsidP="00B34C13">
      <w:pPr>
        <w:spacing w:line="480" w:lineRule="auto"/>
        <w:rPr>
          <w:rFonts w:ascii="Calibri" w:hAnsi="Calibri" w:cs="Calibri"/>
          <w:b/>
          <w:bCs/>
          <w:color w:val="000000" w:themeColor="text1"/>
          <w:szCs w:val="24"/>
        </w:rPr>
      </w:pPr>
    </w:p>
    <w:p w14:paraId="73CF625B" w14:textId="77777777" w:rsidR="00B34C13" w:rsidRPr="00195A87" w:rsidRDefault="00B34C13" w:rsidP="00B34C13">
      <w:pPr>
        <w:spacing w:line="480" w:lineRule="auto"/>
        <w:rPr>
          <w:rFonts w:ascii="Calibri" w:hAnsi="Calibri" w:cs="Calibri"/>
          <w:b/>
          <w:bCs/>
          <w:color w:val="000000" w:themeColor="text1"/>
          <w:szCs w:val="24"/>
        </w:rPr>
      </w:pPr>
    </w:p>
    <w:p w14:paraId="1F9FD04F" w14:textId="77777777" w:rsidR="00B34C13" w:rsidRPr="00195A87" w:rsidRDefault="00B34C13" w:rsidP="00B34C13">
      <w:pPr>
        <w:spacing w:line="480" w:lineRule="auto"/>
        <w:rPr>
          <w:rFonts w:ascii="Calibri" w:hAnsi="Calibri" w:cs="Calibri"/>
          <w:b/>
          <w:bCs/>
          <w:color w:val="000000" w:themeColor="text1"/>
          <w:szCs w:val="24"/>
        </w:rPr>
      </w:pPr>
    </w:p>
    <w:p w14:paraId="08D5A6F2" w14:textId="77777777" w:rsidR="00864FB4" w:rsidRPr="00195A87" w:rsidRDefault="00864FB4" w:rsidP="00B34C13">
      <w:pPr>
        <w:pStyle w:val="Heading1"/>
        <w:spacing w:line="480" w:lineRule="auto"/>
        <w:rPr>
          <w:rFonts w:ascii="Calibri" w:hAnsi="Calibri" w:cs="Calibri"/>
          <w:b/>
          <w:bCs/>
          <w:color w:val="000000" w:themeColor="text1"/>
          <w:sz w:val="24"/>
          <w:szCs w:val="24"/>
        </w:rPr>
      </w:pPr>
      <w:bookmarkStart w:id="0" w:name="_Toc220957850"/>
      <w:r w:rsidRPr="00195A87">
        <w:rPr>
          <w:rFonts w:ascii="Calibri" w:hAnsi="Calibri" w:cs="Calibri"/>
          <w:b/>
          <w:bCs/>
          <w:color w:val="000000" w:themeColor="text1"/>
          <w:sz w:val="24"/>
          <w:szCs w:val="24"/>
        </w:rPr>
        <w:lastRenderedPageBreak/>
        <w:t>Abstract</w:t>
      </w:r>
      <w:bookmarkEnd w:id="0"/>
      <w:r w:rsidRPr="00195A87">
        <w:rPr>
          <w:rFonts w:ascii="Calibri" w:hAnsi="Calibri" w:cs="Calibri"/>
          <w:b/>
          <w:bCs/>
          <w:color w:val="000000" w:themeColor="text1"/>
          <w:sz w:val="24"/>
          <w:szCs w:val="24"/>
        </w:rPr>
        <w:t xml:space="preserve"> </w:t>
      </w:r>
    </w:p>
    <w:p w14:paraId="46BA350B" w14:textId="6F74A2E5" w:rsidR="00864FB4" w:rsidRPr="00195A87" w:rsidRDefault="00D048F5" w:rsidP="00B34C13">
      <w:pPr>
        <w:spacing w:line="480" w:lineRule="auto"/>
        <w:rPr>
          <w:rFonts w:ascii="Calibri" w:hAnsi="Calibri" w:cs="Calibri"/>
          <w:color w:val="000000" w:themeColor="text1"/>
          <w:szCs w:val="24"/>
        </w:rPr>
      </w:pPr>
      <w:r w:rsidRPr="00195A87">
        <w:rPr>
          <w:rFonts w:ascii="Calibri" w:hAnsi="Calibri" w:cs="Calibri"/>
          <w:color w:val="000000" w:themeColor="text1"/>
          <w:szCs w:val="24"/>
        </w:rPr>
        <w:t xml:space="preserve">In the hospitality sector, employee engagement has proved to be a key predictor of organizational performance, and service quality, customer satisfaction, and brand reputation all depend directly on the attitude and </w:t>
      </w:r>
      <w:proofErr w:type="spellStart"/>
      <w:r w:rsidRPr="00195A87">
        <w:rPr>
          <w:rFonts w:ascii="Calibri" w:hAnsi="Calibri" w:cs="Calibri"/>
          <w:color w:val="000000" w:themeColor="text1"/>
          <w:szCs w:val="24"/>
        </w:rPr>
        <w:t>behavior</w:t>
      </w:r>
      <w:proofErr w:type="spellEnd"/>
      <w:r w:rsidRPr="00195A87">
        <w:rPr>
          <w:rFonts w:ascii="Calibri" w:hAnsi="Calibri" w:cs="Calibri"/>
          <w:color w:val="000000" w:themeColor="text1"/>
          <w:szCs w:val="24"/>
        </w:rPr>
        <w:t xml:space="preserve"> of employees. Labor intensity, emotional </w:t>
      </w:r>
      <w:proofErr w:type="spellStart"/>
      <w:r w:rsidRPr="00195A87">
        <w:rPr>
          <w:rFonts w:ascii="Calibri" w:hAnsi="Calibri" w:cs="Calibri"/>
          <w:color w:val="000000" w:themeColor="text1"/>
          <w:szCs w:val="24"/>
        </w:rPr>
        <w:t>labor</w:t>
      </w:r>
      <w:proofErr w:type="spellEnd"/>
      <w:r w:rsidRPr="00195A87">
        <w:rPr>
          <w:rFonts w:ascii="Calibri" w:hAnsi="Calibri" w:cs="Calibri"/>
          <w:color w:val="000000" w:themeColor="text1"/>
          <w:szCs w:val="24"/>
        </w:rPr>
        <w:t xml:space="preserve">, staff turnover, and changing demand </w:t>
      </w:r>
      <w:proofErr w:type="spellStart"/>
      <w:r w:rsidRPr="00195A87">
        <w:rPr>
          <w:rFonts w:ascii="Calibri" w:hAnsi="Calibri" w:cs="Calibri"/>
          <w:color w:val="000000" w:themeColor="text1"/>
          <w:szCs w:val="24"/>
        </w:rPr>
        <w:t>demand</w:t>
      </w:r>
      <w:proofErr w:type="spellEnd"/>
      <w:r w:rsidRPr="00195A87">
        <w:rPr>
          <w:rFonts w:ascii="Calibri" w:hAnsi="Calibri" w:cs="Calibri"/>
          <w:color w:val="000000" w:themeColor="text1"/>
          <w:szCs w:val="24"/>
        </w:rPr>
        <w:t xml:space="preserve"> high quality Human Resource Management (HRM) practices to maintain motivation and engagement of the workforce. This assignment will focus on the strategic value of HRM in promoting employee engagement in hospitality organizations, specifically in the hotel, resort, and international chain of hotels. It examines the effects of HRM practices, including training and development, performance management, career planning, and employee well-being initiatives on employee satisfaction, retention, and service delivery outcomes. Moreover, the research critically </w:t>
      </w:r>
      <w:proofErr w:type="spellStart"/>
      <w:r w:rsidRPr="00195A87">
        <w:rPr>
          <w:rFonts w:ascii="Calibri" w:hAnsi="Calibri" w:cs="Calibri"/>
          <w:color w:val="000000" w:themeColor="text1"/>
          <w:szCs w:val="24"/>
        </w:rPr>
        <w:t>analyzes</w:t>
      </w:r>
      <w:proofErr w:type="spellEnd"/>
      <w:r w:rsidRPr="00195A87">
        <w:rPr>
          <w:rFonts w:ascii="Calibri" w:hAnsi="Calibri" w:cs="Calibri"/>
          <w:color w:val="000000" w:themeColor="text1"/>
          <w:szCs w:val="24"/>
        </w:rPr>
        <w:t xml:space="preserve"> the effects of leadership styles and conducive working situations on employee engagement and organizational commitment. It also evaluates the alignment of HRM strategies with the operational objectives of hospitality industry, including service excellence, guest satisfaction, and operational efficiency. Based on empirical studies and case studies of industry leaders in the hospitality sector, the assignment identifies the best practices that have been effective in improving employee engagement and organizational performance. Combining theoretical insights and practical findings, this paper proves the point that employee engagement is not merely a HR by-product but a strategic resource that helps hospitality organizations to gain a competitive advantage, service consistency, and long-term sustainability in a highly competitive global market (Albrecht et al., 2015; Karatepe, 2013).</w:t>
      </w:r>
    </w:p>
    <w:p w14:paraId="7AE7913C" w14:textId="77777777" w:rsidR="00D048F5" w:rsidRPr="00195A87" w:rsidRDefault="00D048F5" w:rsidP="00B34C13">
      <w:pPr>
        <w:spacing w:line="480" w:lineRule="auto"/>
        <w:rPr>
          <w:rFonts w:ascii="Calibri" w:hAnsi="Calibri" w:cs="Calibri"/>
          <w:b/>
          <w:bCs/>
          <w:color w:val="000000" w:themeColor="text1"/>
          <w:szCs w:val="24"/>
        </w:rPr>
      </w:pPr>
    </w:p>
    <w:p w14:paraId="7091B5F8" w14:textId="77777777" w:rsidR="00864FB4" w:rsidRPr="00195A87" w:rsidRDefault="00864FB4" w:rsidP="00B34C13">
      <w:pPr>
        <w:pStyle w:val="Heading1"/>
        <w:spacing w:line="480" w:lineRule="auto"/>
        <w:rPr>
          <w:rFonts w:ascii="Calibri" w:hAnsi="Calibri" w:cs="Calibri"/>
          <w:b/>
          <w:bCs/>
          <w:color w:val="000000" w:themeColor="text1"/>
          <w:sz w:val="24"/>
          <w:szCs w:val="24"/>
        </w:rPr>
      </w:pPr>
      <w:bookmarkStart w:id="1" w:name="_Toc220957851"/>
      <w:r w:rsidRPr="00195A87">
        <w:rPr>
          <w:rFonts w:ascii="Calibri" w:hAnsi="Calibri" w:cs="Calibri"/>
          <w:b/>
          <w:bCs/>
          <w:color w:val="000000" w:themeColor="text1"/>
          <w:sz w:val="24"/>
          <w:szCs w:val="24"/>
        </w:rPr>
        <w:lastRenderedPageBreak/>
        <w:t>Introduction</w:t>
      </w:r>
      <w:bookmarkEnd w:id="1"/>
      <w:r w:rsidRPr="00195A87">
        <w:rPr>
          <w:rFonts w:ascii="Calibri" w:hAnsi="Calibri" w:cs="Calibri"/>
          <w:b/>
          <w:bCs/>
          <w:color w:val="000000" w:themeColor="text1"/>
          <w:sz w:val="24"/>
          <w:szCs w:val="24"/>
        </w:rPr>
        <w:t xml:space="preserve"> </w:t>
      </w:r>
    </w:p>
    <w:p w14:paraId="54D9C736" w14:textId="50D48E02" w:rsidR="00F10CB3" w:rsidRPr="00195A87" w:rsidRDefault="00F10CB3" w:rsidP="00F10CB3">
      <w:pPr>
        <w:spacing w:line="480" w:lineRule="auto"/>
        <w:rPr>
          <w:rFonts w:ascii="Calibri" w:hAnsi="Calibri" w:cs="Calibri"/>
          <w:color w:val="000000" w:themeColor="text1"/>
          <w:szCs w:val="24"/>
        </w:rPr>
      </w:pPr>
      <w:r w:rsidRPr="00195A87">
        <w:rPr>
          <w:rFonts w:ascii="Calibri" w:hAnsi="Calibri" w:cs="Calibri"/>
          <w:color w:val="000000" w:themeColor="text1"/>
          <w:szCs w:val="24"/>
        </w:rPr>
        <w:t xml:space="preserve">Hospitality industry is service based and heavily depends on human touch to make the guest experience memorable and remain competitive. Hospitality organizations are unlike the capital-intensive industries in which organizations rely on employee attitudes, emotional intelligence, and service </w:t>
      </w:r>
      <w:proofErr w:type="spellStart"/>
      <w:r w:rsidRPr="00195A87">
        <w:rPr>
          <w:rFonts w:ascii="Calibri" w:hAnsi="Calibri" w:cs="Calibri"/>
          <w:color w:val="000000" w:themeColor="text1"/>
          <w:szCs w:val="24"/>
        </w:rPr>
        <w:t>behaviors</w:t>
      </w:r>
      <w:proofErr w:type="spellEnd"/>
      <w:r w:rsidRPr="00195A87">
        <w:rPr>
          <w:rFonts w:ascii="Calibri" w:hAnsi="Calibri" w:cs="Calibri"/>
          <w:color w:val="000000" w:themeColor="text1"/>
          <w:szCs w:val="24"/>
        </w:rPr>
        <w:t xml:space="preserve"> to provide consistent service quality. As a result, Human Resource Management (HRM) becomes one of the critical elements in influencing employee engagement, motivation, and performance. It has been widely acknowledged that employee engagement, which is often described as a positive, satisfying, work-related state of being that is vigorous, committed, and engaged, is a major determinant of organizational success in service industries (Schaufeli et al., 2002). Engaged employees bring better service, discretionary effort, and may help enhance guest satisfaction and loyalty in the hospitality context.</w:t>
      </w:r>
    </w:p>
    <w:p w14:paraId="41BC4A18" w14:textId="77777777" w:rsidR="00F10CB3" w:rsidRPr="00195A87" w:rsidRDefault="00F10CB3" w:rsidP="00F10CB3">
      <w:pPr>
        <w:spacing w:line="480" w:lineRule="auto"/>
        <w:rPr>
          <w:rFonts w:ascii="Calibri" w:hAnsi="Calibri" w:cs="Calibri"/>
          <w:color w:val="000000" w:themeColor="text1"/>
          <w:szCs w:val="24"/>
        </w:rPr>
      </w:pPr>
      <w:r w:rsidRPr="00195A87">
        <w:rPr>
          <w:rFonts w:ascii="Calibri" w:hAnsi="Calibri" w:cs="Calibri"/>
          <w:color w:val="000000" w:themeColor="text1"/>
          <w:szCs w:val="24"/>
        </w:rPr>
        <w:t xml:space="preserve">Nevertheless, the hospitality industry continues to experience chronic HR issues, such as high staff turnover, job insecurity, extended working hours, emotional </w:t>
      </w:r>
      <w:proofErr w:type="spellStart"/>
      <w:r w:rsidRPr="00195A87">
        <w:rPr>
          <w:rFonts w:ascii="Calibri" w:hAnsi="Calibri" w:cs="Calibri"/>
          <w:color w:val="000000" w:themeColor="text1"/>
          <w:szCs w:val="24"/>
        </w:rPr>
        <w:t>labor</w:t>
      </w:r>
      <w:proofErr w:type="spellEnd"/>
      <w:r w:rsidRPr="00195A87">
        <w:rPr>
          <w:rFonts w:ascii="Calibri" w:hAnsi="Calibri" w:cs="Calibri"/>
          <w:color w:val="000000" w:themeColor="text1"/>
          <w:szCs w:val="24"/>
        </w:rPr>
        <w:t xml:space="preserve">, and career advancement. These obstacles tend to decrease employee morale and organizational commitment, which result in disengagement and lower service quality. Studies have shown that disengaged hospitality workers are more likely to experience burnouts, absenteeism and turnover, thereby raising the recruitment costs and the service delivery of the organisation (Karatepe and </w:t>
      </w:r>
      <w:proofErr w:type="spellStart"/>
      <w:r w:rsidRPr="00195A87">
        <w:rPr>
          <w:rFonts w:ascii="Calibri" w:hAnsi="Calibri" w:cs="Calibri"/>
          <w:color w:val="000000" w:themeColor="text1"/>
          <w:szCs w:val="24"/>
        </w:rPr>
        <w:t>Uludag</w:t>
      </w:r>
      <w:proofErr w:type="spellEnd"/>
      <w:r w:rsidRPr="00195A87">
        <w:rPr>
          <w:rFonts w:ascii="Calibri" w:hAnsi="Calibri" w:cs="Calibri"/>
          <w:color w:val="000000" w:themeColor="text1"/>
          <w:szCs w:val="24"/>
        </w:rPr>
        <w:t>, 2007). Consequently, hospitality organizations are forced to embrace strategic HRM strategies that focus on employee engagement and welfare in addition to operational effectiveness.</w:t>
      </w:r>
    </w:p>
    <w:p w14:paraId="6F734EA3" w14:textId="77777777" w:rsidR="00F10CB3" w:rsidRPr="00195A87" w:rsidRDefault="00F10CB3" w:rsidP="00F10CB3">
      <w:pPr>
        <w:spacing w:line="480" w:lineRule="auto"/>
        <w:rPr>
          <w:rFonts w:ascii="Calibri" w:hAnsi="Calibri" w:cs="Calibri"/>
          <w:color w:val="000000" w:themeColor="text1"/>
          <w:szCs w:val="24"/>
        </w:rPr>
      </w:pPr>
    </w:p>
    <w:p w14:paraId="56C5D6DD" w14:textId="3051E540" w:rsidR="00F10CB3" w:rsidRPr="00195A87" w:rsidRDefault="00F10CB3" w:rsidP="00F10CB3">
      <w:pPr>
        <w:spacing w:line="480" w:lineRule="auto"/>
        <w:rPr>
          <w:rFonts w:ascii="Calibri" w:hAnsi="Calibri" w:cs="Calibri"/>
          <w:color w:val="000000" w:themeColor="text1"/>
          <w:szCs w:val="24"/>
        </w:rPr>
      </w:pPr>
      <w:r w:rsidRPr="00195A87">
        <w:rPr>
          <w:rFonts w:ascii="Calibri" w:hAnsi="Calibri" w:cs="Calibri"/>
          <w:color w:val="000000" w:themeColor="text1"/>
          <w:szCs w:val="24"/>
        </w:rPr>
        <w:lastRenderedPageBreak/>
        <w:t>HRM initiatives including training and development, performance appraisal, reward and recognition, and career development are key processes that allow an organization to improve employee engagement. Ongoing training provides employees with the skills and confidence needed to work efficiently and open performance management systems create a sense of fairness and motivation (</w:t>
      </w:r>
      <w:proofErr w:type="spellStart"/>
      <w:r w:rsidRPr="00195A87">
        <w:rPr>
          <w:rFonts w:ascii="Calibri" w:hAnsi="Calibri" w:cs="Calibri"/>
          <w:color w:val="000000" w:themeColor="text1"/>
          <w:szCs w:val="24"/>
        </w:rPr>
        <w:t>Boselie</w:t>
      </w:r>
      <w:proofErr w:type="spellEnd"/>
      <w:r w:rsidRPr="00195A87">
        <w:rPr>
          <w:rFonts w:ascii="Calibri" w:hAnsi="Calibri" w:cs="Calibri"/>
          <w:color w:val="000000" w:themeColor="text1"/>
          <w:szCs w:val="24"/>
        </w:rPr>
        <w:t xml:space="preserve"> et al., 2005). Career development opportunities also increase employee commitment by indicating long term investment in employee professional growth. Such HR practices are directly connected to service quality and customer satisfaction outcomes in the hospitality context since frontline employees are the ones that directly affect how guests perceive these components.</w:t>
      </w:r>
    </w:p>
    <w:p w14:paraId="2885D430" w14:textId="0558C0B1" w:rsidR="00F10CB3" w:rsidRPr="00195A87" w:rsidRDefault="00F10CB3" w:rsidP="00F10CB3">
      <w:pPr>
        <w:spacing w:line="480" w:lineRule="auto"/>
        <w:rPr>
          <w:rFonts w:ascii="Calibri" w:hAnsi="Calibri" w:cs="Calibri"/>
          <w:color w:val="000000" w:themeColor="text1"/>
          <w:szCs w:val="24"/>
        </w:rPr>
      </w:pPr>
      <w:r w:rsidRPr="00195A87">
        <w:rPr>
          <w:rFonts w:ascii="Calibri" w:hAnsi="Calibri" w:cs="Calibri"/>
          <w:color w:val="000000" w:themeColor="text1"/>
          <w:szCs w:val="24"/>
        </w:rPr>
        <w:t>Employee engagement in hospitality organizations is also dependent on leadership style. Supportive and transformational leadership styles have been found to lead to trust, psychological safety, and empowerment among employees, which enhances the engagement levels (</w:t>
      </w:r>
      <w:proofErr w:type="spellStart"/>
      <w:r w:rsidRPr="00195A87">
        <w:rPr>
          <w:rFonts w:ascii="Calibri" w:hAnsi="Calibri" w:cs="Calibri"/>
          <w:color w:val="000000" w:themeColor="text1"/>
          <w:szCs w:val="24"/>
        </w:rPr>
        <w:t>Breevaart</w:t>
      </w:r>
      <w:proofErr w:type="spellEnd"/>
      <w:r w:rsidRPr="00195A87">
        <w:rPr>
          <w:rFonts w:ascii="Calibri" w:hAnsi="Calibri" w:cs="Calibri"/>
          <w:color w:val="000000" w:themeColor="text1"/>
          <w:szCs w:val="24"/>
        </w:rPr>
        <w:t xml:space="preserve"> et al., 2014). On the other hand, dictatorial or transactional leadership can contribute to the intensification of stress and emotional burnout, especially within the high-pressure hospitality setting. Moreover, workplace health and well-being programs, such as work-life balance policies, mental health support, and inclusive workplace activities, have become increasingly central to the management of burnout and long-term engagement.</w:t>
      </w:r>
    </w:p>
    <w:p w14:paraId="41FC115B" w14:textId="3129EC10" w:rsidR="00864FB4" w:rsidRPr="00195A87" w:rsidRDefault="00F10CB3" w:rsidP="00F10CB3">
      <w:pPr>
        <w:spacing w:line="480" w:lineRule="auto"/>
        <w:rPr>
          <w:rFonts w:ascii="Calibri" w:hAnsi="Calibri" w:cs="Calibri"/>
          <w:color w:val="000000" w:themeColor="text1"/>
          <w:szCs w:val="24"/>
        </w:rPr>
      </w:pPr>
      <w:r w:rsidRPr="00195A87">
        <w:rPr>
          <w:rFonts w:ascii="Calibri" w:hAnsi="Calibri" w:cs="Calibri"/>
          <w:color w:val="000000" w:themeColor="text1"/>
          <w:szCs w:val="24"/>
        </w:rPr>
        <w:t xml:space="preserve">Integrating the HRM strategies with the strategic goals of hospitality organizations is crucial to operational efficiency and sustainable performance. Motivated employees help in reducing turnover rates, increasing service consistency, and guest experiences, which form key success factors in the hospitality industry. Hospitality industry giants have proven that people-focused HRM practices are worth the investment in terms of employee and customer deliverables. Thus, </w:t>
      </w:r>
      <w:r w:rsidRPr="00195A87">
        <w:rPr>
          <w:rFonts w:ascii="Calibri" w:hAnsi="Calibri" w:cs="Calibri"/>
          <w:color w:val="000000" w:themeColor="text1"/>
          <w:szCs w:val="24"/>
        </w:rPr>
        <w:lastRenderedPageBreak/>
        <w:t>this assignment aims to critically discuss the role of HRM in employee engagement in the hospitality industry, evaluate how HR practices and leadership affect employee outcomes, and review real-life case studies that exemplify best employee engagement practices.</w:t>
      </w:r>
    </w:p>
    <w:p w14:paraId="420767B5" w14:textId="77777777" w:rsidR="00F10CB3" w:rsidRPr="00195A87" w:rsidRDefault="00F10CB3" w:rsidP="00F10CB3">
      <w:pPr>
        <w:spacing w:line="480" w:lineRule="auto"/>
        <w:rPr>
          <w:rFonts w:ascii="Calibri" w:hAnsi="Calibri" w:cs="Calibri"/>
          <w:color w:val="000000" w:themeColor="text1"/>
          <w:szCs w:val="24"/>
        </w:rPr>
      </w:pPr>
    </w:p>
    <w:p w14:paraId="10D2DD60" w14:textId="77777777" w:rsidR="00F10CB3" w:rsidRPr="00195A87" w:rsidRDefault="00F10CB3" w:rsidP="00F10CB3">
      <w:pPr>
        <w:spacing w:line="480" w:lineRule="auto"/>
        <w:rPr>
          <w:rFonts w:ascii="Calibri" w:hAnsi="Calibri" w:cs="Calibri"/>
          <w:color w:val="000000" w:themeColor="text1"/>
          <w:szCs w:val="24"/>
        </w:rPr>
      </w:pPr>
    </w:p>
    <w:p w14:paraId="06A8E41E" w14:textId="77777777" w:rsidR="00F10CB3" w:rsidRPr="00195A87" w:rsidRDefault="00F10CB3" w:rsidP="00F10CB3">
      <w:pPr>
        <w:spacing w:line="480" w:lineRule="auto"/>
        <w:rPr>
          <w:rFonts w:ascii="Calibri" w:hAnsi="Calibri" w:cs="Calibri"/>
          <w:color w:val="000000" w:themeColor="text1"/>
          <w:szCs w:val="24"/>
        </w:rPr>
      </w:pPr>
    </w:p>
    <w:p w14:paraId="687B5A57" w14:textId="77777777" w:rsidR="00F10CB3" w:rsidRPr="00195A87" w:rsidRDefault="00F10CB3" w:rsidP="00F10CB3">
      <w:pPr>
        <w:spacing w:line="480" w:lineRule="auto"/>
        <w:rPr>
          <w:rFonts w:ascii="Calibri" w:hAnsi="Calibri" w:cs="Calibri"/>
          <w:color w:val="000000" w:themeColor="text1"/>
          <w:szCs w:val="24"/>
        </w:rPr>
      </w:pPr>
    </w:p>
    <w:p w14:paraId="333264F7" w14:textId="77777777" w:rsidR="00F10CB3" w:rsidRPr="00195A87" w:rsidRDefault="00F10CB3" w:rsidP="00F10CB3">
      <w:pPr>
        <w:spacing w:line="480" w:lineRule="auto"/>
        <w:rPr>
          <w:rFonts w:ascii="Calibri" w:hAnsi="Calibri" w:cs="Calibri"/>
          <w:color w:val="000000" w:themeColor="text1"/>
          <w:szCs w:val="24"/>
        </w:rPr>
      </w:pPr>
    </w:p>
    <w:p w14:paraId="43928E3B" w14:textId="77777777" w:rsidR="00F10CB3" w:rsidRPr="00195A87" w:rsidRDefault="00F10CB3" w:rsidP="00F10CB3">
      <w:pPr>
        <w:spacing w:line="480" w:lineRule="auto"/>
        <w:rPr>
          <w:rFonts w:ascii="Calibri" w:hAnsi="Calibri" w:cs="Calibri"/>
          <w:color w:val="000000" w:themeColor="text1"/>
          <w:szCs w:val="24"/>
        </w:rPr>
      </w:pPr>
    </w:p>
    <w:p w14:paraId="7A2150A1" w14:textId="77777777" w:rsidR="00F10CB3" w:rsidRPr="00195A87" w:rsidRDefault="00F10CB3" w:rsidP="00F10CB3">
      <w:pPr>
        <w:spacing w:line="480" w:lineRule="auto"/>
        <w:rPr>
          <w:rFonts w:ascii="Calibri" w:hAnsi="Calibri" w:cs="Calibri"/>
          <w:color w:val="000000" w:themeColor="text1"/>
          <w:szCs w:val="24"/>
        </w:rPr>
      </w:pPr>
    </w:p>
    <w:p w14:paraId="3222F2EA" w14:textId="77777777" w:rsidR="00F10CB3" w:rsidRPr="00195A87" w:rsidRDefault="00F10CB3" w:rsidP="00F10CB3">
      <w:pPr>
        <w:spacing w:line="480" w:lineRule="auto"/>
        <w:rPr>
          <w:rFonts w:ascii="Calibri" w:hAnsi="Calibri" w:cs="Calibri"/>
          <w:color w:val="000000" w:themeColor="text1"/>
          <w:szCs w:val="24"/>
        </w:rPr>
      </w:pPr>
    </w:p>
    <w:p w14:paraId="1868C196" w14:textId="77777777" w:rsidR="00F10CB3" w:rsidRPr="00195A87" w:rsidRDefault="00F10CB3" w:rsidP="00F10CB3">
      <w:pPr>
        <w:spacing w:line="480" w:lineRule="auto"/>
        <w:rPr>
          <w:rFonts w:ascii="Calibri" w:hAnsi="Calibri" w:cs="Calibri"/>
          <w:color w:val="000000" w:themeColor="text1"/>
          <w:szCs w:val="24"/>
        </w:rPr>
      </w:pPr>
    </w:p>
    <w:p w14:paraId="546830AC" w14:textId="77777777" w:rsidR="00F10CB3" w:rsidRPr="00195A87" w:rsidRDefault="00F10CB3" w:rsidP="00F10CB3">
      <w:pPr>
        <w:spacing w:line="480" w:lineRule="auto"/>
        <w:rPr>
          <w:rFonts w:ascii="Calibri" w:hAnsi="Calibri" w:cs="Calibri"/>
          <w:color w:val="000000" w:themeColor="text1"/>
          <w:szCs w:val="24"/>
        </w:rPr>
      </w:pPr>
    </w:p>
    <w:p w14:paraId="6C64375D" w14:textId="77777777" w:rsidR="00F10CB3" w:rsidRPr="00195A87" w:rsidRDefault="00F10CB3" w:rsidP="00F10CB3">
      <w:pPr>
        <w:spacing w:line="480" w:lineRule="auto"/>
        <w:rPr>
          <w:rFonts w:ascii="Calibri" w:hAnsi="Calibri" w:cs="Calibri"/>
          <w:color w:val="000000" w:themeColor="text1"/>
          <w:szCs w:val="24"/>
        </w:rPr>
      </w:pPr>
    </w:p>
    <w:p w14:paraId="20E9FFEF" w14:textId="77777777" w:rsidR="00F10CB3" w:rsidRPr="00195A87" w:rsidRDefault="00F10CB3" w:rsidP="00F10CB3">
      <w:pPr>
        <w:spacing w:line="480" w:lineRule="auto"/>
        <w:rPr>
          <w:rFonts w:ascii="Calibri" w:hAnsi="Calibri" w:cs="Calibri"/>
          <w:color w:val="000000" w:themeColor="text1"/>
          <w:szCs w:val="24"/>
        </w:rPr>
      </w:pPr>
    </w:p>
    <w:p w14:paraId="7DF6940E" w14:textId="77777777" w:rsidR="00F10CB3" w:rsidRPr="00195A87" w:rsidRDefault="00F10CB3" w:rsidP="00F10CB3">
      <w:pPr>
        <w:spacing w:line="480" w:lineRule="auto"/>
        <w:rPr>
          <w:rFonts w:ascii="Calibri" w:hAnsi="Calibri" w:cs="Calibri"/>
          <w:color w:val="000000" w:themeColor="text1"/>
          <w:szCs w:val="24"/>
        </w:rPr>
      </w:pPr>
    </w:p>
    <w:p w14:paraId="3025A4AA" w14:textId="77777777" w:rsidR="00F10CB3" w:rsidRPr="00195A87" w:rsidRDefault="00F10CB3" w:rsidP="00F10CB3">
      <w:pPr>
        <w:spacing w:line="480" w:lineRule="auto"/>
        <w:rPr>
          <w:rFonts w:ascii="Calibri" w:hAnsi="Calibri" w:cs="Calibri"/>
          <w:b/>
          <w:bCs/>
          <w:color w:val="000000" w:themeColor="text1"/>
          <w:szCs w:val="24"/>
        </w:rPr>
      </w:pPr>
    </w:p>
    <w:p w14:paraId="7E32B057" w14:textId="77777777" w:rsidR="00864FB4" w:rsidRPr="00195A87" w:rsidRDefault="00864FB4" w:rsidP="00B34C13">
      <w:pPr>
        <w:pStyle w:val="Heading1"/>
        <w:spacing w:line="480" w:lineRule="auto"/>
        <w:rPr>
          <w:rFonts w:ascii="Calibri" w:hAnsi="Calibri" w:cs="Calibri"/>
          <w:b/>
          <w:bCs/>
          <w:color w:val="000000" w:themeColor="text1"/>
          <w:sz w:val="24"/>
          <w:szCs w:val="24"/>
        </w:rPr>
      </w:pPr>
      <w:bookmarkStart w:id="2" w:name="_Toc220957852"/>
      <w:r w:rsidRPr="00195A87">
        <w:rPr>
          <w:rFonts w:ascii="Calibri" w:hAnsi="Calibri" w:cs="Calibri"/>
          <w:b/>
          <w:bCs/>
          <w:color w:val="000000" w:themeColor="text1"/>
          <w:sz w:val="24"/>
          <w:szCs w:val="24"/>
        </w:rPr>
        <w:lastRenderedPageBreak/>
        <w:t>Literature Review</w:t>
      </w:r>
      <w:bookmarkEnd w:id="2"/>
    </w:p>
    <w:p w14:paraId="40CDC892" w14:textId="3B9CACAA" w:rsidR="0021686C" w:rsidRPr="00195A87" w:rsidRDefault="0021686C" w:rsidP="0021686C">
      <w:pPr>
        <w:spacing w:line="480" w:lineRule="auto"/>
        <w:rPr>
          <w:rFonts w:ascii="Calibri" w:hAnsi="Calibri" w:cs="Calibri"/>
          <w:b/>
          <w:bCs/>
          <w:color w:val="000000" w:themeColor="text1"/>
          <w:szCs w:val="24"/>
        </w:rPr>
      </w:pPr>
      <w:r w:rsidRPr="00195A87">
        <w:rPr>
          <w:rFonts w:ascii="Calibri" w:hAnsi="Calibri" w:cs="Calibri"/>
          <w:b/>
          <w:bCs/>
          <w:color w:val="000000" w:themeColor="text1"/>
          <w:szCs w:val="24"/>
        </w:rPr>
        <w:t>Employee Engagement Concept in the Hospitality Industry.</w:t>
      </w:r>
    </w:p>
    <w:p w14:paraId="2207416A" w14:textId="12866AD8" w:rsidR="0021686C" w:rsidRPr="00195A87" w:rsidRDefault="0021686C" w:rsidP="0021686C">
      <w:pPr>
        <w:spacing w:line="480" w:lineRule="auto"/>
        <w:rPr>
          <w:rFonts w:ascii="Calibri" w:hAnsi="Calibri" w:cs="Calibri"/>
          <w:color w:val="000000" w:themeColor="text1"/>
          <w:szCs w:val="24"/>
        </w:rPr>
      </w:pPr>
      <w:r w:rsidRPr="00195A87">
        <w:rPr>
          <w:rFonts w:ascii="Calibri" w:hAnsi="Calibri" w:cs="Calibri"/>
          <w:color w:val="000000" w:themeColor="text1"/>
          <w:szCs w:val="24"/>
        </w:rPr>
        <w:t xml:space="preserve">Employee engagement is now a key construct in human resource and organizational </w:t>
      </w:r>
      <w:proofErr w:type="spellStart"/>
      <w:r w:rsidRPr="00195A87">
        <w:rPr>
          <w:rFonts w:ascii="Calibri" w:hAnsi="Calibri" w:cs="Calibri"/>
          <w:color w:val="000000" w:themeColor="text1"/>
          <w:szCs w:val="24"/>
        </w:rPr>
        <w:t>behavior</w:t>
      </w:r>
      <w:proofErr w:type="spellEnd"/>
      <w:r w:rsidRPr="00195A87">
        <w:rPr>
          <w:rFonts w:ascii="Calibri" w:hAnsi="Calibri" w:cs="Calibri"/>
          <w:color w:val="000000" w:themeColor="text1"/>
          <w:szCs w:val="24"/>
        </w:rPr>
        <w:t xml:space="preserve"> literature, especially in service-intensive sectors like hospitality. Engagement is often described as a </w:t>
      </w:r>
      <w:proofErr w:type="spellStart"/>
      <w:r w:rsidRPr="00195A87">
        <w:rPr>
          <w:rFonts w:ascii="Calibri" w:hAnsi="Calibri" w:cs="Calibri"/>
          <w:color w:val="000000" w:themeColor="text1"/>
          <w:szCs w:val="24"/>
        </w:rPr>
        <w:t>favorable</w:t>
      </w:r>
      <w:proofErr w:type="spellEnd"/>
      <w:r w:rsidRPr="00195A87">
        <w:rPr>
          <w:rFonts w:ascii="Calibri" w:hAnsi="Calibri" w:cs="Calibri"/>
          <w:color w:val="000000" w:themeColor="text1"/>
          <w:szCs w:val="24"/>
        </w:rPr>
        <w:t xml:space="preserve">, satisfying work-based psychological condition that is typified by the presence of vitality, commitment, and engrossment (Schaufeli et al., 2002). In contrast to job satisfaction, which is a passive form of contentment, employee engagement is a motivational and active linkage to work roles. Engagement is especially important in hospitality environments, where workers face guests quite often, as emotional </w:t>
      </w:r>
      <w:proofErr w:type="spellStart"/>
      <w:r w:rsidRPr="00195A87">
        <w:rPr>
          <w:rFonts w:ascii="Calibri" w:hAnsi="Calibri" w:cs="Calibri"/>
          <w:color w:val="000000" w:themeColor="text1"/>
          <w:szCs w:val="24"/>
        </w:rPr>
        <w:t>labor</w:t>
      </w:r>
      <w:proofErr w:type="spellEnd"/>
      <w:r w:rsidRPr="00195A87">
        <w:rPr>
          <w:rFonts w:ascii="Calibri" w:hAnsi="Calibri" w:cs="Calibri"/>
          <w:color w:val="000000" w:themeColor="text1"/>
          <w:szCs w:val="24"/>
        </w:rPr>
        <w:t xml:space="preserve"> and service </w:t>
      </w:r>
      <w:proofErr w:type="spellStart"/>
      <w:r w:rsidRPr="00195A87">
        <w:rPr>
          <w:rFonts w:ascii="Calibri" w:hAnsi="Calibri" w:cs="Calibri"/>
          <w:color w:val="000000" w:themeColor="text1"/>
          <w:szCs w:val="24"/>
        </w:rPr>
        <w:t>behaviors</w:t>
      </w:r>
      <w:proofErr w:type="spellEnd"/>
      <w:r w:rsidRPr="00195A87">
        <w:rPr>
          <w:rFonts w:ascii="Calibri" w:hAnsi="Calibri" w:cs="Calibri"/>
          <w:color w:val="000000" w:themeColor="text1"/>
          <w:szCs w:val="24"/>
        </w:rPr>
        <w:t xml:space="preserve"> have a direct impact on customer perception and organizational performance.</w:t>
      </w:r>
    </w:p>
    <w:p w14:paraId="0B6555E7" w14:textId="77777777" w:rsidR="0021686C" w:rsidRPr="00195A87" w:rsidRDefault="0021686C" w:rsidP="0021686C">
      <w:pPr>
        <w:spacing w:line="480" w:lineRule="auto"/>
        <w:rPr>
          <w:rFonts w:ascii="Calibri" w:hAnsi="Calibri" w:cs="Calibri"/>
          <w:color w:val="000000" w:themeColor="text1"/>
          <w:szCs w:val="24"/>
        </w:rPr>
      </w:pPr>
      <w:r w:rsidRPr="00195A87">
        <w:rPr>
          <w:rFonts w:ascii="Calibri" w:hAnsi="Calibri" w:cs="Calibri"/>
          <w:color w:val="000000" w:themeColor="text1"/>
          <w:szCs w:val="24"/>
        </w:rPr>
        <w:t xml:space="preserve">The hospitality sector has a distinct employment environment characterized by extensive working hours, emotional jobs, seasonal jobs, and </w:t>
      </w:r>
      <w:proofErr w:type="spellStart"/>
      <w:r w:rsidRPr="00195A87">
        <w:rPr>
          <w:rFonts w:ascii="Calibri" w:hAnsi="Calibri" w:cs="Calibri"/>
          <w:color w:val="000000" w:themeColor="text1"/>
          <w:szCs w:val="24"/>
        </w:rPr>
        <w:t>labor</w:t>
      </w:r>
      <w:proofErr w:type="spellEnd"/>
      <w:r w:rsidRPr="00195A87">
        <w:rPr>
          <w:rFonts w:ascii="Calibri" w:hAnsi="Calibri" w:cs="Calibri"/>
          <w:color w:val="000000" w:themeColor="text1"/>
          <w:szCs w:val="24"/>
        </w:rPr>
        <w:t xml:space="preserve"> mobility. Such circumstances render employee engagement imperative and difficult to maintain. It has been shown that engaged employees in the hospitality industry tend to have a greater service quality, organizational commitment, and reduced turnover intentions (Karatepe, 2013). As a result, employee engagement is no longer regarded only as an HR outcome but as a strategic resource enhancing competitive advantage within hospitality organizations.</w:t>
      </w:r>
    </w:p>
    <w:p w14:paraId="499D42F4" w14:textId="77777777" w:rsidR="0021686C" w:rsidRPr="00195A87" w:rsidRDefault="0021686C" w:rsidP="0021686C">
      <w:pPr>
        <w:spacing w:line="480" w:lineRule="auto"/>
        <w:rPr>
          <w:rFonts w:ascii="Calibri" w:hAnsi="Calibri" w:cs="Calibri"/>
          <w:b/>
          <w:bCs/>
          <w:color w:val="000000" w:themeColor="text1"/>
          <w:szCs w:val="24"/>
        </w:rPr>
      </w:pPr>
    </w:p>
    <w:p w14:paraId="7757FB9E" w14:textId="77777777" w:rsidR="0021686C" w:rsidRPr="00195A87" w:rsidRDefault="0021686C" w:rsidP="0021686C">
      <w:pPr>
        <w:spacing w:line="480" w:lineRule="auto"/>
        <w:rPr>
          <w:rFonts w:ascii="Calibri" w:hAnsi="Calibri" w:cs="Calibri"/>
          <w:b/>
          <w:bCs/>
          <w:color w:val="000000" w:themeColor="text1"/>
          <w:szCs w:val="24"/>
        </w:rPr>
      </w:pPr>
    </w:p>
    <w:p w14:paraId="099F340E" w14:textId="77777777" w:rsidR="0021686C" w:rsidRPr="00195A87" w:rsidRDefault="0021686C" w:rsidP="0021686C">
      <w:pPr>
        <w:spacing w:line="480" w:lineRule="auto"/>
        <w:rPr>
          <w:rFonts w:ascii="Calibri" w:hAnsi="Calibri" w:cs="Calibri"/>
          <w:b/>
          <w:bCs/>
          <w:color w:val="000000" w:themeColor="text1"/>
          <w:szCs w:val="24"/>
        </w:rPr>
      </w:pPr>
    </w:p>
    <w:p w14:paraId="759A1902" w14:textId="7857287A" w:rsidR="0021686C" w:rsidRPr="00195A87" w:rsidRDefault="0021686C" w:rsidP="0021686C">
      <w:pPr>
        <w:spacing w:line="480" w:lineRule="auto"/>
        <w:rPr>
          <w:rFonts w:ascii="Calibri" w:hAnsi="Calibri" w:cs="Calibri"/>
          <w:b/>
          <w:bCs/>
          <w:color w:val="000000" w:themeColor="text1"/>
          <w:szCs w:val="24"/>
        </w:rPr>
      </w:pPr>
      <w:r w:rsidRPr="00195A87">
        <w:rPr>
          <w:rFonts w:ascii="Calibri" w:hAnsi="Calibri" w:cs="Calibri"/>
          <w:b/>
          <w:bCs/>
          <w:color w:val="000000" w:themeColor="text1"/>
          <w:szCs w:val="24"/>
        </w:rPr>
        <w:lastRenderedPageBreak/>
        <w:t>Theoretical Grounds for the Relationship between HRM and Employee Engagement.</w:t>
      </w:r>
    </w:p>
    <w:p w14:paraId="28EB02C8" w14:textId="42B8BCD1" w:rsidR="0021686C" w:rsidRPr="00195A87" w:rsidRDefault="0021686C" w:rsidP="0021686C">
      <w:pPr>
        <w:spacing w:line="480" w:lineRule="auto"/>
        <w:rPr>
          <w:rFonts w:ascii="Calibri" w:hAnsi="Calibri" w:cs="Calibri"/>
          <w:color w:val="000000" w:themeColor="text1"/>
          <w:szCs w:val="24"/>
        </w:rPr>
      </w:pPr>
      <w:r w:rsidRPr="00195A87">
        <w:rPr>
          <w:rFonts w:ascii="Calibri" w:hAnsi="Calibri" w:cs="Calibri"/>
          <w:color w:val="000000" w:themeColor="text1"/>
          <w:szCs w:val="24"/>
        </w:rPr>
        <w:t xml:space="preserve">The interrelationship between Human Resource Management (HRM) and employee engagement is based on some established theoretical foundations. The Social Exchange Theory states that employees repay positive organizational treatment by positive attitudes and </w:t>
      </w:r>
      <w:proofErr w:type="spellStart"/>
      <w:r w:rsidRPr="00195A87">
        <w:rPr>
          <w:rFonts w:ascii="Calibri" w:hAnsi="Calibri" w:cs="Calibri"/>
          <w:color w:val="000000" w:themeColor="text1"/>
          <w:szCs w:val="24"/>
        </w:rPr>
        <w:t>behaviors</w:t>
      </w:r>
      <w:proofErr w:type="spellEnd"/>
      <w:r w:rsidRPr="00195A87">
        <w:rPr>
          <w:rFonts w:ascii="Calibri" w:hAnsi="Calibri" w:cs="Calibri"/>
          <w:color w:val="000000" w:themeColor="text1"/>
          <w:szCs w:val="24"/>
        </w:rPr>
        <w:t>, such as engagement and discretionary effort (Blau, 1964). When employees feel that the HR practices are supportive and fair in hospitality organizations, they tend to show service-oriented behaviours and emotional commitment.</w:t>
      </w:r>
    </w:p>
    <w:p w14:paraId="6EC85022" w14:textId="4430785D" w:rsidR="0021686C" w:rsidRPr="00195A87" w:rsidRDefault="0021686C" w:rsidP="0021686C">
      <w:pPr>
        <w:spacing w:line="480" w:lineRule="auto"/>
        <w:rPr>
          <w:rFonts w:ascii="Calibri" w:hAnsi="Calibri" w:cs="Calibri"/>
          <w:color w:val="000000" w:themeColor="text1"/>
          <w:szCs w:val="24"/>
        </w:rPr>
      </w:pPr>
      <w:r w:rsidRPr="00195A87">
        <w:rPr>
          <w:rFonts w:ascii="Calibri" w:hAnsi="Calibri" w:cs="Calibri"/>
          <w:color w:val="000000" w:themeColor="text1"/>
          <w:szCs w:val="24"/>
        </w:rPr>
        <w:t xml:space="preserve">A third powerful theory is the Job Demands Resources (JD-R) model, which posits that employee engagement occurs when job demands (such as workload and emotional strain) are countered by job resources (including training, autonomy, feedback and leadership support) (Bakker and Demerouti, 2007). Since hospitality work has high emotional and physical demands, HRM practices that focus on improving job resources are especially useful in promoting engagement. The empirical research in the hotel and tourism setting confirms that job resources supplied by hotel and tourism HRM systems are important predictors of engagement and performance results (Karatepe &amp; </w:t>
      </w:r>
      <w:proofErr w:type="spellStart"/>
      <w:r w:rsidRPr="00195A87">
        <w:rPr>
          <w:rFonts w:ascii="Calibri" w:hAnsi="Calibri" w:cs="Calibri"/>
          <w:color w:val="000000" w:themeColor="text1"/>
          <w:szCs w:val="24"/>
        </w:rPr>
        <w:t>Olugbade</w:t>
      </w:r>
      <w:proofErr w:type="spellEnd"/>
      <w:r w:rsidRPr="00195A87">
        <w:rPr>
          <w:rFonts w:ascii="Calibri" w:hAnsi="Calibri" w:cs="Calibri"/>
          <w:color w:val="000000" w:themeColor="text1"/>
          <w:szCs w:val="24"/>
        </w:rPr>
        <w:t>, 2009).</w:t>
      </w:r>
    </w:p>
    <w:p w14:paraId="15B712E7" w14:textId="77777777" w:rsidR="0021686C" w:rsidRPr="00195A87" w:rsidRDefault="0021686C" w:rsidP="0021686C">
      <w:pPr>
        <w:spacing w:line="480" w:lineRule="auto"/>
        <w:rPr>
          <w:rFonts w:ascii="Calibri" w:hAnsi="Calibri" w:cs="Calibri"/>
          <w:color w:val="000000" w:themeColor="text1"/>
          <w:szCs w:val="24"/>
        </w:rPr>
      </w:pPr>
      <w:r w:rsidRPr="00195A87">
        <w:rPr>
          <w:rFonts w:ascii="Calibri" w:hAnsi="Calibri" w:cs="Calibri"/>
          <w:color w:val="000000" w:themeColor="text1"/>
          <w:szCs w:val="24"/>
        </w:rPr>
        <w:t xml:space="preserve">There is also the </w:t>
      </w:r>
      <w:proofErr w:type="spellStart"/>
      <w:r w:rsidRPr="00195A87">
        <w:rPr>
          <w:rFonts w:ascii="Calibri" w:hAnsi="Calibri" w:cs="Calibri"/>
          <w:color w:val="000000" w:themeColor="text1"/>
          <w:szCs w:val="24"/>
        </w:rPr>
        <w:t>AbilityMotivationOpportunity</w:t>
      </w:r>
      <w:proofErr w:type="spellEnd"/>
      <w:r w:rsidRPr="00195A87">
        <w:rPr>
          <w:rFonts w:ascii="Calibri" w:hAnsi="Calibri" w:cs="Calibri"/>
          <w:color w:val="000000" w:themeColor="text1"/>
          <w:szCs w:val="24"/>
        </w:rPr>
        <w:t xml:space="preserve"> (AMO) model, which interprets HRM practice and its effects on employee performance through improving the skills, motivation, and opportunities of participation of employees (</w:t>
      </w:r>
      <w:proofErr w:type="spellStart"/>
      <w:r w:rsidRPr="00195A87">
        <w:rPr>
          <w:rFonts w:ascii="Calibri" w:hAnsi="Calibri" w:cs="Calibri"/>
          <w:color w:val="000000" w:themeColor="text1"/>
          <w:szCs w:val="24"/>
        </w:rPr>
        <w:t>Boselie</w:t>
      </w:r>
      <w:proofErr w:type="spellEnd"/>
      <w:r w:rsidRPr="00195A87">
        <w:rPr>
          <w:rFonts w:ascii="Calibri" w:hAnsi="Calibri" w:cs="Calibri"/>
          <w:color w:val="000000" w:themeColor="text1"/>
          <w:szCs w:val="24"/>
        </w:rPr>
        <w:t xml:space="preserve"> et al., 2005). Employee abilities are developed through training and development, motivation is fostered through performance management and rewards, and opportunities to engage are created in participative decision-</w:t>
      </w:r>
      <w:r w:rsidRPr="00195A87">
        <w:rPr>
          <w:rFonts w:ascii="Calibri" w:hAnsi="Calibri" w:cs="Calibri"/>
          <w:color w:val="000000" w:themeColor="text1"/>
          <w:szCs w:val="24"/>
        </w:rPr>
        <w:lastRenderedPageBreak/>
        <w:t>making. This model has been extensively used in hospitality studies to describe the role of HRM systems in motivating employee attitudes and service delivery.</w:t>
      </w:r>
    </w:p>
    <w:p w14:paraId="2B5CE6C9" w14:textId="77777777" w:rsidR="0021686C" w:rsidRPr="00195A87" w:rsidRDefault="0021686C" w:rsidP="0021686C">
      <w:pPr>
        <w:spacing w:line="480" w:lineRule="auto"/>
        <w:rPr>
          <w:rFonts w:ascii="Calibri" w:hAnsi="Calibri" w:cs="Calibri"/>
          <w:b/>
          <w:bCs/>
          <w:color w:val="000000" w:themeColor="text1"/>
          <w:szCs w:val="24"/>
        </w:rPr>
      </w:pPr>
    </w:p>
    <w:p w14:paraId="260E6FB5" w14:textId="77777777" w:rsidR="0021686C" w:rsidRPr="00195A87" w:rsidRDefault="0021686C" w:rsidP="0021686C">
      <w:pPr>
        <w:spacing w:line="480" w:lineRule="auto"/>
        <w:rPr>
          <w:rFonts w:ascii="Calibri" w:hAnsi="Calibri" w:cs="Calibri"/>
          <w:b/>
          <w:bCs/>
          <w:color w:val="000000" w:themeColor="text1"/>
          <w:szCs w:val="24"/>
        </w:rPr>
      </w:pPr>
      <w:r w:rsidRPr="00195A87">
        <w:rPr>
          <w:rFonts w:ascii="Calibri" w:hAnsi="Calibri" w:cs="Calibri"/>
          <w:b/>
          <w:bCs/>
          <w:color w:val="000000" w:themeColor="text1"/>
          <w:szCs w:val="24"/>
        </w:rPr>
        <w:t>HRM Practices and Employee Engagement.</w:t>
      </w:r>
    </w:p>
    <w:p w14:paraId="3FF30B65" w14:textId="10E9E732" w:rsidR="0021686C" w:rsidRPr="00195A87" w:rsidRDefault="0021686C" w:rsidP="0021686C">
      <w:pPr>
        <w:spacing w:line="480" w:lineRule="auto"/>
        <w:rPr>
          <w:rFonts w:ascii="Calibri" w:hAnsi="Calibri" w:cs="Calibri"/>
          <w:b/>
          <w:bCs/>
          <w:color w:val="000000" w:themeColor="text1"/>
          <w:szCs w:val="24"/>
        </w:rPr>
      </w:pPr>
      <w:r w:rsidRPr="00195A87">
        <w:rPr>
          <w:rFonts w:ascii="Calibri" w:hAnsi="Calibri" w:cs="Calibri"/>
          <w:b/>
          <w:bCs/>
          <w:color w:val="000000" w:themeColor="text1"/>
          <w:szCs w:val="24"/>
        </w:rPr>
        <w:t>3.1 Training and Development</w:t>
      </w:r>
    </w:p>
    <w:p w14:paraId="73CEF749" w14:textId="37ECC261" w:rsidR="0021686C" w:rsidRPr="00195A87" w:rsidRDefault="0021686C" w:rsidP="0021686C">
      <w:pPr>
        <w:spacing w:line="480" w:lineRule="auto"/>
        <w:rPr>
          <w:rFonts w:ascii="Calibri" w:hAnsi="Calibri" w:cs="Calibri"/>
          <w:color w:val="000000" w:themeColor="text1"/>
          <w:szCs w:val="24"/>
        </w:rPr>
      </w:pPr>
      <w:r w:rsidRPr="00195A87">
        <w:rPr>
          <w:rFonts w:ascii="Calibri" w:hAnsi="Calibri" w:cs="Calibri"/>
          <w:color w:val="000000" w:themeColor="text1"/>
          <w:szCs w:val="24"/>
        </w:rPr>
        <w:t>Training and development have always been cited as essential HRM practices that affect employee engagement in hospitality organizations. Life-long training improves technical proficiency, service competencies, and confidence of employees on dealing with guests. Research shows that employees who notice something valuable in training opportunities tend to report increased engagement, job satisfaction, and organizational commitment (Chiang et al., 2015).</w:t>
      </w:r>
    </w:p>
    <w:p w14:paraId="65F19C96" w14:textId="77777777" w:rsidR="0021686C" w:rsidRPr="00195A87" w:rsidRDefault="0021686C" w:rsidP="0021686C">
      <w:pPr>
        <w:spacing w:line="480" w:lineRule="auto"/>
        <w:rPr>
          <w:rFonts w:ascii="Calibri" w:hAnsi="Calibri" w:cs="Calibri"/>
          <w:color w:val="000000" w:themeColor="text1"/>
          <w:szCs w:val="24"/>
        </w:rPr>
      </w:pPr>
      <w:r w:rsidRPr="00195A87">
        <w:rPr>
          <w:rFonts w:ascii="Calibri" w:hAnsi="Calibri" w:cs="Calibri"/>
          <w:color w:val="000000" w:themeColor="text1"/>
          <w:szCs w:val="24"/>
        </w:rPr>
        <w:t xml:space="preserve">Training is also a form of organizational support in hospitality </w:t>
      </w:r>
      <w:proofErr w:type="gramStart"/>
      <w:r w:rsidRPr="00195A87">
        <w:rPr>
          <w:rFonts w:ascii="Calibri" w:hAnsi="Calibri" w:cs="Calibri"/>
          <w:color w:val="000000" w:themeColor="text1"/>
          <w:szCs w:val="24"/>
        </w:rPr>
        <w:t>settings</w:t>
      </w:r>
      <w:proofErr w:type="gramEnd"/>
      <w:r w:rsidRPr="00195A87">
        <w:rPr>
          <w:rFonts w:ascii="Calibri" w:hAnsi="Calibri" w:cs="Calibri"/>
          <w:color w:val="000000" w:themeColor="text1"/>
          <w:szCs w:val="24"/>
        </w:rPr>
        <w:t xml:space="preserve"> and it helps employees feel that their organization cares about their development. Such perception reinforces the psychological contract between employees and employers, thus boosting engagement. Empirically, it has been established that training-based HRM systems correlate positively with lower burnout and enhanced service recovery performance among front-line hospitality workers (Karatepe and </w:t>
      </w:r>
      <w:proofErr w:type="spellStart"/>
      <w:r w:rsidRPr="00195A87">
        <w:rPr>
          <w:rFonts w:ascii="Calibri" w:hAnsi="Calibri" w:cs="Calibri"/>
          <w:color w:val="000000" w:themeColor="text1"/>
          <w:szCs w:val="24"/>
        </w:rPr>
        <w:t>Vatankhah</w:t>
      </w:r>
      <w:proofErr w:type="spellEnd"/>
      <w:r w:rsidRPr="00195A87">
        <w:rPr>
          <w:rFonts w:ascii="Calibri" w:hAnsi="Calibri" w:cs="Calibri"/>
          <w:color w:val="000000" w:themeColor="text1"/>
          <w:szCs w:val="24"/>
        </w:rPr>
        <w:t>, 2014).</w:t>
      </w:r>
    </w:p>
    <w:p w14:paraId="01110415" w14:textId="77777777" w:rsidR="0021686C" w:rsidRPr="00195A87" w:rsidRDefault="0021686C" w:rsidP="0021686C">
      <w:pPr>
        <w:spacing w:line="480" w:lineRule="auto"/>
        <w:rPr>
          <w:rFonts w:ascii="Calibri" w:hAnsi="Calibri" w:cs="Calibri"/>
          <w:b/>
          <w:bCs/>
          <w:color w:val="000000" w:themeColor="text1"/>
          <w:szCs w:val="24"/>
        </w:rPr>
      </w:pPr>
    </w:p>
    <w:p w14:paraId="579EA512" w14:textId="77777777" w:rsidR="0021686C" w:rsidRPr="00195A87" w:rsidRDefault="0021686C" w:rsidP="0021686C">
      <w:pPr>
        <w:spacing w:line="480" w:lineRule="auto"/>
        <w:rPr>
          <w:rFonts w:ascii="Calibri" w:hAnsi="Calibri" w:cs="Calibri"/>
          <w:b/>
          <w:bCs/>
          <w:color w:val="000000" w:themeColor="text1"/>
          <w:szCs w:val="24"/>
        </w:rPr>
      </w:pPr>
    </w:p>
    <w:p w14:paraId="482E3E47" w14:textId="77777777" w:rsidR="0021686C" w:rsidRPr="00195A87" w:rsidRDefault="0021686C" w:rsidP="0021686C">
      <w:pPr>
        <w:spacing w:line="480" w:lineRule="auto"/>
        <w:rPr>
          <w:rFonts w:ascii="Calibri" w:hAnsi="Calibri" w:cs="Calibri"/>
          <w:b/>
          <w:bCs/>
          <w:color w:val="000000" w:themeColor="text1"/>
          <w:szCs w:val="24"/>
        </w:rPr>
      </w:pPr>
    </w:p>
    <w:p w14:paraId="2B983F26" w14:textId="5FE3E0D4" w:rsidR="0021686C" w:rsidRPr="00195A87" w:rsidRDefault="0021686C" w:rsidP="0021686C">
      <w:pPr>
        <w:spacing w:line="480" w:lineRule="auto"/>
        <w:rPr>
          <w:rFonts w:ascii="Calibri" w:hAnsi="Calibri" w:cs="Calibri"/>
          <w:b/>
          <w:bCs/>
          <w:color w:val="000000" w:themeColor="text1"/>
          <w:szCs w:val="24"/>
        </w:rPr>
      </w:pPr>
      <w:r w:rsidRPr="00195A87">
        <w:rPr>
          <w:rFonts w:ascii="Calibri" w:hAnsi="Calibri" w:cs="Calibri"/>
          <w:b/>
          <w:bCs/>
          <w:color w:val="000000" w:themeColor="text1"/>
          <w:szCs w:val="24"/>
        </w:rPr>
        <w:lastRenderedPageBreak/>
        <w:t>3.2 Performance Management and Rewards.</w:t>
      </w:r>
    </w:p>
    <w:p w14:paraId="509AE5AF" w14:textId="5D8C068B" w:rsidR="0021686C" w:rsidRPr="00195A87" w:rsidRDefault="0021686C" w:rsidP="0021686C">
      <w:pPr>
        <w:spacing w:line="480" w:lineRule="auto"/>
        <w:rPr>
          <w:rFonts w:ascii="Calibri" w:hAnsi="Calibri" w:cs="Calibri"/>
          <w:color w:val="000000" w:themeColor="text1"/>
          <w:szCs w:val="24"/>
        </w:rPr>
      </w:pPr>
      <w:r w:rsidRPr="00195A87">
        <w:rPr>
          <w:rFonts w:ascii="Calibri" w:hAnsi="Calibri" w:cs="Calibri"/>
          <w:color w:val="000000" w:themeColor="text1"/>
          <w:szCs w:val="24"/>
        </w:rPr>
        <w:t>Performance management systems have a critical role in forging employee engagement through clarity, feedback, and recognition. Open appraisal systems that encourage developmental, not punitive control build trust and motivation among employees in hospitality. It has been suggested that equitable and regular performance assessments lead to better perceptions of procedural justice, which subsequently encourages engagement and organizational commitment (Albrecht et al., 2015).</w:t>
      </w:r>
    </w:p>
    <w:p w14:paraId="616A4EA4" w14:textId="77777777" w:rsidR="0021686C" w:rsidRPr="00195A87" w:rsidRDefault="0021686C" w:rsidP="0021686C">
      <w:pPr>
        <w:spacing w:line="480" w:lineRule="auto"/>
        <w:rPr>
          <w:rFonts w:ascii="Calibri" w:hAnsi="Calibri" w:cs="Calibri"/>
          <w:color w:val="000000" w:themeColor="text1"/>
          <w:szCs w:val="24"/>
        </w:rPr>
      </w:pPr>
      <w:r w:rsidRPr="00195A87">
        <w:rPr>
          <w:rFonts w:ascii="Calibri" w:hAnsi="Calibri" w:cs="Calibri"/>
          <w:color w:val="000000" w:themeColor="text1"/>
          <w:szCs w:val="24"/>
        </w:rPr>
        <w:t>Reward and recognition systems also enhance engagement by matching employee effort with organizational objectives. Non-financial rewards like recognition programs, career progression, and flexible schedules have been identified to be especially effective in motivating employees in hospitality organizations (Kim et al., 2012). Workers tend to devote discretionary effort to service delivery when they believe that rewards are fair and tied to performance.</w:t>
      </w:r>
    </w:p>
    <w:p w14:paraId="4A313A07" w14:textId="77777777" w:rsidR="0021686C" w:rsidRPr="00195A87" w:rsidRDefault="0021686C" w:rsidP="0021686C">
      <w:pPr>
        <w:spacing w:line="480" w:lineRule="auto"/>
        <w:rPr>
          <w:rFonts w:ascii="Calibri" w:hAnsi="Calibri" w:cs="Calibri"/>
          <w:b/>
          <w:bCs/>
          <w:color w:val="000000" w:themeColor="text1"/>
          <w:szCs w:val="24"/>
        </w:rPr>
      </w:pPr>
    </w:p>
    <w:p w14:paraId="4657C67D" w14:textId="77777777" w:rsidR="0021686C" w:rsidRPr="00195A87" w:rsidRDefault="0021686C" w:rsidP="0021686C">
      <w:pPr>
        <w:spacing w:line="480" w:lineRule="auto"/>
        <w:rPr>
          <w:rFonts w:ascii="Calibri" w:hAnsi="Calibri" w:cs="Calibri"/>
          <w:b/>
          <w:bCs/>
          <w:color w:val="000000" w:themeColor="text1"/>
          <w:szCs w:val="24"/>
        </w:rPr>
      </w:pPr>
    </w:p>
    <w:p w14:paraId="4412DBD6" w14:textId="77777777" w:rsidR="0021686C" w:rsidRPr="00195A87" w:rsidRDefault="0021686C" w:rsidP="0021686C">
      <w:pPr>
        <w:spacing w:line="480" w:lineRule="auto"/>
        <w:rPr>
          <w:rFonts w:ascii="Calibri" w:hAnsi="Calibri" w:cs="Calibri"/>
          <w:b/>
          <w:bCs/>
          <w:color w:val="000000" w:themeColor="text1"/>
          <w:szCs w:val="24"/>
        </w:rPr>
      </w:pPr>
    </w:p>
    <w:p w14:paraId="236C956E" w14:textId="77777777" w:rsidR="00AE76BA" w:rsidRPr="00195A87" w:rsidRDefault="00AE76BA" w:rsidP="0021686C">
      <w:pPr>
        <w:spacing w:line="480" w:lineRule="auto"/>
        <w:rPr>
          <w:rFonts w:ascii="Calibri" w:hAnsi="Calibri" w:cs="Calibri"/>
          <w:b/>
          <w:bCs/>
          <w:color w:val="000000" w:themeColor="text1"/>
          <w:szCs w:val="24"/>
        </w:rPr>
      </w:pPr>
    </w:p>
    <w:p w14:paraId="6F07C974" w14:textId="77777777" w:rsidR="00AE76BA" w:rsidRPr="00195A87" w:rsidRDefault="00AE76BA" w:rsidP="0021686C">
      <w:pPr>
        <w:spacing w:line="480" w:lineRule="auto"/>
        <w:rPr>
          <w:rFonts w:ascii="Calibri" w:hAnsi="Calibri" w:cs="Calibri"/>
          <w:b/>
          <w:bCs/>
          <w:color w:val="000000" w:themeColor="text1"/>
          <w:szCs w:val="24"/>
        </w:rPr>
      </w:pPr>
    </w:p>
    <w:p w14:paraId="56CD7F35" w14:textId="77777777" w:rsidR="00AE76BA" w:rsidRPr="00195A87" w:rsidRDefault="00AE76BA" w:rsidP="0021686C">
      <w:pPr>
        <w:spacing w:line="480" w:lineRule="auto"/>
        <w:rPr>
          <w:rFonts w:ascii="Calibri" w:hAnsi="Calibri" w:cs="Calibri"/>
          <w:b/>
          <w:bCs/>
          <w:color w:val="000000" w:themeColor="text1"/>
          <w:szCs w:val="24"/>
        </w:rPr>
      </w:pPr>
    </w:p>
    <w:p w14:paraId="6A74450C" w14:textId="77777777" w:rsidR="0021686C" w:rsidRPr="00195A87" w:rsidRDefault="0021686C" w:rsidP="0021686C">
      <w:pPr>
        <w:spacing w:line="480" w:lineRule="auto"/>
        <w:rPr>
          <w:rFonts w:ascii="Calibri" w:hAnsi="Calibri" w:cs="Calibri"/>
          <w:b/>
          <w:bCs/>
          <w:color w:val="000000" w:themeColor="text1"/>
          <w:szCs w:val="24"/>
        </w:rPr>
      </w:pPr>
    </w:p>
    <w:p w14:paraId="05A475EA" w14:textId="77777777" w:rsidR="0021686C" w:rsidRPr="00195A87" w:rsidRDefault="0021686C" w:rsidP="0021686C">
      <w:pPr>
        <w:spacing w:line="480" w:lineRule="auto"/>
        <w:rPr>
          <w:rFonts w:ascii="Calibri" w:hAnsi="Calibri" w:cs="Calibri"/>
          <w:b/>
          <w:bCs/>
          <w:color w:val="000000" w:themeColor="text1"/>
          <w:szCs w:val="24"/>
        </w:rPr>
      </w:pPr>
    </w:p>
    <w:p w14:paraId="691EF067" w14:textId="114C51DA" w:rsidR="0021686C" w:rsidRPr="00195A87" w:rsidRDefault="0021686C" w:rsidP="0021686C">
      <w:pPr>
        <w:spacing w:line="480" w:lineRule="auto"/>
        <w:rPr>
          <w:rFonts w:ascii="Calibri" w:hAnsi="Calibri" w:cs="Calibri"/>
          <w:b/>
          <w:bCs/>
          <w:color w:val="000000" w:themeColor="text1"/>
          <w:szCs w:val="24"/>
        </w:rPr>
      </w:pPr>
      <w:r w:rsidRPr="00195A87">
        <w:rPr>
          <w:rFonts w:ascii="Calibri" w:hAnsi="Calibri" w:cs="Calibri"/>
          <w:b/>
          <w:bCs/>
          <w:color w:val="000000" w:themeColor="text1"/>
          <w:szCs w:val="24"/>
        </w:rPr>
        <w:t>3.3 Career Development and Retention.</w:t>
      </w:r>
    </w:p>
    <w:p w14:paraId="183D642F" w14:textId="78FFF160" w:rsidR="0021686C" w:rsidRPr="00195A87" w:rsidRDefault="0021686C" w:rsidP="0021686C">
      <w:pPr>
        <w:spacing w:line="480" w:lineRule="auto"/>
        <w:rPr>
          <w:rFonts w:ascii="Calibri" w:hAnsi="Calibri" w:cs="Calibri"/>
          <w:color w:val="000000" w:themeColor="text1"/>
          <w:szCs w:val="24"/>
        </w:rPr>
      </w:pPr>
      <w:r w:rsidRPr="00195A87">
        <w:rPr>
          <w:rFonts w:ascii="Calibri" w:hAnsi="Calibri" w:cs="Calibri"/>
          <w:color w:val="000000" w:themeColor="text1"/>
          <w:szCs w:val="24"/>
        </w:rPr>
        <w:t>The value of career development opportunities is paramount in maintaining long-term employee commitment in an industry that has been accused of having limited career advancement. A study has shown that workers in hospitality professions who sense a sense of career and advancement opportunities have better engagement and reduced turnover intentions (Jung and Yoon, 2015). HRM practices, focusing on internal mobility, mentoring and succession planning, help to create a sense of job security and professional identity.</w:t>
      </w:r>
    </w:p>
    <w:p w14:paraId="06392A3B" w14:textId="77777777" w:rsidR="0021686C" w:rsidRPr="00195A87" w:rsidRDefault="0021686C" w:rsidP="0021686C">
      <w:pPr>
        <w:spacing w:line="480" w:lineRule="auto"/>
        <w:rPr>
          <w:rFonts w:ascii="Calibri" w:hAnsi="Calibri" w:cs="Calibri"/>
          <w:color w:val="000000" w:themeColor="text1"/>
          <w:szCs w:val="24"/>
        </w:rPr>
      </w:pPr>
      <w:r w:rsidRPr="00195A87">
        <w:rPr>
          <w:rFonts w:ascii="Calibri" w:hAnsi="Calibri" w:cs="Calibri"/>
          <w:color w:val="000000" w:themeColor="text1"/>
          <w:szCs w:val="24"/>
        </w:rPr>
        <w:t>Career development also improves retention by mitigating one of the main causes of employee turnover in hospitality which is perceived stagnation. Research indicates that engaged employees have a far lower turnover rate in organizations that invest in their long-term career development, which lowers the costs of recruitment and training (Hom et al., 2017).</w:t>
      </w:r>
    </w:p>
    <w:p w14:paraId="5A15D407" w14:textId="77777777" w:rsidR="0021686C" w:rsidRPr="00195A87" w:rsidRDefault="0021686C" w:rsidP="0021686C">
      <w:pPr>
        <w:spacing w:line="480" w:lineRule="auto"/>
        <w:rPr>
          <w:rFonts w:ascii="Calibri" w:hAnsi="Calibri" w:cs="Calibri"/>
          <w:b/>
          <w:bCs/>
          <w:color w:val="000000" w:themeColor="text1"/>
          <w:szCs w:val="24"/>
        </w:rPr>
      </w:pPr>
    </w:p>
    <w:p w14:paraId="0432C06F" w14:textId="0589EA81" w:rsidR="0021686C" w:rsidRPr="00195A87" w:rsidRDefault="0021686C" w:rsidP="0021686C">
      <w:pPr>
        <w:spacing w:line="480" w:lineRule="auto"/>
        <w:rPr>
          <w:rFonts w:ascii="Calibri" w:hAnsi="Calibri" w:cs="Calibri"/>
          <w:b/>
          <w:bCs/>
          <w:color w:val="000000" w:themeColor="text1"/>
          <w:szCs w:val="24"/>
        </w:rPr>
      </w:pPr>
      <w:r w:rsidRPr="00195A87">
        <w:rPr>
          <w:rFonts w:ascii="Calibri" w:hAnsi="Calibri" w:cs="Calibri"/>
          <w:b/>
          <w:bCs/>
          <w:color w:val="000000" w:themeColor="text1"/>
          <w:szCs w:val="24"/>
        </w:rPr>
        <w:t>Employee Engagement and Leadership Styles.</w:t>
      </w:r>
    </w:p>
    <w:p w14:paraId="50E243F9" w14:textId="16F6113C" w:rsidR="0021686C" w:rsidRPr="00195A87" w:rsidRDefault="0021686C" w:rsidP="0021686C">
      <w:pPr>
        <w:spacing w:line="480" w:lineRule="auto"/>
        <w:rPr>
          <w:rFonts w:ascii="Calibri" w:hAnsi="Calibri" w:cs="Calibri"/>
          <w:color w:val="000000" w:themeColor="text1"/>
          <w:szCs w:val="24"/>
        </w:rPr>
      </w:pPr>
      <w:r w:rsidRPr="00195A87">
        <w:rPr>
          <w:rFonts w:ascii="Calibri" w:hAnsi="Calibri" w:cs="Calibri"/>
          <w:color w:val="000000" w:themeColor="text1"/>
          <w:szCs w:val="24"/>
        </w:rPr>
        <w:t>Leadership style represents an important contextual aspect that contributes to the effectiveness of HRM practices in promoting employee engagement. The qualities of transformational leadership that include inspiration, personalized attention, and intellectual stimulation have been steadily associated with increased engagement rates in hospitality environments (</w:t>
      </w:r>
      <w:proofErr w:type="spellStart"/>
      <w:r w:rsidRPr="00195A87">
        <w:rPr>
          <w:rFonts w:ascii="Calibri" w:hAnsi="Calibri" w:cs="Calibri"/>
          <w:color w:val="000000" w:themeColor="text1"/>
          <w:szCs w:val="24"/>
        </w:rPr>
        <w:t>Breevaart</w:t>
      </w:r>
      <w:proofErr w:type="spellEnd"/>
      <w:r w:rsidRPr="00195A87">
        <w:rPr>
          <w:rFonts w:ascii="Calibri" w:hAnsi="Calibri" w:cs="Calibri"/>
          <w:color w:val="000000" w:themeColor="text1"/>
          <w:szCs w:val="24"/>
        </w:rPr>
        <w:t xml:space="preserve"> et al., 2014). These leaders establish conducive workplace conditions that empower employees and promote active service practices.</w:t>
      </w:r>
    </w:p>
    <w:p w14:paraId="7C31A9AB" w14:textId="6C8A025F" w:rsidR="0021686C" w:rsidRPr="00195A87" w:rsidRDefault="0021686C" w:rsidP="0021686C">
      <w:pPr>
        <w:spacing w:line="480" w:lineRule="auto"/>
        <w:rPr>
          <w:rFonts w:ascii="Calibri" w:hAnsi="Calibri" w:cs="Calibri"/>
          <w:color w:val="000000" w:themeColor="text1"/>
          <w:szCs w:val="24"/>
        </w:rPr>
      </w:pPr>
      <w:r w:rsidRPr="00195A87">
        <w:rPr>
          <w:rFonts w:ascii="Calibri" w:hAnsi="Calibri" w:cs="Calibri"/>
          <w:color w:val="000000" w:themeColor="text1"/>
          <w:szCs w:val="24"/>
        </w:rPr>
        <w:lastRenderedPageBreak/>
        <w:t>On the other hand, transactional leadership, which focuses on compliance factors and performance-based incentives, can provide temporary performance improvements, yet it frequently does not help to maintain interest in emotionally taxing work in the hospitality sector. According to research, authoritarian leadership styles enhance emotional exhaustion and disengagement, especially among frontline service workers (Karatepe, 2012).</w:t>
      </w:r>
    </w:p>
    <w:p w14:paraId="18470F37" w14:textId="77777777" w:rsidR="0021686C" w:rsidRPr="00195A87" w:rsidRDefault="0021686C" w:rsidP="0021686C">
      <w:pPr>
        <w:spacing w:line="480" w:lineRule="auto"/>
        <w:rPr>
          <w:rFonts w:ascii="Calibri" w:hAnsi="Calibri" w:cs="Calibri"/>
          <w:color w:val="000000" w:themeColor="text1"/>
          <w:szCs w:val="24"/>
        </w:rPr>
      </w:pPr>
      <w:r w:rsidRPr="00195A87">
        <w:rPr>
          <w:rFonts w:ascii="Calibri" w:hAnsi="Calibri" w:cs="Calibri"/>
          <w:color w:val="000000" w:themeColor="text1"/>
          <w:szCs w:val="24"/>
        </w:rPr>
        <w:t xml:space="preserve">Another area where the concept of servant leadership has attracted the interest of hospitality research is its emphasis on the welfare of employees and ethical </w:t>
      </w:r>
      <w:proofErr w:type="spellStart"/>
      <w:r w:rsidRPr="00195A87">
        <w:rPr>
          <w:rFonts w:ascii="Calibri" w:hAnsi="Calibri" w:cs="Calibri"/>
          <w:color w:val="000000" w:themeColor="text1"/>
          <w:szCs w:val="24"/>
        </w:rPr>
        <w:t>behavior</w:t>
      </w:r>
      <w:proofErr w:type="spellEnd"/>
      <w:r w:rsidRPr="00195A87">
        <w:rPr>
          <w:rFonts w:ascii="Calibri" w:hAnsi="Calibri" w:cs="Calibri"/>
          <w:color w:val="000000" w:themeColor="text1"/>
          <w:szCs w:val="24"/>
        </w:rPr>
        <w:t>. It has been shown that servant leadership increases trust, psychological safety, and engagement, resulting in higher service quality and guest satisfaction (Eva et al., 2019). These results show the relevance of leadership development as part of HRM strategy within hospitality organizations.</w:t>
      </w:r>
    </w:p>
    <w:p w14:paraId="791F81D3" w14:textId="77777777" w:rsidR="0021686C" w:rsidRPr="00195A87" w:rsidRDefault="0021686C" w:rsidP="0021686C">
      <w:pPr>
        <w:spacing w:line="480" w:lineRule="auto"/>
        <w:rPr>
          <w:rFonts w:ascii="Calibri" w:hAnsi="Calibri" w:cs="Calibri"/>
          <w:b/>
          <w:bCs/>
          <w:color w:val="000000" w:themeColor="text1"/>
          <w:szCs w:val="24"/>
        </w:rPr>
      </w:pPr>
    </w:p>
    <w:p w14:paraId="34C1F307" w14:textId="29563DB5" w:rsidR="0021686C" w:rsidRPr="00195A87" w:rsidRDefault="0021686C" w:rsidP="0021686C">
      <w:pPr>
        <w:spacing w:line="480" w:lineRule="auto"/>
        <w:rPr>
          <w:rFonts w:ascii="Calibri" w:hAnsi="Calibri" w:cs="Calibri"/>
          <w:b/>
          <w:bCs/>
          <w:color w:val="000000" w:themeColor="text1"/>
          <w:szCs w:val="24"/>
        </w:rPr>
      </w:pPr>
      <w:r w:rsidRPr="00195A87">
        <w:rPr>
          <w:rFonts w:ascii="Calibri" w:hAnsi="Calibri" w:cs="Calibri"/>
          <w:b/>
          <w:bCs/>
          <w:color w:val="000000" w:themeColor="text1"/>
          <w:szCs w:val="24"/>
        </w:rPr>
        <w:t>Staff Health and Performance.</w:t>
      </w:r>
    </w:p>
    <w:p w14:paraId="685701A5" w14:textId="2FFA1DCE" w:rsidR="0021686C" w:rsidRPr="00195A87" w:rsidRDefault="0021686C" w:rsidP="0021686C">
      <w:pPr>
        <w:spacing w:line="480" w:lineRule="auto"/>
        <w:rPr>
          <w:rFonts w:ascii="Calibri" w:hAnsi="Calibri" w:cs="Calibri"/>
          <w:color w:val="000000" w:themeColor="text1"/>
          <w:szCs w:val="24"/>
        </w:rPr>
      </w:pPr>
      <w:r w:rsidRPr="00195A87">
        <w:rPr>
          <w:rFonts w:ascii="Calibri" w:hAnsi="Calibri" w:cs="Calibri"/>
          <w:color w:val="000000" w:themeColor="text1"/>
          <w:szCs w:val="24"/>
        </w:rPr>
        <w:t>Employee welfare has become a critical predictor of engagement, especially in stressful hospitality setting. Well-being refers to physical, psychological and emotional well-being, which affect the ability of employees to stay engaged in the workplace. Empirical evidence shows that hospitality workers are at high risk of burnout because of atypical working hours, emotional workload, and stress-inducing factors with customers (Lee and Ok, 2012).</w:t>
      </w:r>
    </w:p>
    <w:p w14:paraId="6CE6F50D" w14:textId="77777777" w:rsidR="0021686C" w:rsidRPr="00195A87" w:rsidRDefault="0021686C" w:rsidP="0021686C">
      <w:pPr>
        <w:spacing w:line="480" w:lineRule="auto"/>
        <w:rPr>
          <w:rFonts w:ascii="Calibri" w:hAnsi="Calibri" w:cs="Calibri"/>
          <w:color w:val="000000" w:themeColor="text1"/>
          <w:szCs w:val="24"/>
        </w:rPr>
      </w:pPr>
      <w:r w:rsidRPr="00195A87">
        <w:rPr>
          <w:rFonts w:ascii="Calibri" w:hAnsi="Calibri" w:cs="Calibri"/>
          <w:color w:val="000000" w:themeColor="text1"/>
          <w:szCs w:val="24"/>
        </w:rPr>
        <w:t>HRM activities and practices that encourage work-life balance, mental health support, and inclusive workplace cultures are critical in reducing these risks. Research proves that when organizations focus on employee well-being, they have greater engagement, less absenteeism, and better performance in services (</w:t>
      </w:r>
      <w:proofErr w:type="spellStart"/>
      <w:r w:rsidRPr="00195A87">
        <w:rPr>
          <w:rFonts w:ascii="Calibri" w:hAnsi="Calibri" w:cs="Calibri"/>
          <w:color w:val="000000" w:themeColor="text1"/>
          <w:szCs w:val="24"/>
        </w:rPr>
        <w:t>Grawitch</w:t>
      </w:r>
      <w:proofErr w:type="spellEnd"/>
      <w:r w:rsidRPr="00195A87">
        <w:rPr>
          <w:rFonts w:ascii="Calibri" w:hAnsi="Calibri" w:cs="Calibri"/>
          <w:color w:val="000000" w:themeColor="text1"/>
          <w:szCs w:val="24"/>
        </w:rPr>
        <w:t xml:space="preserve"> et al., 2006). In hospitality settings, where </w:t>
      </w:r>
      <w:r w:rsidRPr="00195A87">
        <w:rPr>
          <w:rFonts w:ascii="Calibri" w:hAnsi="Calibri" w:cs="Calibri"/>
          <w:color w:val="000000" w:themeColor="text1"/>
          <w:szCs w:val="24"/>
        </w:rPr>
        <w:lastRenderedPageBreak/>
        <w:t>employee burnout has a direct connection with service quality, well-being-oriented HRM practices are becoming more viewed as a necessity, not as a luxury.</w:t>
      </w:r>
    </w:p>
    <w:p w14:paraId="7353D2F4" w14:textId="77777777" w:rsidR="0021686C" w:rsidRPr="00195A87" w:rsidRDefault="0021686C" w:rsidP="0021686C">
      <w:pPr>
        <w:spacing w:line="480" w:lineRule="auto"/>
        <w:rPr>
          <w:rFonts w:ascii="Calibri" w:hAnsi="Calibri" w:cs="Calibri"/>
          <w:b/>
          <w:bCs/>
          <w:color w:val="000000" w:themeColor="text1"/>
          <w:szCs w:val="24"/>
        </w:rPr>
      </w:pPr>
    </w:p>
    <w:p w14:paraId="73A4EB02" w14:textId="5D01FAA9" w:rsidR="0021686C" w:rsidRPr="00195A87" w:rsidRDefault="0021686C" w:rsidP="0021686C">
      <w:pPr>
        <w:spacing w:line="480" w:lineRule="auto"/>
        <w:rPr>
          <w:rFonts w:ascii="Calibri" w:hAnsi="Calibri" w:cs="Calibri"/>
          <w:b/>
          <w:bCs/>
          <w:color w:val="000000" w:themeColor="text1"/>
          <w:szCs w:val="24"/>
        </w:rPr>
      </w:pPr>
      <w:r w:rsidRPr="00195A87">
        <w:rPr>
          <w:rFonts w:ascii="Calibri" w:hAnsi="Calibri" w:cs="Calibri"/>
          <w:b/>
          <w:bCs/>
          <w:color w:val="000000" w:themeColor="text1"/>
          <w:szCs w:val="24"/>
        </w:rPr>
        <w:t>Effects of Employee Engagement on Organizational Performance.</w:t>
      </w:r>
    </w:p>
    <w:p w14:paraId="48463DDE" w14:textId="2F33459A" w:rsidR="0021686C" w:rsidRPr="00195A87" w:rsidRDefault="0021686C" w:rsidP="0021686C">
      <w:pPr>
        <w:spacing w:line="480" w:lineRule="auto"/>
        <w:rPr>
          <w:rFonts w:ascii="Calibri" w:hAnsi="Calibri" w:cs="Calibri"/>
          <w:color w:val="000000" w:themeColor="text1"/>
          <w:szCs w:val="24"/>
        </w:rPr>
      </w:pPr>
      <w:r w:rsidRPr="00195A87">
        <w:rPr>
          <w:rFonts w:ascii="Calibri" w:hAnsi="Calibri" w:cs="Calibri"/>
          <w:color w:val="000000" w:themeColor="text1"/>
          <w:szCs w:val="24"/>
        </w:rPr>
        <w:t xml:space="preserve">The literature provides a consistent pattern in showing that employee engagement is highly correlated with major organizational outcomes within hospitality. Active employees tend to have more customer-oriented </w:t>
      </w:r>
      <w:proofErr w:type="spellStart"/>
      <w:r w:rsidRPr="00195A87">
        <w:rPr>
          <w:rFonts w:ascii="Calibri" w:hAnsi="Calibri" w:cs="Calibri"/>
          <w:color w:val="000000" w:themeColor="text1"/>
          <w:szCs w:val="24"/>
        </w:rPr>
        <w:t>behaviors</w:t>
      </w:r>
      <w:proofErr w:type="spellEnd"/>
      <w:r w:rsidRPr="00195A87">
        <w:rPr>
          <w:rFonts w:ascii="Calibri" w:hAnsi="Calibri" w:cs="Calibri"/>
          <w:color w:val="000000" w:themeColor="text1"/>
          <w:szCs w:val="24"/>
        </w:rPr>
        <w:t xml:space="preserve"> leading to increased guest satisfaction and loyalty (Harter et al., 2002). Furthermore, involvement was associated with the effectiveness of operations, decreased service failures, and better reputation of the organization.</w:t>
      </w:r>
    </w:p>
    <w:p w14:paraId="49C045EA" w14:textId="77777777" w:rsidR="0021686C" w:rsidRPr="00195A87" w:rsidRDefault="0021686C" w:rsidP="0021686C">
      <w:pPr>
        <w:spacing w:line="480" w:lineRule="auto"/>
        <w:rPr>
          <w:rFonts w:ascii="Calibri" w:hAnsi="Calibri" w:cs="Calibri"/>
          <w:color w:val="000000" w:themeColor="text1"/>
          <w:szCs w:val="24"/>
        </w:rPr>
      </w:pPr>
      <w:r w:rsidRPr="00195A87">
        <w:rPr>
          <w:rFonts w:ascii="Calibri" w:hAnsi="Calibri" w:cs="Calibri"/>
          <w:color w:val="000000" w:themeColor="text1"/>
          <w:szCs w:val="24"/>
        </w:rPr>
        <w:t>The high degree of involvement also helps reduce turnover intentions, which is a vital consideration in any industry where turnover is high. Empirical research supports the conclusion that employee engagement mediates the relationship between HRM practices and employee service quality and retention outcomes (Karatepe, 2013). These results support the strategic significance of engagement-oriented HRM systems in implementing sustainable hospitality performance.</w:t>
      </w:r>
    </w:p>
    <w:p w14:paraId="7046FACC" w14:textId="77777777" w:rsidR="0021686C" w:rsidRPr="00195A87" w:rsidRDefault="0021686C" w:rsidP="0021686C">
      <w:pPr>
        <w:spacing w:line="480" w:lineRule="auto"/>
        <w:rPr>
          <w:rFonts w:ascii="Calibri" w:hAnsi="Calibri" w:cs="Calibri"/>
          <w:b/>
          <w:bCs/>
          <w:color w:val="000000" w:themeColor="text1"/>
          <w:szCs w:val="24"/>
        </w:rPr>
      </w:pPr>
    </w:p>
    <w:p w14:paraId="018CB4CA" w14:textId="3C735290" w:rsidR="0021686C" w:rsidRPr="00195A87" w:rsidRDefault="0021686C" w:rsidP="0021686C">
      <w:pPr>
        <w:spacing w:line="480" w:lineRule="auto"/>
        <w:rPr>
          <w:rFonts w:ascii="Calibri" w:hAnsi="Calibri" w:cs="Calibri"/>
          <w:b/>
          <w:bCs/>
          <w:color w:val="000000" w:themeColor="text1"/>
          <w:szCs w:val="24"/>
        </w:rPr>
      </w:pPr>
      <w:r w:rsidRPr="00195A87">
        <w:rPr>
          <w:rFonts w:ascii="Calibri" w:hAnsi="Calibri" w:cs="Calibri"/>
          <w:b/>
          <w:bCs/>
          <w:color w:val="000000" w:themeColor="text1"/>
          <w:szCs w:val="24"/>
        </w:rPr>
        <w:t>Research Gaps and Future Directions.</w:t>
      </w:r>
    </w:p>
    <w:p w14:paraId="41A98315" w14:textId="0E004C14" w:rsidR="00864FB4" w:rsidRPr="00195A87" w:rsidRDefault="0021686C" w:rsidP="0021686C">
      <w:pPr>
        <w:spacing w:line="480" w:lineRule="auto"/>
        <w:rPr>
          <w:rFonts w:ascii="Calibri" w:hAnsi="Calibri" w:cs="Calibri"/>
          <w:color w:val="000000" w:themeColor="text1"/>
          <w:szCs w:val="24"/>
        </w:rPr>
      </w:pPr>
      <w:r w:rsidRPr="00195A87">
        <w:rPr>
          <w:rFonts w:ascii="Calibri" w:hAnsi="Calibri" w:cs="Calibri"/>
          <w:color w:val="000000" w:themeColor="text1"/>
          <w:szCs w:val="24"/>
        </w:rPr>
        <w:t xml:space="preserve">Although a lot of work is done in terms of HRM and employee engagement, there are still </w:t>
      </w:r>
      <w:proofErr w:type="gramStart"/>
      <w:r w:rsidRPr="00195A87">
        <w:rPr>
          <w:rFonts w:ascii="Calibri" w:hAnsi="Calibri" w:cs="Calibri"/>
          <w:color w:val="000000" w:themeColor="text1"/>
          <w:szCs w:val="24"/>
        </w:rPr>
        <w:t>a number of</w:t>
      </w:r>
      <w:proofErr w:type="gramEnd"/>
      <w:r w:rsidRPr="00195A87">
        <w:rPr>
          <w:rFonts w:ascii="Calibri" w:hAnsi="Calibri" w:cs="Calibri"/>
          <w:color w:val="000000" w:themeColor="text1"/>
          <w:szCs w:val="24"/>
        </w:rPr>
        <w:t xml:space="preserve"> gaps in hospitality literature. Numerous studies have cross-sectional designs, which restrict causal conclusions about HRM practices and engagement outcome. Furthermore, there </w:t>
      </w:r>
      <w:r w:rsidRPr="00195A87">
        <w:rPr>
          <w:rFonts w:ascii="Calibri" w:hAnsi="Calibri" w:cs="Calibri"/>
          <w:color w:val="000000" w:themeColor="text1"/>
          <w:szCs w:val="24"/>
        </w:rPr>
        <w:lastRenderedPageBreak/>
        <w:t xml:space="preserve">is sparse literature that examines how digital HRM systems and post-pandemic work arrangements influence employee engagement. Future research needs to be longitudinal and </w:t>
      </w:r>
      <w:proofErr w:type="gramStart"/>
      <w:r w:rsidRPr="00195A87">
        <w:rPr>
          <w:rFonts w:ascii="Calibri" w:hAnsi="Calibri" w:cs="Calibri"/>
          <w:color w:val="000000" w:themeColor="text1"/>
          <w:szCs w:val="24"/>
        </w:rPr>
        <w:t>mixed-method</w:t>
      </w:r>
      <w:proofErr w:type="gramEnd"/>
      <w:r w:rsidRPr="00195A87">
        <w:rPr>
          <w:rFonts w:ascii="Calibri" w:hAnsi="Calibri" w:cs="Calibri"/>
          <w:color w:val="000000" w:themeColor="text1"/>
          <w:szCs w:val="24"/>
        </w:rPr>
        <w:t xml:space="preserve"> to avoid limiting the dynamics of engagement in hospitality settings.</w:t>
      </w:r>
    </w:p>
    <w:p w14:paraId="1F168217" w14:textId="77777777" w:rsidR="00864FB4" w:rsidRPr="00195A87" w:rsidRDefault="00864FB4" w:rsidP="00B34C13">
      <w:pPr>
        <w:spacing w:line="480" w:lineRule="auto"/>
        <w:rPr>
          <w:rFonts w:ascii="Calibri" w:hAnsi="Calibri" w:cs="Calibri"/>
          <w:color w:val="000000" w:themeColor="text1"/>
          <w:szCs w:val="24"/>
        </w:rPr>
      </w:pPr>
    </w:p>
    <w:p w14:paraId="3D896E71" w14:textId="77777777" w:rsidR="00864FB4" w:rsidRPr="00195A87" w:rsidRDefault="00864FB4" w:rsidP="00B34C13">
      <w:pPr>
        <w:spacing w:line="480" w:lineRule="auto"/>
        <w:rPr>
          <w:rFonts w:ascii="Calibri" w:hAnsi="Calibri" w:cs="Calibri"/>
          <w:color w:val="000000" w:themeColor="text1"/>
          <w:szCs w:val="24"/>
        </w:rPr>
      </w:pPr>
    </w:p>
    <w:p w14:paraId="5C5EC6D5" w14:textId="77777777" w:rsidR="00864FB4" w:rsidRPr="00195A87" w:rsidRDefault="00864FB4" w:rsidP="00B34C13">
      <w:pPr>
        <w:spacing w:line="480" w:lineRule="auto"/>
        <w:rPr>
          <w:rFonts w:ascii="Calibri" w:hAnsi="Calibri" w:cs="Calibri"/>
          <w:color w:val="000000" w:themeColor="text1"/>
          <w:szCs w:val="24"/>
        </w:rPr>
      </w:pPr>
    </w:p>
    <w:p w14:paraId="3AFEB4CB" w14:textId="77777777" w:rsidR="00864FB4" w:rsidRPr="00195A87" w:rsidRDefault="00864FB4" w:rsidP="00B34C13">
      <w:pPr>
        <w:spacing w:line="480" w:lineRule="auto"/>
        <w:rPr>
          <w:rFonts w:ascii="Calibri" w:hAnsi="Calibri" w:cs="Calibri"/>
          <w:color w:val="000000" w:themeColor="text1"/>
          <w:szCs w:val="24"/>
        </w:rPr>
      </w:pPr>
    </w:p>
    <w:p w14:paraId="1291D22B" w14:textId="77777777" w:rsidR="00864FB4" w:rsidRPr="00195A87" w:rsidRDefault="00864FB4" w:rsidP="00B34C13">
      <w:pPr>
        <w:spacing w:line="480" w:lineRule="auto"/>
        <w:rPr>
          <w:rFonts w:ascii="Calibri" w:hAnsi="Calibri" w:cs="Calibri"/>
          <w:color w:val="000000" w:themeColor="text1"/>
          <w:szCs w:val="24"/>
        </w:rPr>
      </w:pPr>
    </w:p>
    <w:p w14:paraId="26CD810A" w14:textId="77777777" w:rsidR="00AE76BA" w:rsidRPr="00195A87" w:rsidRDefault="00AE76BA" w:rsidP="00B34C13">
      <w:pPr>
        <w:spacing w:line="480" w:lineRule="auto"/>
        <w:rPr>
          <w:rFonts w:ascii="Calibri" w:hAnsi="Calibri" w:cs="Calibri"/>
          <w:color w:val="000000" w:themeColor="text1"/>
          <w:szCs w:val="24"/>
        </w:rPr>
      </w:pPr>
    </w:p>
    <w:p w14:paraId="7C68110D" w14:textId="77777777" w:rsidR="00AE76BA" w:rsidRPr="00195A87" w:rsidRDefault="00AE76BA" w:rsidP="00B34C13">
      <w:pPr>
        <w:spacing w:line="480" w:lineRule="auto"/>
        <w:rPr>
          <w:rFonts w:ascii="Calibri" w:hAnsi="Calibri" w:cs="Calibri"/>
          <w:color w:val="000000" w:themeColor="text1"/>
          <w:szCs w:val="24"/>
        </w:rPr>
      </w:pPr>
    </w:p>
    <w:p w14:paraId="50C27EBE" w14:textId="77777777" w:rsidR="00AE76BA" w:rsidRPr="00195A87" w:rsidRDefault="00AE76BA" w:rsidP="00B34C13">
      <w:pPr>
        <w:spacing w:line="480" w:lineRule="auto"/>
        <w:rPr>
          <w:rFonts w:ascii="Calibri" w:hAnsi="Calibri" w:cs="Calibri"/>
          <w:color w:val="000000" w:themeColor="text1"/>
          <w:szCs w:val="24"/>
        </w:rPr>
      </w:pPr>
    </w:p>
    <w:p w14:paraId="0BDED422" w14:textId="77777777" w:rsidR="00AE76BA" w:rsidRPr="00195A87" w:rsidRDefault="00AE76BA" w:rsidP="00B34C13">
      <w:pPr>
        <w:spacing w:line="480" w:lineRule="auto"/>
        <w:rPr>
          <w:rFonts w:ascii="Calibri" w:hAnsi="Calibri" w:cs="Calibri"/>
          <w:color w:val="000000" w:themeColor="text1"/>
          <w:szCs w:val="24"/>
        </w:rPr>
      </w:pPr>
    </w:p>
    <w:p w14:paraId="17140E78" w14:textId="77777777" w:rsidR="00AE76BA" w:rsidRPr="00195A87" w:rsidRDefault="00AE76BA" w:rsidP="00B34C13">
      <w:pPr>
        <w:spacing w:line="480" w:lineRule="auto"/>
        <w:rPr>
          <w:rFonts w:ascii="Calibri" w:hAnsi="Calibri" w:cs="Calibri"/>
          <w:color w:val="000000" w:themeColor="text1"/>
          <w:szCs w:val="24"/>
        </w:rPr>
      </w:pPr>
    </w:p>
    <w:p w14:paraId="511A4CD6" w14:textId="77777777" w:rsidR="00AE76BA" w:rsidRPr="00195A87" w:rsidRDefault="00AE76BA" w:rsidP="00B34C13">
      <w:pPr>
        <w:spacing w:line="480" w:lineRule="auto"/>
        <w:rPr>
          <w:rFonts w:ascii="Calibri" w:hAnsi="Calibri" w:cs="Calibri"/>
          <w:color w:val="000000" w:themeColor="text1"/>
          <w:szCs w:val="24"/>
        </w:rPr>
      </w:pPr>
    </w:p>
    <w:p w14:paraId="7EE75372" w14:textId="77777777" w:rsidR="00AE76BA" w:rsidRPr="00195A87" w:rsidRDefault="00AE76BA" w:rsidP="00B34C13">
      <w:pPr>
        <w:spacing w:line="480" w:lineRule="auto"/>
        <w:rPr>
          <w:rFonts w:ascii="Calibri" w:hAnsi="Calibri" w:cs="Calibri"/>
          <w:color w:val="000000" w:themeColor="text1"/>
          <w:szCs w:val="24"/>
        </w:rPr>
      </w:pPr>
    </w:p>
    <w:p w14:paraId="187039A1" w14:textId="77777777" w:rsidR="00AE76BA" w:rsidRPr="00195A87" w:rsidRDefault="00AE76BA" w:rsidP="00B34C13">
      <w:pPr>
        <w:spacing w:line="480" w:lineRule="auto"/>
        <w:rPr>
          <w:rFonts w:ascii="Calibri" w:hAnsi="Calibri" w:cs="Calibri"/>
          <w:color w:val="000000" w:themeColor="text1"/>
          <w:szCs w:val="24"/>
        </w:rPr>
      </w:pPr>
    </w:p>
    <w:p w14:paraId="53767523" w14:textId="77777777" w:rsidR="00AE76BA" w:rsidRPr="00195A87" w:rsidRDefault="00AE76BA" w:rsidP="00B34C13">
      <w:pPr>
        <w:spacing w:line="480" w:lineRule="auto"/>
        <w:rPr>
          <w:rFonts w:ascii="Calibri" w:hAnsi="Calibri" w:cs="Calibri"/>
          <w:color w:val="000000" w:themeColor="text1"/>
          <w:szCs w:val="24"/>
        </w:rPr>
      </w:pPr>
    </w:p>
    <w:p w14:paraId="7F387CE1" w14:textId="77777777" w:rsidR="00864FB4" w:rsidRPr="00195A87" w:rsidRDefault="00864FB4" w:rsidP="00B34C13">
      <w:pPr>
        <w:pStyle w:val="Heading1"/>
        <w:spacing w:line="480" w:lineRule="auto"/>
        <w:rPr>
          <w:rFonts w:ascii="Calibri" w:hAnsi="Calibri" w:cs="Calibri"/>
          <w:b/>
          <w:bCs/>
          <w:color w:val="000000" w:themeColor="text1"/>
          <w:sz w:val="24"/>
          <w:szCs w:val="24"/>
        </w:rPr>
      </w:pPr>
      <w:bookmarkStart w:id="3" w:name="_Toc220957853"/>
      <w:r w:rsidRPr="00195A87">
        <w:rPr>
          <w:rFonts w:ascii="Calibri" w:hAnsi="Calibri" w:cs="Calibri"/>
          <w:b/>
          <w:bCs/>
          <w:color w:val="000000" w:themeColor="text1"/>
          <w:sz w:val="24"/>
          <w:szCs w:val="24"/>
        </w:rPr>
        <w:lastRenderedPageBreak/>
        <w:t>Methodology</w:t>
      </w:r>
      <w:bookmarkEnd w:id="3"/>
      <w:r w:rsidRPr="00195A87">
        <w:rPr>
          <w:rFonts w:ascii="Calibri" w:hAnsi="Calibri" w:cs="Calibri"/>
          <w:b/>
          <w:bCs/>
          <w:color w:val="000000" w:themeColor="text1"/>
          <w:sz w:val="24"/>
          <w:szCs w:val="24"/>
        </w:rPr>
        <w:t xml:space="preserve"> </w:t>
      </w:r>
    </w:p>
    <w:p w14:paraId="351BCBF5" w14:textId="77777777" w:rsidR="00864FB4" w:rsidRPr="00195A87" w:rsidRDefault="00864FB4" w:rsidP="00B34C13">
      <w:pPr>
        <w:spacing w:line="480" w:lineRule="auto"/>
        <w:rPr>
          <w:rFonts w:ascii="Calibri" w:hAnsi="Calibri" w:cs="Calibri"/>
          <w:color w:val="000000" w:themeColor="text1"/>
          <w:szCs w:val="24"/>
        </w:rPr>
      </w:pPr>
      <w:r w:rsidRPr="00195A87">
        <w:rPr>
          <w:rFonts w:ascii="Calibri" w:hAnsi="Calibri" w:cs="Calibri"/>
          <w:color w:val="000000" w:themeColor="text1"/>
          <w:szCs w:val="24"/>
        </w:rPr>
        <w:t xml:space="preserve">This study adopts a </w:t>
      </w:r>
      <w:r w:rsidRPr="00195A87">
        <w:rPr>
          <w:rFonts w:ascii="Calibri" w:hAnsi="Calibri" w:cs="Calibri"/>
          <w:b/>
          <w:bCs/>
          <w:color w:val="000000" w:themeColor="text1"/>
          <w:szCs w:val="24"/>
        </w:rPr>
        <w:t>qualitative research methodology</w:t>
      </w:r>
      <w:r w:rsidRPr="00195A87">
        <w:rPr>
          <w:rFonts w:ascii="Calibri" w:hAnsi="Calibri" w:cs="Calibri"/>
          <w:color w:val="000000" w:themeColor="text1"/>
          <w:szCs w:val="24"/>
        </w:rPr>
        <w:t xml:space="preserve"> based on </w:t>
      </w:r>
      <w:r w:rsidRPr="00195A87">
        <w:rPr>
          <w:rFonts w:ascii="Calibri" w:hAnsi="Calibri" w:cs="Calibri"/>
          <w:b/>
          <w:bCs/>
          <w:color w:val="000000" w:themeColor="text1"/>
          <w:szCs w:val="24"/>
        </w:rPr>
        <w:t>secondary data analysis</w:t>
      </w:r>
      <w:r w:rsidRPr="00195A87">
        <w:rPr>
          <w:rFonts w:ascii="Calibri" w:hAnsi="Calibri" w:cs="Calibri"/>
          <w:color w:val="000000" w:themeColor="text1"/>
          <w:szCs w:val="24"/>
        </w:rPr>
        <w:t xml:space="preserve"> to examine strategic organizational structures in hospitality businesses. A qualitative approach is appropriate because the research aims to develop a theoretical and analytical understanding of how different organizational structures influence decision-making, operational efficiency, employee </w:t>
      </w:r>
      <w:proofErr w:type="spellStart"/>
      <w:r w:rsidRPr="00195A87">
        <w:rPr>
          <w:rFonts w:ascii="Calibri" w:hAnsi="Calibri" w:cs="Calibri"/>
          <w:color w:val="000000" w:themeColor="text1"/>
          <w:szCs w:val="24"/>
        </w:rPr>
        <w:t>behavior</w:t>
      </w:r>
      <w:proofErr w:type="spellEnd"/>
      <w:r w:rsidRPr="00195A87">
        <w:rPr>
          <w:rFonts w:ascii="Calibri" w:hAnsi="Calibri" w:cs="Calibri"/>
          <w:color w:val="000000" w:themeColor="text1"/>
          <w:szCs w:val="24"/>
        </w:rPr>
        <w:t>, and service quality rather than to test hypotheses using numerical data (Saunders, Lewis and Thornhill, 2019). Hospitality organizations operate in complex and dynamic environments, making qualitative inquiry suitable for capturing contextual and strategic insights.</w:t>
      </w:r>
    </w:p>
    <w:p w14:paraId="066C588A" w14:textId="77777777" w:rsidR="00864FB4" w:rsidRPr="00195A87" w:rsidRDefault="00864FB4" w:rsidP="00B34C13">
      <w:pPr>
        <w:spacing w:line="480" w:lineRule="auto"/>
        <w:rPr>
          <w:rFonts w:ascii="Calibri" w:hAnsi="Calibri" w:cs="Calibri"/>
          <w:color w:val="000000" w:themeColor="text1"/>
          <w:szCs w:val="24"/>
        </w:rPr>
      </w:pPr>
      <w:r w:rsidRPr="00195A87">
        <w:rPr>
          <w:rFonts w:ascii="Calibri" w:hAnsi="Calibri" w:cs="Calibri"/>
          <w:color w:val="000000" w:themeColor="text1"/>
          <w:szCs w:val="24"/>
        </w:rPr>
        <w:t xml:space="preserve">Secondary data were collected from a range of </w:t>
      </w:r>
      <w:r w:rsidRPr="00195A87">
        <w:rPr>
          <w:rFonts w:ascii="Calibri" w:hAnsi="Calibri" w:cs="Calibri"/>
          <w:b/>
          <w:bCs/>
          <w:color w:val="000000" w:themeColor="text1"/>
          <w:szCs w:val="24"/>
        </w:rPr>
        <w:t>credible academic and professional sources</w:t>
      </w:r>
      <w:r w:rsidRPr="00195A87">
        <w:rPr>
          <w:rFonts w:ascii="Calibri" w:hAnsi="Calibri" w:cs="Calibri"/>
          <w:color w:val="000000" w:themeColor="text1"/>
          <w:szCs w:val="24"/>
        </w:rPr>
        <w:t>, including peer-reviewed journal articles, academic textbooks, industry reports, and reputable business publications. Key sources included literature on organizational theory, strategic management, and hospitality management to ensure strong theoretical grounding. Foundational theories such as contingency theory, structural configurations, and strategic alignment were used to frame the analysis (Chandler, 1962; Mintzberg, 1983). In addition, real-world examples from internationally recognized hospitality organizations were incorporated to demonstrate practical applications of theoretical concepts.</w:t>
      </w:r>
    </w:p>
    <w:p w14:paraId="058D5425" w14:textId="77777777" w:rsidR="00864FB4" w:rsidRPr="00195A87" w:rsidRDefault="00864FB4" w:rsidP="00B34C13">
      <w:pPr>
        <w:spacing w:line="480" w:lineRule="auto"/>
        <w:rPr>
          <w:rFonts w:ascii="Calibri" w:hAnsi="Calibri" w:cs="Calibri"/>
          <w:color w:val="000000" w:themeColor="text1"/>
          <w:szCs w:val="24"/>
        </w:rPr>
      </w:pPr>
      <w:r w:rsidRPr="00195A87">
        <w:rPr>
          <w:rFonts w:ascii="Calibri" w:hAnsi="Calibri" w:cs="Calibri"/>
          <w:color w:val="000000" w:themeColor="text1"/>
          <w:szCs w:val="24"/>
        </w:rPr>
        <w:t xml:space="preserve">The data collection process followed a </w:t>
      </w:r>
      <w:r w:rsidRPr="00195A87">
        <w:rPr>
          <w:rFonts w:ascii="Calibri" w:hAnsi="Calibri" w:cs="Calibri"/>
          <w:b/>
          <w:bCs/>
          <w:color w:val="000000" w:themeColor="text1"/>
          <w:szCs w:val="24"/>
        </w:rPr>
        <w:t>systematic literature review approach</w:t>
      </w:r>
      <w:r w:rsidRPr="00195A87">
        <w:rPr>
          <w:rFonts w:ascii="Calibri" w:hAnsi="Calibri" w:cs="Calibri"/>
          <w:color w:val="000000" w:themeColor="text1"/>
          <w:szCs w:val="24"/>
        </w:rPr>
        <w:t xml:space="preserve">. Relevant keywords such as </w:t>
      </w:r>
      <w:r w:rsidRPr="00195A87">
        <w:rPr>
          <w:rFonts w:ascii="Calibri" w:hAnsi="Calibri" w:cs="Calibri"/>
          <w:i/>
          <w:iCs/>
          <w:color w:val="000000" w:themeColor="text1"/>
          <w:szCs w:val="24"/>
        </w:rPr>
        <w:t>organizational structure</w:t>
      </w:r>
      <w:r w:rsidRPr="00195A87">
        <w:rPr>
          <w:rFonts w:ascii="Calibri" w:hAnsi="Calibri" w:cs="Calibri"/>
          <w:color w:val="000000" w:themeColor="text1"/>
          <w:szCs w:val="24"/>
        </w:rPr>
        <w:t xml:space="preserve">, </w:t>
      </w:r>
      <w:r w:rsidRPr="00195A87">
        <w:rPr>
          <w:rFonts w:ascii="Calibri" w:hAnsi="Calibri" w:cs="Calibri"/>
          <w:i/>
          <w:iCs/>
          <w:color w:val="000000" w:themeColor="text1"/>
          <w:szCs w:val="24"/>
        </w:rPr>
        <w:t>hospitality management</w:t>
      </w:r>
      <w:r w:rsidRPr="00195A87">
        <w:rPr>
          <w:rFonts w:ascii="Calibri" w:hAnsi="Calibri" w:cs="Calibri"/>
          <w:color w:val="000000" w:themeColor="text1"/>
          <w:szCs w:val="24"/>
        </w:rPr>
        <w:t xml:space="preserve">, </w:t>
      </w:r>
      <w:r w:rsidRPr="00195A87">
        <w:rPr>
          <w:rFonts w:ascii="Calibri" w:hAnsi="Calibri" w:cs="Calibri"/>
          <w:i/>
          <w:iCs/>
          <w:color w:val="000000" w:themeColor="text1"/>
          <w:szCs w:val="24"/>
        </w:rPr>
        <w:t>hierarchical structure</w:t>
      </w:r>
      <w:r w:rsidRPr="00195A87">
        <w:rPr>
          <w:rFonts w:ascii="Calibri" w:hAnsi="Calibri" w:cs="Calibri"/>
          <w:color w:val="000000" w:themeColor="text1"/>
          <w:szCs w:val="24"/>
        </w:rPr>
        <w:t xml:space="preserve">, </w:t>
      </w:r>
      <w:r w:rsidRPr="00195A87">
        <w:rPr>
          <w:rFonts w:ascii="Calibri" w:hAnsi="Calibri" w:cs="Calibri"/>
          <w:i/>
          <w:iCs/>
          <w:color w:val="000000" w:themeColor="text1"/>
          <w:szCs w:val="24"/>
        </w:rPr>
        <w:t>flat organizations</w:t>
      </w:r>
      <w:r w:rsidRPr="00195A87">
        <w:rPr>
          <w:rFonts w:ascii="Calibri" w:hAnsi="Calibri" w:cs="Calibri"/>
          <w:color w:val="000000" w:themeColor="text1"/>
          <w:szCs w:val="24"/>
        </w:rPr>
        <w:t xml:space="preserve">, and </w:t>
      </w:r>
      <w:r w:rsidRPr="00195A87">
        <w:rPr>
          <w:rFonts w:ascii="Calibri" w:hAnsi="Calibri" w:cs="Calibri"/>
          <w:i/>
          <w:iCs/>
          <w:color w:val="000000" w:themeColor="text1"/>
          <w:szCs w:val="24"/>
        </w:rPr>
        <w:t>hybrid structures</w:t>
      </w:r>
      <w:r w:rsidRPr="00195A87">
        <w:rPr>
          <w:rFonts w:ascii="Calibri" w:hAnsi="Calibri" w:cs="Calibri"/>
          <w:color w:val="000000" w:themeColor="text1"/>
          <w:szCs w:val="24"/>
        </w:rPr>
        <w:t xml:space="preserve"> were used to identify appropriate sources. Selection criteria focused on relevance to the hospitality industry, academic credibility, and recency of publication </w:t>
      </w:r>
      <w:r w:rsidRPr="00195A87">
        <w:rPr>
          <w:rFonts w:ascii="Calibri" w:hAnsi="Calibri" w:cs="Calibri"/>
          <w:color w:val="000000" w:themeColor="text1"/>
          <w:szCs w:val="24"/>
        </w:rPr>
        <w:lastRenderedPageBreak/>
        <w:t>to ensure contemporary relevance. Older seminal works were included where necessary to support foundational theories.</w:t>
      </w:r>
    </w:p>
    <w:p w14:paraId="19E1B0CA" w14:textId="77777777" w:rsidR="00864FB4" w:rsidRPr="00195A87" w:rsidRDefault="00864FB4" w:rsidP="00B34C13">
      <w:pPr>
        <w:spacing w:line="480" w:lineRule="auto"/>
        <w:rPr>
          <w:rFonts w:ascii="Calibri" w:hAnsi="Calibri" w:cs="Calibri"/>
          <w:color w:val="000000" w:themeColor="text1"/>
          <w:szCs w:val="24"/>
        </w:rPr>
      </w:pPr>
      <w:r w:rsidRPr="00195A87">
        <w:rPr>
          <w:rFonts w:ascii="Calibri" w:hAnsi="Calibri" w:cs="Calibri"/>
          <w:color w:val="000000" w:themeColor="text1"/>
          <w:szCs w:val="24"/>
        </w:rPr>
        <w:t xml:space="preserve">Data analysis involved a </w:t>
      </w:r>
      <w:r w:rsidRPr="00195A87">
        <w:rPr>
          <w:rFonts w:ascii="Calibri" w:hAnsi="Calibri" w:cs="Calibri"/>
          <w:b/>
          <w:bCs/>
          <w:color w:val="000000" w:themeColor="text1"/>
          <w:szCs w:val="24"/>
        </w:rPr>
        <w:t>thematic analysis</w:t>
      </w:r>
      <w:r w:rsidRPr="00195A87">
        <w:rPr>
          <w:rFonts w:ascii="Calibri" w:hAnsi="Calibri" w:cs="Calibri"/>
          <w:color w:val="000000" w:themeColor="text1"/>
          <w:szCs w:val="24"/>
        </w:rPr>
        <w:t xml:space="preserve">, whereby patterns and recurring themes related to organizational structure and performance were identified across the literature. Themes such as decision-making authority, communication flows, employee empowerment, operational efficiency, and service quality were </w:t>
      </w:r>
      <w:proofErr w:type="spellStart"/>
      <w:r w:rsidRPr="00195A87">
        <w:rPr>
          <w:rFonts w:ascii="Calibri" w:hAnsi="Calibri" w:cs="Calibri"/>
          <w:color w:val="000000" w:themeColor="text1"/>
          <w:szCs w:val="24"/>
        </w:rPr>
        <w:t>analyzed</w:t>
      </w:r>
      <w:proofErr w:type="spellEnd"/>
      <w:r w:rsidRPr="00195A87">
        <w:rPr>
          <w:rFonts w:ascii="Calibri" w:hAnsi="Calibri" w:cs="Calibri"/>
          <w:color w:val="000000" w:themeColor="text1"/>
          <w:szCs w:val="24"/>
        </w:rPr>
        <w:t xml:space="preserve"> and compared across different structural models. Case evidence from hospitality organizations was used to support and contextualize these themes, enhancing the practical relevance of the findings (Yin, 2018).</w:t>
      </w:r>
    </w:p>
    <w:p w14:paraId="0247E258" w14:textId="77777777" w:rsidR="00864FB4" w:rsidRPr="00195A87" w:rsidRDefault="00864FB4" w:rsidP="00B34C13">
      <w:pPr>
        <w:spacing w:line="480" w:lineRule="auto"/>
        <w:rPr>
          <w:rFonts w:ascii="Calibri" w:hAnsi="Calibri" w:cs="Calibri"/>
          <w:color w:val="000000" w:themeColor="text1"/>
          <w:szCs w:val="24"/>
        </w:rPr>
      </w:pPr>
      <w:r w:rsidRPr="00195A87">
        <w:rPr>
          <w:rFonts w:ascii="Calibri" w:hAnsi="Calibri" w:cs="Calibri"/>
          <w:color w:val="000000" w:themeColor="text1"/>
          <w:szCs w:val="24"/>
        </w:rPr>
        <w:t>The use of secondary data offers several advantages, including access to a wide range of perspectives and established research findings. However, it also presents limitations, such as reliance on existing interpretations and the inability to capture organization-specific primary insights. To mitigate these limitations, the study draws from multiple sources and compares differing viewpoints to ensure balanced analysis and academic rigor.</w:t>
      </w:r>
    </w:p>
    <w:p w14:paraId="1AC2FCD9" w14:textId="77777777" w:rsidR="00864FB4" w:rsidRPr="00195A87" w:rsidRDefault="00864FB4" w:rsidP="00B34C13">
      <w:pPr>
        <w:spacing w:line="480" w:lineRule="auto"/>
        <w:rPr>
          <w:rFonts w:ascii="Calibri" w:hAnsi="Calibri" w:cs="Calibri"/>
          <w:color w:val="000000" w:themeColor="text1"/>
          <w:szCs w:val="24"/>
        </w:rPr>
      </w:pPr>
      <w:r w:rsidRPr="00195A87">
        <w:rPr>
          <w:rFonts w:ascii="Calibri" w:hAnsi="Calibri" w:cs="Calibri"/>
          <w:color w:val="000000" w:themeColor="text1"/>
          <w:szCs w:val="24"/>
        </w:rPr>
        <w:t>Overall, the chosen methodology supports the research objectives by enabling a comprehensive examination of organizational structures within hospitality businesses while ensuring reliability, validity, and theoretical depth.</w:t>
      </w:r>
    </w:p>
    <w:p w14:paraId="456AD11F" w14:textId="77777777" w:rsidR="00864FB4" w:rsidRPr="00195A87" w:rsidRDefault="00864FB4" w:rsidP="00B34C13">
      <w:pPr>
        <w:spacing w:line="480" w:lineRule="auto"/>
        <w:jc w:val="center"/>
        <w:rPr>
          <w:rFonts w:ascii="Calibri" w:hAnsi="Calibri" w:cs="Calibri"/>
          <w:b/>
          <w:bCs/>
          <w:color w:val="000000" w:themeColor="text1"/>
          <w:szCs w:val="24"/>
        </w:rPr>
      </w:pPr>
    </w:p>
    <w:p w14:paraId="7009D15A" w14:textId="77777777" w:rsidR="004608B7" w:rsidRPr="00195A87" w:rsidRDefault="004608B7" w:rsidP="00B34C13">
      <w:pPr>
        <w:spacing w:line="480" w:lineRule="auto"/>
        <w:jc w:val="center"/>
        <w:rPr>
          <w:rFonts w:ascii="Calibri" w:hAnsi="Calibri" w:cs="Calibri"/>
          <w:b/>
          <w:bCs/>
          <w:color w:val="000000" w:themeColor="text1"/>
          <w:szCs w:val="24"/>
        </w:rPr>
      </w:pPr>
    </w:p>
    <w:p w14:paraId="2DE57D43" w14:textId="77777777" w:rsidR="00864FB4" w:rsidRPr="00195A87" w:rsidRDefault="00864FB4" w:rsidP="00B34C13">
      <w:pPr>
        <w:pStyle w:val="Heading1"/>
        <w:spacing w:line="480" w:lineRule="auto"/>
        <w:rPr>
          <w:rFonts w:ascii="Calibri" w:hAnsi="Calibri" w:cs="Calibri"/>
          <w:b/>
          <w:bCs/>
          <w:color w:val="000000" w:themeColor="text1"/>
          <w:sz w:val="24"/>
          <w:szCs w:val="24"/>
        </w:rPr>
      </w:pPr>
      <w:bookmarkStart w:id="4" w:name="_Toc220957854"/>
      <w:r w:rsidRPr="00195A87">
        <w:rPr>
          <w:rFonts w:ascii="Calibri" w:hAnsi="Calibri" w:cs="Calibri"/>
          <w:b/>
          <w:bCs/>
          <w:color w:val="000000" w:themeColor="text1"/>
          <w:sz w:val="24"/>
          <w:szCs w:val="24"/>
        </w:rPr>
        <w:lastRenderedPageBreak/>
        <w:t>Findings</w:t>
      </w:r>
      <w:bookmarkEnd w:id="4"/>
      <w:r w:rsidRPr="00195A87">
        <w:rPr>
          <w:rFonts w:ascii="Calibri" w:hAnsi="Calibri" w:cs="Calibri"/>
          <w:b/>
          <w:bCs/>
          <w:color w:val="000000" w:themeColor="text1"/>
          <w:sz w:val="24"/>
          <w:szCs w:val="24"/>
        </w:rPr>
        <w:t xml:space="preserve"> </w:t>
      </w:r>
    </w:p>
    <w:p w14:paraId="06F0C846" w14:textId="54D94A0F" w:rsidR="004608B7" w:rsidRPr="00195A87" w:rsidRDefault="004608B7" w:rsidP="004608B7">
      <w:pPr>
        <w:pStyle w:val="Heading1"/>
        <w:spacing w:line="480" w:lineRule="auto"/>
        <w:rPr>
          <w:rFonts w:ascii="Calibri" w:eastAsiaTheme="minorHAnsi" w:hAnsi="Calibri" w:cs="Calibri"/>
          <w:color w:val="000000" w:themeColor="text1"/>
          <w:sz w:val="24"/>
          <w:szCs w:val="24"/>
        </w:rPr>
      </w:pPr>
      <w:bookmarkStart w:id="5" w:name="_Toc220957855"/>
      <w:r w:rsidRPr="00195A87">
        <w:rPr>
          <w:rFonts w:ascii="Calibri" w:eastAsiaTheme="minorHAnsi" w:hAnsi="Calibri" w:cs="Calibri"/>
          <w:color w:val="000000" w:themeColor="text1"/>
          <w:sz w:val="24"/>
          <w:szCs w:val="24"/>
        </w:rPr>
        <w:t>1. HRM Practices as the Driving Forces of Employee Engagement.</w:t>
      </w:r>
    </w:p>
    <w:p w14:paraId="50ADC242" w14:textId="2EFB130B" w:rsidR="004608B7" w:rsidRPr="00195A87" w:rsidRDefault="004608B7" w:rsidP="004608B7">
      <w:pPr>
        <w:pStyle w:val="Heading1"/>
        <w:spacing w:line="480" w:lineRule="auto"/>
        <w:rPr>
          <w:rFonts w:ascii="Calibri" w:eastAsiaTheme="minorHAnsi" w:hAnsi="Calibri" w:cs="Calibri"/>
          <w:color w:val="000000" w:themeColor="text1"/>
          <w:sz w:val="24"/>
          <w:szCs w:val="24"/>
        </w:rPr>
      </w:pPr>
      <w:r w:rsidRPr="00195A87">
        <w:rPr>
          <w:rFonts w:ascii="Calibri" w:eastAsiaTheme="minorHAnsi" w:hAnsi="Calibri" w:cs="Calibri"/>
          <w:color w:val="000000" w:themeColor="text1"/>
          <w:sz w:val="24"/>
          <w:szCs w:val="24"/>
        </w:rPr>
        <w:t xml:space="preserve">The critical review of the current literature and evidence of hospitality cases shows that Human Resource Management (HRM) practices are a determining factor of employee engagement levels. One of the most powerful HRM practices is training and development. The results show that hospitality employees who undergo regular training exhibit confidence, service orientation, and commitment to organizations through emotional issues. Training can improve both technical and interpersonal skills, as well as provide a signal of organizational investment in employees, which views the impact on an employee as an indicator of value and belonging. Consequently, there is increased likelihood of employees exhibiting discretionary effort and proactive service </w:t>
      </w:r>
      <w:proofErr w:type="spellStart"/>
      <w:r w:rsidRPr="00195A87">
        <w:rPr>
          <w:rFonts w:ascii="Calibri" w:eastAsiaTheme="minorHAnsi" w:hAnsi="Calibri" w:cs="Calibri"/>
          <w:color w:val="000000" w:themeColor="text1"/>
          <w:sz w:val="24"/>
          <w:szCs w:val="24"/>
        </w:rPr>
        <w:t>behaviors</w:t>
      </w:r>
      <w:proofErr w:type="spellEnd"/>
      <w:r w:rsidRPr="00195A87">
        <w:rPr>
          <w:rFonts w:ascii="Calibri" w:eastAsiaTheme="minorHAnsi" w:hAnsi="Calibri" w:cs="Calibri"/>
          <w:color w:val="000000" w:themeColor="text1"/>
          <w:sz w:val="24"/>
          <w:szCs w:val="24"/>
        </w:rPr>
        <w:t>.</w:t>
      </w:r>
    </w:p>
    <w:p w14:paraId="304C884C" w14:textId="1A8AAB46" w:rsidR="004608B7" w:rsidRPr="00195A87" w:rsidRDefault="004608B7" w:rsidP="004608B7">
      <w:pPr>
        <w:pStyle w:val="Heading1"/>
        <w:spacing w:line="480" w:lineRule="auto"/>
        <w:rPr>
          <w:rFonts w:ascii="Calibri" w:eastAsiaTheme="minorHAnsi" w:hAnsi="Calibri" w:cs="Calibri"/>
          <w:color w:val="000000" w:themeColor="text1"/>
          <w:sz w:val="24"/>
          <w:szCs w:val="24"/>
        </w:rPr>
      </w:pPr>
      <w:r w:rsidRPr="00195A87">
        <w:rPr>
          <w:rFonts w:ascii="Calibri" w:eastAsiaTheme="minorHAnsi" w:hAnsi="Calibri" w:cs="Calibri"/>
          <w:color w:val="000000" w:themeColor="text1"/>
          <w:sz w:val="24"/>
          <w:szCs w:val="24"/>
        </w:rPr>
        <w:t>The performance management systems also play a significant role in engagement outcomes. Open appraisal systems built around developmental feedback, and reduced on punitive evaluation, breed trust and enthusiasm. The results indicate that hospitality workers are more engaged and ready to adjust their performance to organizational goals when they clearly understand their performance expectations and get constructive feedback. On the other hand, inconsistent or poorly constructed appraisal systems further add to perceptions of unfairness that results in disengagement and dissatisfaction.</w:t>
      </w:r>
    </w:p>
    <w:p w14:paraId="0315A72D" w14:textId="77777777" w:rsidR="004608B7" w:rsidRPr="00195A87" w:rsidRDefault="004608B7" w:rsidP="004608B7">
      <w:pPr>
        <w:pStyle w:val="Heading1"/>
        <w:spacing w:line="480" w:lineRule="auto"/>
        <w:rPr>
          <w:rFonts w:ascii="Calibri" w:eastAsiaTheme="minorHAnsi" w:hAnsi="Calibri" w:cs="Calibri"/>
          <w:color w:val="000000" w:themeColor="text1"/>
          <w:sz w:val="24"/>
          <w:szCs w:val="24"/>
        </w:rPr>
      </w:pPr>
      <w:r w:rsidRPr="00195A87">
        <w:rPr>
          <w:rFonts w:ascii="Calibri" w:eastAsiaTheme="minorHAnsi" w:hAnsi="Calibri" w:cs="Calibri"/>
          <w:color w:val="000000" w:themeColor="text1"/>
          <w:sz w:val="24"/>
          <w:szCs w:val="24"/>
        </w:rPr>
        <w:lastRenderedPageBreak/>
        <w:t>Employee engagement is further enhanced as career development opportunities touch on the long-term motivational needs. The discussion reveals that hospitality institutions with well-defined promotion strategies, mentorship and internal mobility are associated with reduced turnover intentions among workers. When employees feel they have a career development opportunity, there would be a higher chance of organizational commitment and long-term engagement, which will lower the high turnover rates linked to the hospitality industry.</w:t>
      </w:r>
    </w:p>
    <w:p w14:paraId="70BB1B79" w14:textId="77777777" w:rsidR="004608B7" w:rsidRPr="00195A87" w:rsidRDefault="004608B7" w:rsidP="004608B7">
      <w:pPr>
        <w:pStyle w:val="Heading1"/>
        <w:spacing w:line="480" w:lineRule="auto"/>
        <w:rPr>
          <w:rFonts w:ascii="Calibri" w:eastAsiaTheme="minorHAnsi" w:hAnsi="Calibri" w:cs="Calibri"/>
          <w:color w:val="000000" w:themeColor="text1"/>
          <w:sz w:val="24"/>
          <w:szCs w:val="24"/>
        </w:rPr>
      </w:pPr>
    </w:p>
    <w:p w14:paraId="7BCDA047" w14:textId="77777777" w:rsidR="004608B7" w:rsidRPr="00195A87" w:rsidRDefault="004608B7" w:rsidP="004608B7">
      <w:pPr>
        <w:rPr>
          <w:rFonts w:ascii="Calibri" w:hAnsi="Calibri" w:cs="Calibri"/>
        </w:rPr>
      </w:pPr>
    </w:p>
    <w:p w14:paraId="5C7F9A96" w14:textId="71164E8E" w:rsidR="004608B7" w:rsidRPr="00195A87" w:rsidRDefault="004608B7" w:rsidP="004608B7">
      <w:pPr>
        <w:pStyle w:val="Heading1"/>
        <w:spacing w:line="480" w:lineRule="auto"/>
        <w:rPr>
          <w:rFonts w:ascii="Calibri" w:eastAsiaTheme="minorHAnsi" w:hAnsi="Calibri" w:cs="Calibri"/>
          <w:color w:val="000000" w:themeColor="text1"/>
          <w:sz w:val="24"/>
          <w:szCs w:val="24"/>
        </w:rPr>
      </w:pPr>
      <w:r w:rsidRPr="00195A87">
        <w:rPr>
          <w:rFonts w:ascii="Calibri" w:eastAsiaTheme="minorHAnsi" w:hAnsi="Calibri" w:cs="Calibri"/>
          <w:color w:val="000000" w:themeColor="text1"/>
          <w:sz w:val="24"/>
          <w:szCs w:val="24"/>
        </w:rPr>
        <w:lastRenderedPageBreak/>
        <w:t>2. Leadership Styles and their Impact on Engagement.</w:t>
      </w:r>
    </w:p>
    <w:p w14:paraId="72F7FDA4" w14:textId="77DEB05A" w:rsidR="004608B7" w:rsidRPr="00195A87" w:rsidRDefault="004608B7" w:rsidP="004608B7">
      <w:pPr>
        <w:pStyle w:val="Heading1"/>
        <w:spacing w:line="480" w:lineRule="auto"/>
        <w:rPr>
          <w:rFonts w:ascii="Calibri" w:eastAsiaTheme="minorHAnsi" w:hAnsi="Calibri" w:cs="Calibri"/>
          <w:color w:val="000000" w:themeColor="text1"/>
          <w:sz w:val="24"/>
          <w:szCs w:val="24"/>
        </w:rPr>
      </w:pPr>
      <w:r w:rsidRPr="00195A87">
        <w:rPr>
          <w:rFonts w:ascii="Calibri" w:eastAsiaTheme="minorHAnsi" w:hAnsi="Calibri" w:cs="Calibri"/>
          <w:color w:val="000000" w:themeColor="text1"/>
          <w:sz w:val="24"/>
          <w:szCs w:val="24"/>
        </w:rPr>
        <w:t>Leadership style is defined as an important contextual factor that affects the effectiveness of HRM practices. The results consistently indicate that transformational and supportive styles of leadership have positive effects on the engagement of employees in the hospitality environment. When leaders convey a clear vision, offer individualized support, and invite employees to participate, they ensure psychologically safe workplaces that promote trust and involvement.</w:t>
      </w:r>
    </w:p>
    <w:p w14:paraId="2530E3B9" w14:textId="35205855" w:rsidR="004608B7" w:rsidRPr="00195A87" w:rsidRDefault="004608B7" w:rsidP="004608B7">
      <w:pPr>
        <w:pStyle w:val="Heading1"/>
        <w:spacing w:line="480" w:lineRule="auto"/>
        <w:rPr>
          <w:rFonts w:ascii="Calibri" w:eastAsiaTheme="minorHAnsi" w:hAnsi="Calibri" w:cs="Calibri"/>
          <w:color w:val="000000" w:themeColor="text1"/>
          <w:sz w:val="24"/>
          <w:szCs w:val="24"/>
        </w:rPr>
      </w:pPr>
      <w:r w:rsidRPr="00195A87">
        <w:rPr>
          <w:rFonts w:ascii="Calibri" w:eastAsiaTheme="minorHAnsi" w:hAnsi="Calibri" w:cs="Calibri"/>
          <w:color w:val="000000" w:themeColor="text1"/>
          <w:sz w:val="24"/>
          <w:szCs w:val="24"/>
        </w:rPr>
        <w:t xml:space="preserve">Conversely, emotional exhaustion and disengagement are linked with authoritarian and overly transactional leadership styles. Employees of hospitality who operate within strict supervisory systems tend to have lower autonomy and higher stress levels, which have a negative impact on quality of service and morale. The discussion indicates that leadership </w:t>
      </w:r>
      <w:proofErr w:type="spellStart"/>
      <w:r w:rsidRPr="00195A87">
        <w:rPr>
          <w:rFonts w:ascii="Calibri" w:eastAsiaTheme="minorHAnsi" w:hAnsi="Calibri" w:cs="Calibri"/>
          <w:color w:val="000000" w:themeColor="text1"/>
          <w:sz w:val="24"/>
          <w:szCs w:val="24"/>
        </w:rPr>
        <w:t>behavior</w:t>
      </w:r>
      <w:proofErr w:type="spellEnd"/>
      <w:r w:rsidRPr="00195A87">
        <w:rPr>
          <w:rFonts w:ascii="Calibri" w:eastAsiaTheme="minorHAnsi" w:hAnsi="Calibri" w:cs="Calibri"/>
          <w:color w:val="000000" w:themeColor="text1"/>
          <w:sz w:val="24"/>
          <w:szCs w:val="24"/>
        </w:rPr>
        <w:t xml:space="preserve"> may intensify and/or worsen the effects of HRM practices and that leadership development is a vital part of engagement-based HR practices.</w:t>
      </w:r>
    </w:p>
    <w:p w14:paraId="5F9CFE48" w14:textId="77777777" w:rsidR="004608B7" w:rsidRPr="00195A87" w:rsidRDefault="004608B7" w:rsidP="004608B7">
      <w:pPr>
        <w:pStyle w:val="Heading1"/>
        <w:spacing w:line="480" w:lineRule="auto"/>
        <w:rPr>
          <w:rFonts w:ascii="Calibri" w:eastAsiaTheme="minorHAnsi" w:hAnsi="Calibri" w:cs="Calibri"/>
          <w:color w:val="000000" w:themeColor="text1"/>
          <w:sz w:val="24"/>
          <w:szCs w:val="24"/>
        </w:rPr>
      </w:pPr>
      <w:r w:rsidRPr="00195A87">
        <w:rPr>
          <w:rFonts w:ascii="Calibri" w:eastAsiaTheme="minorHAnsi" w:hAnsi="Calibri" w:cs="Calibri"/>
          <w:color w:val="000000" w:themeColor="text1"/>
          <w:sz w:val="24"/>
          <w:szCs w:val="24"/>
        </w:rPr>
        <w:t xml:space="preserve">Another leadership style that turns out to be especially effective within hospitality organizations is servant leadership. Servant leaders develop relational relationships and increase the sense of purpose of employees by focusing on employee well-being and ethical </w:t>
      </w:r>
      <w:proofErr w:type="spellStart"/>
      <w:r w:rsidRPr="00195A87">
        <w:rPr>
          <w:rFonts w:ascii="Calibri" w:eastAsiaTheme="minorHAnsi" w:hAnsi="Calibri" w:cs="Calibri"/>
          <w:color w:val="000000" w:themeColor="text1"/>
          <w:sz w:val="24"/>
          <w:szCs w:val="24"/>
        </w:rPr>
        <w:t>behavior</w:t>
      </w:r>
      <w:proofErr w:type="spellEnd"/>
      <w:r w:rsidRPr="00195A87">
        <w:rPr>
          <w:rFonts w:ascii="Calibri" w:eastAsiaTheme="minorHAnsi" w:hAnsi="Calibri" w:cs="Calibri"/>
          <w:color w:val="000000" w:themeColor="text1"/>
          <w:sz w:val="24"/>
          <w:szCs w:val="24"/>
        </w:rPr>
        <w:t>. The style of leadership is particularly applicable in service-based settings where interpersonal relationships and emotional work are key determinants of results.</w:t>
      </w:r>
    </w:p>
    <w:p w14:paraId="24D3F456" w14:textId="77777777" w:rsidR="004608B7" w:rsidRPr="00195A87" w:rsidRDefault="004608B7" w:rsidP="004608B7">
      <w:pPr>
        <w:pStyle w:val="Heading1"/>
        <w:spacing w:line="480" w:lineRule="auto"/>
        <w:rPr>
          <w:rFonts w:ascii="Calibri" w:eastAsiaTheme="minorHAnsi" w:hAnsi="Calibri" w:cs="Calibri"/>
          <w:color w:val="000000" w:themeColor="text1"/>
          <w:sz w:val="24"/>
          <w:szCs w:val="24"/>
        </w:rPr>
      </w:pPr>
    </w:p>
    <w:p w14:paraId="362E9E00" w14:textId="1568FDD6" w:rsidR="004608B7" w:rsidRPr="00195A87" w:rsidRDefault="004608B7" w:rsidP="004608B7">
      <w:pPr>
        <w:pStyle w:val="Heading1"/>
        <w:spacing w:line="480" w:lineRule="auto"/>
        <w:rPr>
          <w:rFonts w:ascii="Calibri" w:eastAsiaTheme="minorHAnsi" w:hAnsi="Calibri" w:cs="Calibri"/>
          <w:color w:val="000000" w:themeColor="text1"/>
          <w:sz w:val="24"/>
          <w:szCs w:val="24"/>
        </w:rPr>
      </w:pPr>
      <w:r w:rsidRPr="00195A87">
        <w:rPr>
          <w:rFonts w:ascii="Calibri" w:eastAsiaTheme="minorHAnsi" w:hAnsi="Calibri" w:cs="Calibri"/>
          <w:color w:val="000000" w:themeColor="text1"/>
          <w:sz w:val="24"/>
          <w:szCs w:val="24"/>
        </w:rPr>
        <w:lastRenderedPageBreak/>
        <w:t>3. Employee Engagement and Well-Being</w:t>
      </w:r>
    </w:p>
    <w:p w14:paraId="2E92E9AD" w14:textId="0C89260E" w:rsidR="004608B7" w:rsidRPr="00195A87" w:rsidRDefault="004608B7" w:rsidP="004608B7">
      <w:pPr>
        <w:pStyle w:val="Heading1"/>
        <w:spacing w:line="480" w:lineRule="auto"/>
        <w:rPr>
          <w:rFonts w:ascii="Calibri" w:eastAsiaTheme="minorHAnsi" w:hAnsi="Calibri" w:cs="Calibri"/>
          <w:color w:val="000000" w:themeColor="text1"/>
          <w:sz w:val="24"/>
          <w:szCs w:val="24"/>
        </w:rPr>
      </w:pPr>
      <w:r w:rsidRPr="00195A87">
        <w:rPr>
          <w:rFonts w:ascii="Calibri" w:eastAsiaTheme="minorHAnsi" w:hAnsi="Calibri" w:cs="Calibri"/>
          <w:color w:val="000000" w:themeColor="text1"/>
          <w:sz w:val="24"/>
          <w:szCs w:val="24"/>
        </w:rPr>
        <w:t>The welfare of employees is recognized as an essential factor in engagement among hospitality organisations. The results reveal that excessive job requirements, including working long hours, uneven shifts, and emotional work, are dangerous to the welfare and involvement of employees. When the demands are not effectively handled, employees are more vulnerable to burnout, absenteeism, and disengagement.</w:t>
      </w:r>
    </w:p>
    <w:p w14:paraId="149AF7AB" w14:textId="7FD09B50" w:rsidR="004608B7" w:rsidRPr="00195A87" w:rsidRDefault="004608B7" w:rsidP="004608B7">
      <w:pPr>
        <w:pStyle w:val="Heading1"/>
        <w:spacing w:line="480" w:lineRule="auto"/>
        <w:rPr>
          <w:rFonts w:ascii="Calibri" w:eastAsiaTheme="minorHAnsi" w:hAnsi="Calibri" w:cs="Calibri"/>
          <w:color w:val="000000" w:themeColor="text1"/>
          <w:sz w:val="24"/>
          <w:szCs w:val="24"/>
        </w:rPr>
      </w:pPr>
      <w:r w:rsidRPr="00195A87">
        <w:rPr>
          <w:rFonts w:ascii="Calibri" w:eastAsiaTheme="minorHAnsi" w:hAnsi="Calibri" w:cs="Calibri"/>
          <w:color w:val="000000" w:themeColor="text1"/>
          <w:sz w:val="24"/>
          <w:szCs w:val="24"/>
        </w:rPr>
        <w:t>Nonetheless, hospitality organisations that adopt well-being-based HRM activities show much higher engagement rates. Flexible scheduling, mental health support, workload management, and inclusive workplace policies are some of the initiatives that promote better psychological and emotional health. The analysis reveals that employees who feel that the organization cares about their well-being are stronger, more motivated and dedicated to providing high-quality service.</w:t>
      </w:r>
    </w:p>
    <w:p w14:paraId="181C1F15" w14:textId="77777777" w:rsidR="004608B7" w:rsidRPr="00195A87" w:rsidRDefault="004608B7" w:rsidP="004608B7">
      <w:pPr>
        <w:pStyle w:val="Heading1"/>
        <w:spacing w:line="480" w:lineRule="auto"/>
        <w:rPr>
          <w:rFonts w:ascii="Calibri" w:eastAsiaTheme="minorHAnsi" w:hAnsi="Calibri" w:cs="Calibri"/>
          <w:color w:val="000000" w:themeColor="text1"/>
          <w:sz w:val="24"/>
          <w:szCs w:val="24"/>
        </w:rPr>
      </w:pPr>
      <w:r w:rsidRPr="00195A87">
        <w:rPr>
          <w:rFonts w:ascii="Calibri" w:eastAsiaTheme="minorHAnsi" w:hAnsi="Calibri" w:cs="Calibri"/>
          <w:color w:val="000000" w:themeColor="text1"/>
          <w:sz w:val="24"/>
          <w:szCs w:val="24"/>
        </w:rPr>
        <w:t>Moreover, work-life balance policies have been identified as especially effective in the context of reducing stress and improving engagement. Flexibility is beneficial because people practicing hospitality work have non-standard working hours, as their work requires them to balance work with personal issues and obligations. This balance creates long-term interest and decreases turnover intentions.</w:t>
      </w:r>
    </w:p>
    <w:p w14:paraId="09E138CE" w14:textId="77777777" w:rsidR="004608B7" w:rsidRPr="00195A87" w:rsidRDefault="004608B7" w:rsidP="004608B7">
      <w:pPr>
        <w:pStyle w:val="Heading1"/>
        <w:spacing w:line="480" w:lineRule="auto"/>
        <w:rPr>
          <w:rFonts w:ascii="Calibri" w:eastAsiaTheme="minorHAnsi" w:hAnsi="Calibri" w:cs="Calibri"/>
          <w:color w:val="000000" w:themeColor="text1"/>
          <w:sz w:val="24"/>
          <w:szCs w:val="24"/>
        </w:rPr>
      </w:pPr>
    </w:p>
    <w:p w14:paraId="29C6ABE7" w14:textId="77777777" w:rsidR="004608B7" w:rsidRPr="00195A87" w:rsidRDefault="004608B7" w:rsidP="004608B7">
      <w:pPr>
        <w:rPr>
          <w:rFonts w:ascii="Calibri" w:hAnsi="Calibri" w:cs="Calibri"/>
        </w:rPr>
      </w:pPr>
    </w:p>
    <w:p w14:paraId="43D0F932" w14:textId="12C78D6C" w:rsidR="004608B7" w:rsidRPr="00195A87" w:rsidRDefault="004608B7" w:rsidP="004608B7">
      <w:pPr>
        <w:pStyle w:val="Heading1"/>
        <w:spacing w:line="480" w:lineRule="auto"/>
        <w:rPr>
          <w:rFonts w:ascii="Calibri" w:eastAsiaTheme="minorHAnsi" w:hAnsi="Calibri" w:cs="Calibri"/>
          <w:color w:val="000000" w:themeColor="text1"/>
          <w:sz w:val="24"/>
          <w:szCs w:val="24"/>
        </w:rPr>
      </w:pPr>
      <w:r w:rsidRPr="00195A87">
        <w:rPr>
          <w:rFonts w:ascii="Calibri" w:eastAsiaTheme="minorHAnsi" w:hAnsi="Calibri" w:cs="Calibri"/>
          <w:color w:val="000000" w:themeColor="text1"/>
          <w:sz w:val="24"/>
          <w:szCs w:val="24"/>
        </w:rPr>
        <w:lastRenderedPageBreak/>
        <w:t>4. The Effect of Employee Engagement on Organizational Performance.</w:t>
      </w:r>
    </w:p>
    <w:p w14:paraId="46ED5411" w14:textId="45BD7D82" w:rsidR="004608B7" w:rsidRPr="00195A87" w:rsidRDefault="004608B7" w:rsidP="004608B7">
      <w:pPr>
        <w:pStyle w:val="Heading1"/>
        <w:spacing w:line="480" w:lineRule="auto"/>
        <w:rPr>
          <w:rFonts w:ascii="Calibri" w:eastAsiaTheme="minorHAnsi" w:hAnsi="Calibri" w:cs="Calibri"/>
          <w:color w:val="000000" w:themeColor="text1"/>
          <w:sz w:val="24"/>
          <w:szCs w:val="24"/>
        </w:rPr>
      </w:pPr>
      <w:r w:rsidRPr="00195A87">
        <w:rPr>
          <w:rFonts w:ascii="Calibri" w:eastAsiaTheme="minorHAnsi" w:hAnsi="Calibri" w:cs="Calibri"/>
          <w:color w:val="000000" w:themeColor="text1"/>
          <w:sz w:val="24"/>
          <w:szCs w:val="24"/>
        </w:rPr>
        <w:t>The results are very strong in showing the relationship between employee engagement and major organizational outcomes within the hospitality sector. It is also observed that engaged employees exhibit better customer orientation levels, which result in higher guest satisfaction and loyalty. The result of positive employee attitudes is more personalized service, quicker service recovery, and improved guest experiences.</w:t>
      </w:r>
    </w:p>
    <w:p w14:paraId="4BB7320A" w14:textId="01401739" w:rsidR="004608B7" w:rsidRPr="00195A87" w:rsidRDefault="004608B7" w:rsidP="004608B7">
      <w:pPr>
        <w:pStyle w:val="Heading1"/>
        <w:spacing w:line="480" w:lineRule="auto"/>
        <w:rPr>
          <w:rFonts w:ascii="Calibri" w:eastAsiaTheme="minorHAnsi" w:hAnsi="Calibri" w:cs="Calibri"/>
          <w:color w:val="000000" w:themeColor="text1"/>
          <w:sz w:val="24"/>
          <w:szCs w:val="24"/>
        </w:rPr>
      </w:pPr>
      <w:r w:rsidRPr="00195A87">
        <w:rPr>
          <w:rFonts w:ascii="Calibri" w:eastAsiaTheme="minorHAnsi" w:hAnsi="Calibri" w:cs="Calibri"/>
          <w:color w:val="000000" w:themeColor="text1"/>
          <w:sz w:val="24"/>
          <w:szCs w:val="24"/>
        </w:rPr>
        <w:t>Employee engagement also positively affects operational efficiency. motivated employees are more patient, cooperative, and active in finding service enhancements, and reducing errors. This helps in streamlined operations, less service failures, and better organizational image. The analysis also shows the importance of employee engagement as a mediator between the HRM practices and the organizational performance, which supports the strategic importance of engagement-oriented HRM systems.</w:t>
      </w:r>
    </w:p>
    <w:p w14:paraId="11B305FA" w14:textId="586A4E06" w:rsidR="004608B7" w:rsidRPr="00195A87" w:rsidRDefault="004608B7" w:rsidP="004608B7">
      <w:pPr>
        <w:pStyle w:val="Heading1"/>
        <w:spacing w:line="480" w:lineRule="auto"/>
        <w:rPr>
          <w:rFonts w:ascii="Calibri" w:eastAsiaTheme="minorHAnsi" w:hAnsi="Calibri" w:cs="Calibri"/>
          <w:color w:val="000000" w:themeColor="text1"/>
          <w:sz w:val="24"/>
          <w:szCs w:val="24"/>
        </w:rPr>
      </w:pPr>
      <w:r w:rsidRPr="00195A87">
        <w:rPr>
          <w:rFonts w:ascii="Calibri" w:eastAsiaTheme="minorHAnsi" w:hAnsi="Calibri" w:cs="Calibri"/>
          <w:color w:val="000000" w:themeColor="text1"/>
          <w:sz w:val="24"/>
          <w:szCs w:val="24"/>
        </w:rPr>
        <w:t>Moreover, the correlation between engagement and staff retention is especially high. Hospitality organizations that are more engaged will see a reduced voluntary turnover, which saves on the costs of recruitment and training. This permanence allows organizations to have service continuity and institutional wisdom that are essential in long-run success in competitive hospitality markets.</w:t>
      </w:r>
    </w:p>
    <w:p w14:paraId="2BC2FC3A" w14:textId="77777777" w:rsidR="004608B7" w:rsidRPr="00195A87" w:rsidRDefault="004608B7" w:rsidP="004608B7">
      <w:pPr>
        <w:rPr>
          <w:rFonts w:ascii="Calibri" w:hAnsi="Calibri" w:cs="Calibri"/>
        </w:rPr>
      </w:pPr>
    </w:p>
    <w:p w14:paraId="3A7F9C44" w14:textId="72531735" w:rsidR="004608B7" w:rsidRPr="00195A87" w:rsidRDefault="004608B7" w:rsidP="004608B7">
      <w:pPr>
        <w:pStyle w:val="Heading1"/>
        <w:spacing w:line="480" w:lineRule="auto"/>
        <w:rPr>
          <w:rFonts w:ascii="Calibri" w:eastAsiaTheme="minorHAnsi" w:hAnsi="Calibri" w:cs="Calibri"/>
          <w:color w:val="000000" w:themeColor="text1"/>
          <w:sz w:val="24"/>
          <w:szCs w:val="24"/>
        </w:rPr>
      </w:pPr>
      <w:r w:rsidRPr="00195A87">
        <w:rPr>
          <w:rFonts w:ascii="Calibri" w:eastAsiaTheme="minorHAnsi" w:hAnsi="Calibri" w:cs="Calibri"/>
          <w:color w:val="000000" w:themeColor="text1"/>
          <w:sz w:val="24"/>
          <w:szCs w:val="24"/>
        </w:rPr>
        <w:lastRenderedPageBreak/>
        <w:t>5. HRM Strategies Alignment with Hospitality Industry Goals.</w:t>
      </w:r>
    </w:p>
    <w:p w14:paraId="627CF0A7" w14:textId="6430A4E5" w:rsidR="004608B7" w:rsidRPr="00195A87" w:rsidRDefault="004608B7" w:rsidP="004608B7">
      <w:pPr>
        <w:pStyle w:val="Heading1"/>
        <w:spacing w:line="480" w:lineRule="auto"/>
        <w:rPr>
          <w:rFonts w:ascii="Calibri" w:eastAsiaTheme="minorHAnsi" w:hAnsi="Calibri" w:cs="Calibri"/>
          <w:color w:val="000000" w:themeColor="text1"/>
          <w:sz w:val="24"/>
          <w:szCs w:val="24"/>
        </w:rPr>
      </w:pPr>
      <w:r w:rsidRPr="00195A87">
        <w:rPr>
          <w:rFonts w:ascii="Calibri" w:eastAsiaTheme="minorHAnsi" w:hAnsi="Calibri" w:cs="Calibri"/>
          <w:color w:val="000000" w:themeColor="text1"/>
          <w:sz w:val="24"/>
          <w:szCs w:val="24"/>
        </w:rPr>
        <w:t>This analysis demonstrates that effective HRM strategies should be well aligned with the strategic goals of the hospitality industry, which are service excellence, guest satisfaction, and operational efficiency. The HRM practices that emphasize engagement facilitate the achievement of these objectives by facilitating an inspiring and service-driven workforce. Companies that align HRM strategy and business goals are in a better position to gain sustainable competitive advantage.</w:t>
      </w:r>
    </w:p>
    <w:p w14:paraId="6D8668AB" w14:textId="77777777" w:rsidR="004608B7" w:rsidRPr="00195A87" w:rsidRDefault="004608B7" w:rsidP="004608B7">
      <w:pPr>
        <w:pStyle w:val="Heading1"/>
        <w:spacing w:line="480" w:lineRule="auto"/>
        <w:rPr>
          <w:rFonts w:ascii="Calibri" w:eastAsiaTheme="minorHAnsi" w:hAnsi="Calibri" w:cs="Calibri"/>
          <w:color w:val="000000" w:themeColor="text1"/>
          <w:sz w:val="24"/>
          <w:szCs w:val="24"/>
        </w:rPr>
      </w:pPr>
      <w:r w:rsidRPr="00195A87">
        <w:rPr>
          <w:rFonts w:ascii="Calibri" w:eastAsiaTheme="minorHAnsi" w:hAnsi="Calibri" w:cs="Calibri"/>
          <w:color w:val="000000" w:themeColor="text1"/>
          <w:sz w:val="24"/>
          <w:szCs w:val="24"/>
        </w:rPr>
        <w:t>The results indicate the necessity to consider employee engagement as a strategic investment, not a short-term HR project. Hospitality organizations, which incorporate engagement as a part of organizational culture and leadership philosophy, realize better performance results than cost-based or compliance-based HR practices.</w:t>
      </w:r>
    </w:p>
    <w:p w14:paraId="4EEC3687" w14:textId="77777777" w:rsidR="004608B7" w:rsidRPr="00195A87" w:rsidRDefault="004608B7" w:rsidP="004608B7">
      <w:pPr>
        <w:rPr>
          <w:rFonts w:ascii="Calibri" w:hAnsi="Calibri" w:cs="Calibri"/>
        </w:rPr>
      </w:pPr>
    </w:p>
    <w:p w14:paraId="0514D30D" w14:textId="77777777" w:rsidR="004608B7" w:rsidRPr="00195A87" w:rsidRDefault="004608B7" w:rsidP="004608B7">
      <w:pPr>
        <w:rPr>
          <w:rFonts w:ascii="Calibri" w:hAnsi="Calibri" w:cs="Calibri"/>
        </w:rPr>
      </w:pPr>
    </w:p>
    <w:p w14:paraId="687B948E" w14:textId="77777777" w:rsidR="004608B7" w:rsidRPr="00195A87" w:rsidRDefault="004608B7" w:rsidP="004608B7">
      <w:pPr>
        <w:rPr>
          <w:rFonts w:ascii="Calibri" w:hAnsi="Calibri" w:cs="Calibri"/>
        </w:rPr>
      </w:pPr>
    </w:p>
    <w:p w14:paraId="3DA51F5E" w14:textId="77777777" w:rsidR="004608B7" w:rsidRPr="00195A87" w:rsidRDefault="004608B7" w:rsidP="004608B7">
      <w:pPr>
        <w:rPr>
          <w:rFonts w:ascii="Calibri" w:hAnsi="Calibri" w:cs="Calibri"/>
        </w:rPr>
      </w:pPr>
    </w:p>
    <w:p w14:paraId="6165B7F2" w14:textId="77777777" w:rsidR="004608B7" w:rsidRPr="00195A87" w:rsidRDefault="004608B7" w:rsidP="004608B7">
      <w:pPr>
        <w:rPr>
          <w:rFonts w:ascii="Calibri" w:hAnsi="Calibri" w:cs="Calibri"/>
        </w:rPr>
      </w:pPr>
    </w:p>
    <w:p w14:paraId="61AB7CC0" w14:textId="77777777" w:rsidR="004608B7" w:rsidRPr="00195A87" w:rsidRDefault="004608B7" w:rsidP="004608B7">
      <w:pPr>
        <w:rPr>
          <w:rFonts w:ascii="Calibri" w:hAnsi="Calibri" w:cs="Calibri"/>
        </w:rPr>
      </w:pPr>
    </w:p>
    <w:p w14:paraId="7787D4F1" w14:textId="77777777" w:rsidR="004608B7" w:rsidRPr="00195A87" w:rsidRDefault="004608B7" w:rsidP="004608B7">
      <w:pPr>
        <w:rPr>
          <w:rFonts w:ascii="Calibri" w:hAnsi="Calibri" w:cs="Calibri"/>
        </w:rPr>
      </w:pPr>
    </w:p>
    <w:p w14:paraId="14E5CA83" w14:textId="77777777" w:rsidR="004608B7" w:rsidRPr="00195A87" w:rsidRDefault="004608B7" w:rsidP="004608B7">
      <w:pPr>
        <w:rPr>
          <w:rFonts w:ascii="Calibri" w:hAnsi="Calibri" w:cs="Calibri"/>
        </w:rPr>
      </w:pPr>
    </w:p>
    <w:p w14:paraId="12736AD8" w14:textId="77777777" w:rsidR="00195A87" w:rsidRPr="00195A87" w:rsidRDefault="00195A87" w:rsidP="004608B7">
      <w:pPr>
        <w:rPr>
          <w:rFonts w:ascii="Calibri" w:hAnsi="Calibri" w:cs="Calibri"/>
        </w:rPr>
      </w:pPr>
    </w:p>
    <w:p w14:paraId="71BD2AAE" w14:textId="77777777" w:rsidR="00195A87" w:rsidRPr="00195A87" w:rsidRDefault="00195A87" w:rsidP="004608B7">
      <w:pPr>
        <w:rPr>
          <w:rFonts w:ascii="Calibri" w:hAnsi="Calibri" w:cs="Calibri"/>
        </w:rPr>
      </w:pPr>
    </w:p>
    <w:p w14:paraId="0EEDE92D" w14:textId="77777777" w:rsidR="00195A87" w:rsidRPr="00195A87" w:rsidRDefault="00195A87" w:rsidP="004608B7">
      <w:pPr>
        <w:rPr>
          <w:rFonts w:ascii="Calibri" w:hAnsi="Calibri" w:cs="Calibri"/>
        </w:rPr>
      </w:pPr>
    </w:p>
    <w:p w14:paraId="0C80DE4F" w14:textId="77777777" w:rsidR="00195A87" w:rsidRPr="00195A87" w:rsidRDefault="00195A87" w:rsidP="00195A87">
      <w:pPr>
        <w:rPr>
          <w:rFonts w:ascii="Calibri" w:hAnsi="Calibri" w:cs="Calibri"/>
        </w:rPr>
      </w:pPr>
      <w:r w:rsidRPr="00195A87">
        <w:rPr>
          <w:rFonts w:ascii="Calibri" w:hAnsi="Calibri" w:cs="Calibri"/>
        </w:rPr>
        <w:lastRenderedPageBreak/>
        <w:t xml:space="preserve">Case Studies: Employee Engagement in Top Hospitality Organization. </w:t>
      </w:r>
    </w:p>
    <w:p w14:paraId="46DD2EE7" w14:textId="77777777" w:rsidR="00195A87" w:rsidRPr="00195A87" w:rsidRDefault="00195A87" w:rsidP="00195A87">
      <w:pPr>
        <w:rPr>
          <w:rFonts w:ascii="Calibri" w:hAnsi="Calibri" w:cs="Calibri"/>
        </w:rPr>
      </w:pPr>
      <w:r w:rsidRPr="00195A87">
        <w:rPr>
          <w:rFonts w:ascii="Calibri" w:hAnsi="Calibri" w:cs="Calibri"/>
        </w:rPr>
        <w:t>Four Seasons Hotels and Resorts.</w:t>
      </w:r>
    </w:p>
    <w:p w14:paraId="2E5D2238" w14:textId="77777777" w:rsidR="00195A87" w:rsidRPr="00195A87" w:rsidRDefault="00195A87" w:rsidP="00195A87">
      <w:pPr>
        <w:rPr>
          <w:rFonts w:ascii="Calibri" w:hAnsi="Calibri" w:cs="Calibri"/>
        </w:rPr>
      </w:pPr>
      <w:r w:rsidRPr="00195A87">
        <w:rPr>
          <w:rFonts w:ascii="Calibri" w:hAnsi="Calibri" w:cs="Calibri"/>
        </w:rPr>
        <w:t xml:space="preserve">The four </w:t>
      </w:r>
      <w:proofErr w:type="gramStart"/>
      <w:r w:rsidRPr="00195A87">
        <w:rPr>
          <w:rFonts w:ascii="Calibri" w:hAnsi="Calibri" w:cs="Calibri"/>
        </w:rPr>
        <w:t>seasons</w:t>
      </w:r>
      <w:proofErr w:type="gramEnd"/>
      <w:r w:rsidRPr="00195A87">
        <w:rPr>
          <w:rFonts w:ascii="Calibri" w:hAnsi="Calibri" w:cs="Calibri"/>
        </w:rPr>
        <w:t xml:space="preserve"> hotels and resorts are known to have a </w:t>
      </w:r>
      <w:proofErr w:type="gramStart"/>
      <w:r w:rsidRPr="00195A87">
        <w:rPr>
          <w:rFonts w:ascii="Calibri" w:hAnsi="Calibri" w:cs="Calibri"/>
        </w:rPr>
        <w:t>people oriented</w:t>
      </w:r>
      <w:proofErr w:type="gramEnd"/>
      <w:r w:rsidRPr="00195A87">
        <w:rPr>
          <w:rFonts w:ascii="Calibri" w:hAnsi="Calibri" w:cs="Calibri"/>
        </w:rPr>
        <w:t xml:space="preserve"> culture of organization and high employee engagement as a service quality landmark. The HRM philosophy of the company is premised on the idea that the company can only deliver outstanding guest experiences when it has engaged and motivated employees. Constant training and empowerment of employees is one of the most peculiar traits of HRM strategy at Four Seasons. The employees undergo rigorous onboarding and continuous service training, which is </w:t>
      </w:r>
      <w:proofErr w:type="spellStart"/>
      <w:r w:rsidRPr="00195A87">
        <w:rPr>
          <w:rFonts w:ascii="Calibri" w:hAnsi="Calibri" w:cs="Calibri"/>
        </w:rPr>
        <w:t>centered</w:t>
      </w:r>
      <w:proofErr w:type="spellEnd"/>
      <w:r w:rsidRPr="00195A87">
        <w:rPr>
          <w:rFonts w:ascii="Calibri" w:hAnsi="Calibri" w:cs="Calibri"/>
        </w:rPr>
        <w:t xml:space="preserve"> not only on technical skills but also on emotional intelligence, communication, and individualized interaction with the guest.</w:t>
      </w:r>
    </w:p>
    <w:p w14:paraId="45F69111" w14:textId="77777777" w:rsidR="00195A87" w:rsidRPr="00195A87" w:rsidRDefault="00195A87" w:rsidP="00195A87">
      <w:pPr>
        <w:rPr>
          <w:rFonts w:ascii="Calibri" w:hAnsi="Calibri" w:cs="Calibri"/>
        </w:rPr>
      </w:pPr>
      <w:r w:rsidRPr="00195A87">
        <w:rPr>
          <w:rFonts w:ascii="Calibri" w:hAnsi="Calibri" w:cs="Calibri"/>
        </w:rPr>
        <w:t xml:space="preserve">The performance management system within the organization focuses on developmental feedback and not strict evaluation. Employees are advised to introspect their service behaviours </w:t>
      </w:r>
      <w:proofErr w:type="gramStart"/>
      <w:r w:rsidRPr="00195A87">
        <w:rPr>
          <w:rFonts w:ascii="Calibri" w:hAnsi="Calibri" w:cs="Calibri"/>
        </w:rPr>
        <w:t>and also</w:t>
      </w:r>
      <w:proofErr w:type="gramEnd"/>
      <w:r w:rsidRPr="00195A87">
        <w:rPr>
          <w:rFonts w:ascii="Calibri" w:hAnsi="Calibri" w:cs="Calibri"/>
        </w:rPr>
        <w:t xml:space="preserve"> engage in performance discussions which develops a sense of ownership and accountability. This strategy is consistent with engagement theories that propose that intrinsic motivation is boosted by autonomy and meaningful feedback. Moreover, Four Seasons encourages internal career mobility, providing the staff with the chance to advance between properties and positions, which enhances long-term engagement and lowers turnover.</w:t>
      </w:r>
    </w:p>
    <w:p w14:paraId="1F280109" w14:textId="77777777" w:rsidR="00195A87" w:rsidRPr="00195A87" w:rsidRDefault="00195A87" w:rsidP="00195A87">
      <w:pPr>
        <w:rPr>
          <w:rFonts w:ascii="Calibri" w:hAnsi="Calibri" w:cs="Calibri"/>
        </w:rPr>
      </w:pPr>
      <w:r w:rsidRPr="00195A87">
        <w:rPr>
          <w:rFonts w:ascii="Calibri" w:hAnsi="Calibri" w:cs="Calibri"/>
        </w:rPr>
        <w:t xml:space="preserve">Engagement reinforcing leadership at Four Seasons is a crucial element. Managers are taught to embrace supportive and transformational leadership styles, which focus more on the well-being of employees and recognitions. Frequent employee feedback systems, like employee engagement surveys and open forums, allow the management to act on employee concerns before they arise. Consequently, employee satisfaction and loyalty have been high at Four Seasons, and this directly relates to better quality of service provision and customer satisfaction. This example demonstrates how the consistency between HRM practices, leadership </w:t>
      </w:r>
      <w:proofErr w:type="spellStart"/>
      <w:r w:rsidRPr="00195A87">
        <w:rPr>
          <w:rFonts w:ascii="Calibri" w:hAnsi="Calibri" w:cs="Calibri"/>
        </w:rPr>
        <w:t>behavior</w:t>
      </w:r>
      <w:proofErr w:type="spellEnd"/>
      <w:r w:rsidRPr="00195A87">
        <w:rPr>
          <w:rFonts w:ascii="Calibri" w:hAnsi="Calibri" w:cs="Calibri"/>
        </w:rPr>
        <w:t>, and organizational values can develop a sustainable culture of engagement in hospitality.</w:t>
      </w:r>
    </w:p>
    <w:p w14:paraId="5CBC7129" w14:textId="77777777" w:rsidR="00195A87" w:rsidRPr="00195A87" w:rsidRDefault="00195A87" w:rsidP="00195A87">
      <w:pPr>
        <w:rPr>
          <w:rFonts w:ascii="Calibri" w:hAnsi="Calibri" w:cs="Calibri"/>
        </w:rPr>
      </w:pPr>
    </w:p>
    <w:p w14:paraId="444E2941" w14:textId="77777777" w:rsidR="00195A87" w:rsidRPr="00195A87" w:rsidRDefault="00195A87" w:rsidP="00195A87">
      <w:pPr>
        <w:rPr>
          <w:rFonts w:ascii="Calibri" w:hAnsi="Calibri" w:cs="Calibri"/>
        </w:rPr>
      </w:pPr>
      <w:r w:rsidRPr="00195A87">
        <w:rPr>
          <w:rFonts w:ascii="Calibri" w:hAnsi="Calibri" w:cs="Calibri"/>
        </w:rPr>
        <w:t>Ritz-Carlton Hotel Company</w:t>
      </w:r>
    </w:p>
    <w:p w14:paraId="05918A05" w14:textId="77777777" w:rsidR="00195A87" w:rsidRPr="00195A87" w:rsidRDefault="00195A87" w:rsidP="00195A87">
      <w:pPr>
        <w:rPr>
          <w:rFonts w:ascii="Calibri" w:hAnsi="Calibri" w:cs="Calibri"/>
        </w:rPr>
      </w:pPr>
      <w:r w:rsidRPr="00195A87">
        <w:rPr>
          <w:rFonts w:ascii="Calibri" w:hAnsi="Calibri" w:cs="Calibri"/>
        </w:rPr>
        <w:t>Ritz-Carlton Hotel Company is a world-famous company with its strong service culture founded on its HRM and employee engagement practices. At the heart of the Ritz-Carlton style lies the assumption that motivated employees are the major change agents behind outstanding service provision. The organization has a HRM system that focuses on strict selection procedures to ascertain cultural fit and later training programs that incorporate service excellence principles.</w:t>
      </w:r>
    </w:p>
    <w:p w14:paraId="3B688868" w14:textId="77777777" w:rsidR="00195A87" w:rsidRPr="00195A87" w:rsidRDefault="00195A87" w:rsidP="00195A87">
      <w:pPr>
        <w:rPr>
          <w:rFonts w:ascii="Calibri" w:hAnsi="Calibri" w:cs="Calibri"/>
        </w:rPr>
      </w:pPr>
      <w:r w:rsidRPr="00195A87">
        <w:rPr>
          <w:rFonts w:ascii="Calibri" w:hAnsi="Calibri" w:cs="Calibri"/>
        </w:rPr>
        <w:t xml:space="preserve">The most unique engagement practices in Ritz-Carlton </w:t>
      </w:r>
      <w:proofErr w:type="gramStart"/>
      <w:r w:rsidRPr="00195A87">
        <w:rPr>
          <w:rFonts w:ascii="Calibri" w:hAnsi="Calibri" w:cs="Calibri"/>
        </w:rPr>
        <w:t>is</w:t>
      </w:r>
      <w:proofErr w:type="gramEnd"/>
      <w:r w:rsidRPr="00195A87">
        <w:rPr>
          <w:rFonts w:ascii="Calibri" w:hAnsi="Calibri" w:cs="Calibri"/>
        </w:rPr>
        <w:t xml:space="preserve"> its empowerment policy which gives its frontline employees the authority to address guest concerns within specified boundaries. This </w:t>
      </w:r>
      <w:r w:rsidRPr="00195A87">
        <w:rPr>
          <w:rFonts w:ascii="Calibri" w:hAnsi="Calibri" w:cs="Calibri"/>
        </w:rPr>
        <w:lastRenderedPageBreak/>
        <w:t xml:space="preserve">degree of trust builds responsibility and psychological ownership among employees, which are major elements of engagement. The employees feel appreciated and have confidence in their job, which has a positive impact on their commitment and service </w:t>
      </w:r>
      <w:proofErr w:type="spellStart"/>
      <w:r w:rsidRPr="00195A87">
        <w:rPr>
          <w:rFonts w:ascii="Calibri" w:hAnsi="Calibri" w:cs="Calibri"/>
        </w:rPr>
        <w:t>behaviors</w:t>
      </w:r>
      <w:proofErr w:type="spellEnd"/>
      <w:r w:rsidRPr="00195A87">
        <w:rPr>
          <w:rFonts w:ascii="Calibri" w:hAnsi="Calibri" w:cs="Calibri"/>
        </w:rPr>
        <w:t>.</w:t>
      </w:r>
    </w:p>
    <w:p w14:paraId="3445C62A" w14:textId="77777777" w:rsidR="00195A87" w:rsidRPr="00195A87" w:rsidRDefault="00195A87" w:rsidP="00195A87">
      <w:pPr>
        <w:rPr>
          <w:rFonts w:ascii="Calibri" w:hAnsi="Calibri" w:cs="Calibri"/>
        </w:rPr>
      </w:pPr>
      <w:r w:rsidRPr="00195A87">
        <w:rPr>
          <w:rFonts w:ascii="Calibri" w:hAnsi="Calibri" w:cs="Calibri"/>
        </w:rPr>
        <w:t>Ritz-Carlton also highly emphasizes recognition and rewards. The line-ups are daily team briefings, which help to reinforce organizational values and applaud employee contributions. These habits create a sense of purpose and belonging among employees. The quality of services is closely linked to performance management systems in Ritz-Carlton, and so the work of staff members is indirectly connected to the organizational goals.</w:t>
      </w:r>
    </w:p>
    <w:p w14:paraId="73CFFE90" w14:textId="77777777" w:rsidR="00195A87" w:rsidRPr="00195A87" w:rsidRDefault="00195A87" w:rsidP="00195A87">
      <w:pPr>
        <w:rPr>
          <w:rFonts w:ascii="Calibri" w:hAnsi="Calibri" w:cs="Calibri"/>
        </w:rPr>
      </w:pPr>
      <w:r w:rsidRPr="00195A87">
        <w:rPr>
          <w:rFonts w:ascii="Calibri" w:hAnsi="Calibri" w:cs="Calibri"/>
        </w:rPr>
        <w:t>Another component of Ritz-Carlton HRM strategy is leadership development. Managers receive training to become role models, which strengthens engagement by coaching, supporting, and guiding by example. A health concern is also a priority at the organization, which fosters work-life balance programs and healthy working relationships. Consequently, employee engagement outcomes are consistently very high at Ritz-Carlton, which is reflected in the high levels of guest satisfaction and brand loyalty. The presented case demonstrates the importance of engagement maintenance in high-pressure hospitality settings through empowerment-based HRM practices.</w:t>
      </w:r>
    </w:p>
    <w:p w14:paraId="0D65DB31" w14:textId="77777777" w:rsidR="00195A87" w:rsidRPr="00195A87" w:rsidRDefault="00195A87" w:rsidP="00195A87">
      <w:pPr>
        <w:rPr>
          <w:rFonts w:ascii="Calibri" w:hAnsi="Calibri" w:cs="Calibri"/>
        </w:rPr>
      </w:pPr>
    </w:p>
    <w:p w14:paraId="1796AA77" w14:textId="77777777" w:rsidR="00195A87" w:rsidRPr="00195A87" w:rsidRDefault="00195A87" w:rsidP="00195A87">
      <w:pPr>
        <w:rPr>
          <w:rFonts w:ascii="Calibri" w:hAnsi="Calibri" w:cs="Calibri"/>
        </w:rPr>
      </w:pPr>
      <w:r w:rsidRPr="00195A87">
        <w:rPr>
          <w:rFonts w:ascii="Calibri" w:hAnsi="Calibri" w:cs="Calibri"/>
        </w:rPr>
        <w:t>Marriott International</w:t>
      </w:r>
    </w:p>
    <w:p w14:paraId="0A164B89" w14:textId="77777777" w:rsidR="00195A87" w:rsidRPr="00195A87" w:rsidRDefault="00195A87" w:rsidP="00195A87">
      <w:pPr>
        <w:rPr>
          <w:rFonts w:ascii="Calibri" w:hAnsi="Calibri" w:cs="Calibri"/>
        </w:rPr>
      </w:pPr>
      <w:r w:rsidRPr="00195A87">
        <w:rPr>
          <w:rFonts w:ascii="Calibri" w:hAnsi="Calibri" w:cs="Calibri"/>
        </w:rPr>
        <w:t>Marriott International is one of the most detailed illustrations of strategic HRM integration in the global hospitality market. The long-standing philosophy of associates first reinforces the notion that the company believes that employee engagement can help it to produce operational excellence and guest satisfaction. The HRM practices at Marriott have been designed to facilitate engagement with a diverse and global workforce.</w:t>
      </w:r>
    </w:p>
    <w:p w14:paraId="145C7202" w14:textId="77777777" w:rsidR="00195A87" w:rsidRPr="00195A87" w:rsidRDefault="00195A87" w:rsidP="00195A87">
      <w:pPr>
        <w:rPr>
          <w:rFonts w:ascii="Calibri" w:hAnsi="Calibri" w:cs="Calibri"/>
        </w:rPr>
      </w:pPr>
      <w:r w:rsidRPr="00195A87">
        <w:rPr>
          <w:rFonts w:ascii="Calibri" w:hAnsi="Calibri" w:cs="Calibri"/>
        </w:rPr>
        <w:t xml:space="preserve">The engagement strategy of Marriott is built on training and development. The organization has organized learning programs, leadership development courses, and online learning platforms that facilitate ongoing skill improvement. Not only do these initiatives enhance competence of </w:t>
      </w:r>
      <w:proofErr w:type="gramStart"/>
      <w:r w:rsidRPr="00195A87">
        <w:rPr>
          <w:rFonts w:ascii="Calibri" w:hAnsi="Calibri" w:cs="Calibri"/>
        </w:rPr>
        <w:t>employees, but</w:t>
      </w:r>
      <w:proofErr w:type="gramEnd"/>
      <w:r w:rsidRPr="00195A87">
        <w:rPr>
          <w:rFonts w:ascii="Calibri" w:hAnsi="Calibri" w:cs="Calibri"/>
        </w:rPr>
        <w:t xml:space="preserve"> also provide a long-term investment in careers of employees. The career development framework of Marriott allows internal mobility among brands and regions, which greatly contributes to retention and engagement.</w:t>
      </w:r>
    </w:p>
    <w:p w14:paraId="398E62C9" w14:textId="77777777" w:rsidR="00195A87" w:rsidRPr="00195A87" w:rsidRDefault="00195A87" w:rsidP="00195A87">
      <w:pPr>
        <w:rPr>
          <w:rFonts w:ascii="Calibri" w:hAnsi="Calibri" w:cs="Calibri"/>
        </w:rPr>
      </w:pPr>
      <w:r w:rsidRPr="00195A87">
        <w:rPr>
          <w:rFonts w:ascii="Calibri" w:hAnsi="Calibri" w:cs="Calibri"/>
        </w:rPr>
        <w:t>The performance management at Marriott can be described as transparent goal setting, frequent feedback, and recognition programs that incentivize individual performance as well as team performance. Service improvement ideas are welcomed among employees, which encourage participation and innovation. This participative method enhances the emotional attachment of employees within the organization.</w:t>
      </w:r>
    </w:p>
    <w:p w14:paraId="26708B5E" w14:textId="77777777" w:rsidR="00195A87" w:rsidRPr="00195A87" w:rsidRDefault="00195A87" w:rsidP="00195A87">
      <w:pPr>
        <w:rPr>
          <w:rFonts w:ascii="Calibri" w:hAnsi="Calibri" w:cs="Calibri"/>
        </w:rPr>
      </w:pPr>
      <w:r w:rsidRPr="00195A87">
        <w:rPr>
          <w:rFonts w:ascii="Calibri" w:hAnsi="Calibri" w:cs="Calibri"/>
        </w:rPr>
        <w:lastRenderedPageBreak/>
        <w:t xml:space="preserve">The HRM strategy of Marriott also </w:t>
      </w:r>
      <w:proofErr w:type="spellStart"/>
      <w:r w:rsidRPr="00195A87">
        <w:rPr>
          <w:rFonts w:ascii="Calibri" w:hAnsi="Calibri" w:cs="Calibri"/>
        </w:rPr>
        <w:t>centers</w:t>
      </w:r>
      <w:proofErr w:type="spellEnd"/>
      <w:r w:rsidRPr="00195A87">
        <w:rPr>
          <w:rFonts w:ascii="Calibri" w:hAnsi="Calibri" w:cs="Calibri"/>
        </w:rPr>
        <w:t xml:space="preserve"> on employee </w:t>
      </w:r>
      <w:proofErr w:type="spellStart"/>
      <w:r w:rsidRPr="00195A87">
        <w:rPr>
          <w:rFonts w:ascii="Calibri" w:hAnsi="Calibri" w:cs="Calibri"/>
        </w:rPr>
        <w:t>well being</w:t>
      </w:r>
      <w:proofErr w:type="spellEnd"/>
      <w:r w:rsidRPr="00195A87">
        <w:rPr>
          <w:rFonts w:ascii="Calibri" w:hAnsi="Calibri" w:cs="Calibri"/>
        </w:rPr>
        <w:t>. The company has put in place wellness programs, diversity and inclusion programs and flexible work arrangements to support the different needs of the workforce. These programs ensure burnout can be reduced and encourage psychological safety, which is essential in maintaining engagement in stressful hospitality jobs.</w:t>
      </w:r>
    </w:p>
    <w:p w14:paraId="469F6087" w14:textId="77777777" w:rsidR="00195A87" w:rsidRPr="00195A87" w:rsidRDefault="00195A87" w:rsidP="00195A87">
      <w:pPr>
        <w:rPr>
          <w:rFonts w:ascii="Calibri" w:hAnsi="Calibri" w:cs="Calibri"/>
        </w:rPr>
      </w:pPr>
      <w:r w:rsidRPr="00195A87">
        <w:rPr>
          <w:rFonts w:ascii="Calibri" w:hAnsi="Calibri" w:cs="Calibri"/>
        </w:rPr>
        <w:t>There is a heavy focus on leadership development where managers are trained to embrace inclusive and supportive leadership styles. The leaders of Marriott are supposed to be the champions of engagement in that they should ensure they take positive working environments and pay proactive attention to the concerns of the employees. These HRM practices have proven effective as evidenced by high employer brand, high engagement, and stability in service quality throughout its world portfolio. The case illustrates the ability of large-scale hospitality organizations to remain engaged thanks to integrated and values-based HRM systems.</w:t>
      </w:r>
    </w:p>
    <w:p w14:paraId="6B46EA8A" w14:textId="77777777" w:rsidR="00195A87" w:rsidRPr="00195A87" w:rsidRDefault="00195A87" w:rsidP="00195A87">
      <w:pPr>
        <w:rPr>
          <w:rFonts w:ascii="Calibri" w:hAnsi="Calibri" w:cs="Calibri"/>
        </w:rPr>
      </w:pPr>
    </w:p>
    <w:p w14:paraId="1AA0A59F" w14:textId="77777777" w:rsidR="00195A87" w:rsidRPr="00195A87" w:rsidRDefault="00195A87" w:rsidP="00195A87">
      <w:pPr>
        <w:rPr>
          <w:rFonts w:ascii="Calibri" w:hAnsi="Calibri" w:cs="Calibri"/>
        </w:rPr>
      </w:pPr>
      <w:r w:rsidRPr="00195A87">
        <w:rPr>
          <w:rFonts w:ascii="Calibri" w:hAnsi="Calibri" w:cs="Calibri"/>
        </w:rPr>
        <w:t>Comparative Insights on the Case Studies.</w:t>
      </w:r>
    </w:p>
    <w:p w14:paraId="072CECD7" w14:textId="1FFE9769" w:rsidR="00195A87" w:rsidRPr="00195A87" w:rsidRDefault="00195A87" w:rsidP="00195A87">
      <w:pPr>
        <w:rPr>
          <w:rFonts w:ascii="Calibri" w:hAnsi="Calibri" w:cs="Calibri"/>
        </w:rPr>
      </w:pPr>
      <w:r w:rsidRPr="00195A87">
        <w:rPr>
          <w:rFonts w:ascii="Calibri" w:hAnsi="Calibri" w:cs="Calibri"/>
        </w:rPr>
        <w:t xml:space="preserve">In the three case studies, </w:t>
      </w:r>
      <w:proofErr w:type="gramStart"/>
      <w:r w:rsidRPr="00195A87">
        <w:rPr>
          <w:rFonts w:ascii="Calibri" w:hAnsi="Calibri" w:cs="Calibri"/>
        </w:rPr>
        <w:t>a number of</w:t>
      </w:r>
      <w:proofErr w:type="gramEnd"/>
      <w:r w:rsidRPr="00195A87">
        <w:rPr>
          <w:rFonts w:ascii="Calibri" w:hAnsi="Calibri" w:cs="Calibri"/>
        </w:rPr>
        <w:t xml:space="preserve"> themes appear. Engagement is built on people-centric HRM practices, supportive leadership, and employee empowerment, all of which are values that all organizations prioritize. Training, recognition and career development repeatedly emerge as important motivating and retaining factors among the employees. Additionally, the alignment of HRM strategies with organizational values and service goals helps these hospitality executives to convert employee engagement into high quality guest experiences and sustainable competitive advantage.</w:t>
      </w:r>
    </w:p>
    <w:p w14:paraId="6C551048" w14:textId="77777777" w:rsidR="00195A87" w:rsidRPr="00195A87" w:rsidRDefault="00195A87" w:rsidP="00195A87">
      <w:pPr>
        <w:rPr>
          <w:rFonts w:ascii="Calibri" w:hAnsi="Calibri" w:cs="Calibri"/>
        </w:rPr>
      </w:pPr>
    </w:p>
    <w:p w14:paraId="12368E32" w14:textId="3932D0F0" w:rsidR="00864FB4" w:rsidRPr="00195A87" w:rsidRDefault="00864FB4" w:rsidP="004608B7">
      <w:pPr>
        <w:pStyle w:val="Heading1"/>
        <w:spacing w:line="480" w:lineRule="auto"/>
        <w:rPr>
          <w:rFonts w:ascii="Calibri" w:hAnsi="Calibri" w:cs="Calibri"/>
          <w:b/>
          <w:bCs/>
          <w:sz w:val="24"/>
          <w:szCs w:val="24"/>
        </w:rPr>
      </w:pPr>
      <w:r w:rsidRPr="00195A87">
        <w:rPr>
          <w:rFonts w:ascii="Calibri" w:hAnsi="Calibri" w:cs="Calibri"/>
          <w:b/>
          <w:bCs/>
          <w:sz w:val="24"/>
          <w:szCs w:val="24"/>
        </w:rPr>
        <w:lastRenderedPageBreak/>
        <w:t>Discussion</w:t>
      </w:r>
      <w:bookmarkEnd w:id="5"/>
      <w:r w:rsidRPr="00195A87">
        <w:rPr>
          <w:rFonts w:ascii="Calibri" w:hAnsi="Calibri" w:cs="Calibri"/>
          <w:b/>
          <w:bCs/>
          <w:sz w:val="24"/>
          <w:szCs w:val="24"/>
        </w:rPr>
        <w:t xml:space="preserve"> </w:t>
      </w:r>
    </w:p>
    <w:p w14:paraId="2B59FB31" w14:textId="77777777" w:rsidR="00012C33" w:rsidRPr="00012C33" w:rsidRDefault="00012C33" w:rsidP="00012C33">
      <w:pPr>
        <w:pStyle w:val="Heading1"/>
        <w:spacing w:line="480" w:lineRule="auto"/>
        <w:rPr>
          <w:rFonts w:ascii="Calibri" w:eastAsiaTheme="minorHAnsi" w:hAnsi="Calibri" w:cs="Calibri"/>
          <w:color w:val="000000" w:themeColor="text1"/>
          <w:sz w:val="24"/>
          <w:szCs w:val="24"/>
        </w:rPr>
      </w:pPr>
      <w:bookmarkStart w:id="6" w:name="_Toc220957856"/>
      <w:r w:rsidRPr="00012C33">
        <w:rPr>
          <w:rFonts w:ascii="Calibri" w:eastAsiaTheme="minorHAnsi" w:hAnsi="Calibri" w:cs="Calibri"/>
          <w:color w:val="000000" w:themeColor="text1"/>
          <w:sz w:val="24"/>
          <w:szCs w:val="24"/>
        </w:rPr>
        <w:t>This discussion is aimed at critically interpreting the research findings against background literature and research objectives. This analysis has shown that Human Resource Management (HRM) practices are central and strategic in determining employee engagement in the hospitality industry. In line with previous studies, the results indicate that employee engagement is not a solitary psychological condition but an effect of properly structured HRM systems, enabling leadership, and people-focused organizational cultures.</w:t>
      </w:r>
    </w:p>
    <w:p w14:paraId="36064BBC" w14:textId="77777777" w:rsidR="00012C33" w:rsidRPr="00012C33" w:rsidRDefault="00012C33" w:rsidP="00012C33">
      <w:pPr>
        <w:pStyle w:val="Heading1"/>
        <w:spacing w:line="480" w:lineRule="auto"/>
        <w:rPr>
          <w:rFonts w:ascii="Calibri" w:eastAsiaTheme="minorHAnsi" w:hAnsi="Calibri" w:cs="Calibri"/>
          <w:color w:val="000000" w:themeColor="text1"/>
          <w:sz w:val="24"/>
          <w:szCs w:val="24"/>
        </w:rPr>
      </w:pPr>
    </w:p>
    <w:p w14:paraId="2A944955" w14:textId="77777777" w:rsidR="00012C33" w:rsidRPr="00012C33" w:rsidRDefault="00012C33" w:rsidP="00012C33">
      <w:pPr>
        <w:pStyle w:val="Heading1"/>
        <w:spacing w:line="480" w:lineRule="auto"/>
        <w:rPr>
          <w:rFonts w:ascii="Calibri" w:eastAsiaTheme="minorHAnsi" w:hAnsi="Calibri" w:cs="Calibri"/>
          <w:color w:val="000000" w:themeColor="text1"/>
          <w:sz w:val="24"/>
          <w:szCs w:val="24"/>
        </w:rPr>
      </w:pPr>
      <w:r w:rsidRPr="00012C33">
        <w:rPr>
          <w:rFonts w:ascii="Calibri" w:eastAsiaTheme="minorHAnsi" w:hAnsi="Calibri" w:cs="Calibri"/>
          <w:color w:val="000000" w:themeColor="text1"/>
          <w:sz w:val="24"/>
          <w:szCs w:val="24"/>
        </w:rPr>
        <w:t xml:space="preserve">Among the most remarkable conclusions made regarding the findings is the powerful impact of training and development on employee engagement. The literature review highlighted that continuing learning improves the employee skills, confidence, and service competency, especially in customer-facing hospitality jobs. This is supported by the findings which indicate that employee commitment and discretionary effort are increased in hospitality firms that invest in structured training programs. Theoretically, this validates the Ability component of the AMO framework where skills development directly improves the ability of employees to realize meaningful work engagement. Further, training is a social exchange, an indicator of organizational support, and it elicits a positive </w:t>
      </w:r>
      <w:proofErr w:type="spellStart"/>
      <w:r w:rsidRPr="00012C33">
        <w:rPr>
          <w:rFonts w:ascii="Calibri" w:eastAsiaTheme="minorHAnsi" w:hAnsi="Calibri" w:cs="Calibri"/>
          <w:color w:val="000000" w:themeColor="text1"/>
          <w:sz w:val="24"/>
          <w:szCs w:val="24"/>
        </w:rPr>
        <w:t>behavior</w:t>
      </w:r>
      <w:proofErr w:type="spellEnd"/>
      <w:r w:rsidRPr="00012C33">
        <w:rPr>
          <w:rFonts w:ascii="Calibri" w:eastAsiaTheme="minorHAnsi" w:hAnsi="Calibri" w:cs="Calibri"/>
          <w:color w:val="000000" w:themeColor="text1"/>
          <w:sz w:val="24"/>
          <w:szCs w:val="24"/>
        </w:rPr>
        <w:t xml:space="preserve"> in response, thereby one-to-one.</w:t>
      </w:r>
    </w:p>
    <w:p w14:paraId="15CE1A26" w14:textId="77777777" w:rsidR="00012C33" w:rsidRPr="00012C33" w:rsidRDefault="00012C33" w:rsidP="00012C33">
      <w:pPr>
        <w:pStyle w:val="Heading1"/>
        <w:spacing w:line="480" w:lineRule="auto"/>
        <w:rPr>
          <w:rFonts w:ascii="Calibri" w:eastAsiaTheme="minorHAnsi" w:hAnsi="Calibri" w:cs="Calibri"/>
          <w:color w:val="000000" w:themeColor="text1"/>
          <w:sz w:val="24"/>
          <w:szCs w:val="24"/>
        </w:rPr>
      </w:pPr>
    </w:p>
    <w:p w14:paraId="1ECDD63C" w14:textId="77777777" w:rsidR="00012C33" w:rsidRPr="00012C33" w:rsidRDefault="00012C33" w:rsidP="00012C33">
      <w:pPr>
        <w:pStyle w:val="Heading1"/>
        <w:spacing w:line="480" w:lineRule="auto"/>
        <w:rPr>
          <w:rFonts w:ascii="Calibri" w:eastAsiaTheme="minorHAnsi" w:hAnsi="Calibri" w:cs="Calibri"/>
          <w:color w:val="000000" w:themeColor="text1"/>
          <w:sz w:val="24"/>
          <w:szCs w:val="24"/>
        </w:rPr>
      </w:pPr>
      <w:r w:rsidRPr="00012C33">
        <w:rPr>
          <w:rFonts w:ascii="Calibri" w:eastAsiaTheme="minorHAnsi" w:hAnsi="Calibri" w:cs="Calibri"/>
          <w:color w:val="000000" w:themeColor="text1"/>
          <w:sz w:val="24"/>
          <w:szCs w:val="24"/>
        </w:rPr>
        <w:lastRenderedPageBreak/>
        <w:t>Systems of performance management also prove a decisive factor of engagement. The results indicate that clear and developmental performance appraisal practices improve trust, motivation, and organizational goal congruency. This is in line with the Social Exchange Theory that states that employees are more engaged when they have perceptions of fairness and recognition in organizational practices. Hospitality settings where performance is directly linked to service quality, fair appraisal systems increase role clarity and decrease role ambiguity, which in turn improves engagement. On the other hand, inadequately executed appraisal systems might destroy trust and demotivate, which underlines the necessity of uniformity and openness in HRM design.</w:t>
      </w:r>
    </w:p>
    <w:p w14:paraId="59A078A3" w14:textId="77777777" w:rsidR="00012C33" w:rsidRPr="00012C33" w:rsidRDefault="00012C33" w:rsidP="00012C33">
      <w:pPr>
        <w:pStyle w:val="Heading1"/>
        <w:spacing w:line="480" w:lineRule="auto"/>
        <w:rPr>
          <w:rFonts w:ascii="Calibri" w:eastAsiaTheme="minorHAnsi" w:hAnsi="Calibri" w:cs="Calibri"/>
          <w:color w:val="000000" w:themeColor="text1"/>
          <w:sz w:val="24"/>
          <w:szCs w:val="24"/>
        </w:rPr>
      </w:pPr>
    </w:p>
    <w:p w14:paraId="7C40F1EF" w14:textId="77777777" w:rsidR="00012C33" w:rsidRPr="00012C33" w:rsidRDefault="00012C33" w:rsidP="00012C33">
      <w:pPr>
        <w:pStyle w:val="Heading1"/>
        <w:spacing w:line="480" w:lineRule="auto"/>
        <w:rPr>
          <w:rFonts w:ascii="Calibri" w:eastAsiaTheme="minorHAnsi" w:hAnsi="Calibri" w:cs="Calibri"/>
          <w:color w:val="000000" w:themeColor="text1"/>
          <w:sz w:val="24"/>
          <w:szCs w:val="24"/>
        </w:rPr>
      </w:pPr>
      <w:r w:rsidRPr="00012C33">
        <w:rPr>
          <w:rFonts w:ascii="Calibri" w:eastAsiaTheme="minorHAnsi" w:hAnsi="Calibri" w:cs="Calibri"/>
          <w:color w:val="000000" w:themeColor="text1"/>
          <w:sz w:val="24"/>
          <w:szCs w:val="24"/>
        </w:rPr>
        <w:t>Another important theme in the discussion is career development opportunities. High employee turnover has been a long-standing problem in the hospitality industry, commonly due to lack of career advancement. The results prove that companies that provide employees with clear career paths, internal mobility, and leadership development opportunities experience increased engagement and retention. The current research backs up on a body of literature that recognizes career development as an activity making long engagement, and not a motivating instrument in the short term. When employees believe that they can grow within the organization in the future, they tend to devote more emotional and cognitive resources to their job, which leads to better organizational commitment and low turnover intentions.</w:t>
      </w:r>
    </w:p>
    <w:p w14:paraId="628E4D2A" w14:textId="77777777" w:rsidR="00012C33" w:rsidRPr="00012C33" w:rsidRDefault="00012C33" w:rsidP="00012C33">
      <w:pPr>
        <w:pStyle w:val="Heading1"/>
        <w:spacing w:line="480" w:lineRule="auto"/>
        <w:rPr>
          <w:rFonts w:ascii="Calibri" w:eastAsiaTheme="minorHAnsi" w:hAnsi="Calibri" w:cs="Calibri"/>
          <w:color w:val="000000" w:themeColor="text1"/>
          <w:sz w:val="24"/>
          <w:szCs w:val="24"/>
        </w:rPr>
      </w:pPr>
    </w:p>
    <w:p w14:paraId="08334177" w14:textId="77777777" w:rsidR="00012C33" w:rsidRPr="00012C33" w:rsidRDefault="00012C33" w:rsidP="00012C33">
      <w:pPr>
        <w:pStyle w:val="Heading1"/>
        <w:spacing w:line="480" w:lineRule="auto"/>
        <w:rPr>
          <w:rFonts w:ascii="Calibri" w:eastAsiaTheme="minorHAnsi" w:hAnsi="Calibri" w:cs="Calibri"/>
          <w:color w:val="000000" w:themeColor="text1"/>
          <w:sz w:val="24"/>
          <w:szCs w:val="24"/>
        </w:rPr>
      </w:pPr>
      <w:r w:rsidRPr="00012C33">
        <w:rPr>
          <w:rFonts w:ascii="Calibri" w:eastAsiaTheme="minorHAnsi" w:hAnsi="Calibri" w:cs="Calibri"/>
          <w:color w:val="000000" w:themeColor="text1"/>
          <w:sz w:val="24"/>
          <w:szCs w:val="24"/>
        </w:rPr>
        <w:lastRenderedPageBreak/>
        <w:t xml:space="preserve">Leadership style comes out as an influential contextual factor that influences efficacy of HRM practices. The results show a consistent pattern where transformational, servant, and supportive leadership styles increase employee engagement through the establishment of trust, empowerment, and psychological safety. This is consistent with previous studies in the field of hospitality that have stressed that leadership </w:t>
      </w:r>
      <w:proofErr w:type="spellStart"/>
      <w:r w:rsidRPr="00012C33">
        <w:rPr>
          <w:rFonts w:ascii="Calibri" w:eastAsiaTheme="minorHAnsi" w:hAnsi="Calibri" w:cs="Calibri"/>
          <w:color w:val="000000" w:themeColor="text1"/>
          <w:sz w:val="24"/>
          <w:szCs w:val="24"/>
        </w:rPr>
        <w:t>behavior</w:t>
      </w:r>
      <w:proofErr w:type="spellEnd"/>
      <w:r w:rsidRPr="00012C33">
        <w:rPr>
          <w:rFonts w:ascii="Calibri" w:eastAsiaTheme="minorHAnsi" w:hAnsi="Calibri" w:cs="Calibri"/>
          <w:color w:val="000000" w:themeColor="text1"/>
          <w:sz w:val="24"/>
          <w:szCs w:val="24"/>
        </w:rPr>
        <w:t xml:space="preserve"> can strengthen or dilute the effect of HRM systems. Leaders who are emphatic and offer personalized attention and promote involvement foster an environment in which employees feel appreciated and driven. Authoritarian leadership styles, in contrast, are linked to emotional exhaustion and disengagement, especially in high-stress hospitality environments. These findings underscore the need to incorporate leadership development in HRM strategies as opposed to considering leadership as a distinct organizational activity.</w:t>
      </w:r>
    </w:p>
    <w:p w14:paraId="316339B7" w14:textId="77777777" w:rsidR="00012C33" w:rsidRPr="00012C33" w:rsidRDefault="00012C33" w:rsidP="00012C33">
      <w:pPr>
        <w:pStyle w:val="Heading1"/>
        <w:spacing w:line="480" w:lineRule="auto"/>
        <w:rPr>
          <w:rFonts w:ascii="Calibri" w:eastAsiaTheme="minorHAnsi" w:hAnsi="Calibri" w:cs="Calibri"/>
          <w:color w:val="000000" w:themeColor="text1"/>
          <w:sz w:val="24"/>
          <w:szCs w:val="24"/>
        </w:rPr>
      </w:pPr>
    </w:p>
    <w:p w14:paraId="46A9DFE5" w14:textId="77777777" w:rsidR="00012C33" w:rsidRPr="00012C33" w:rsidRDefault="00012C33" w:rsidP="00012C33">
      <w:pPr>
        <w:pStyle w:val="Heading1"/>
        <w:spacing w:line="480" w:lineRule="auto"/>
        <w:rPr>
          <w:rFonts w:ascii="Calibri" w:eastAsiaTheme="minorHAnsi" w:hAnsi="Calibri" w:cs="Calibri"/>
          <w:color w:val="000000" w:themeColor="text1"/>
          <w:sz w:val="24"/>
          <w:szCs w:val="24"/>
        </w:rPr>
      </w:pPr>
      <w:r w:rsidRPr="00012C33">
        <w:rPr>
          <w:rFonts w:ascii="Calibri" w:eastAsiaTheme="minorHAnsi" w:hAnsi="Calibri" w:cs="Calibri"/>
          <w:color w:val="000000" w:themeColor="text1"/>
          <w:sz w:val="24"/>
          <w:szCs w:val="24"/>
        </w:rPr>
        <w:t xml:space="preserve">Another critical dimension discussed in the discussion is employee well-being. The results affirm that hospitality employees encounter high job demands, which are reflected in the long working hours, emotional </w:t>
      </w:r>
      <w:proofErr w:type="spellStart"/>
      <w:r w:rsidRPr="00012C33">
        <w:rPr>
          <w:rFonts w:ascii="Calibri" w:eastAsiaTheme="minorHAnsi" w:hAnsi="Calibri" w:cs="Calibri"/>
          <w:color w:val="000000" w:themeColor="text1"/>
          <w:sz w:val="24"/>
          <w:szCs w:val="24"/>
        </w:rPr>
        <w:t>labor</w:t>
      </w:r>
      <w:proofErr w:type="spellEnd"/>
      <w:r w:rsidRPr="00012C33">
        <w:rPr>
          <w:rFonts w:ascii="Calibri" w:eastAsiaTheme="minorHAnsi" w:hAnsi="Calibri" w:cs="Calibri"/>
          <w:color w:val="000000" w:themeColor="text1"/>
          <w:sz w:val="24"/>
          <w:szCs w:val="24"/>
        </w:rPr>
        <w:t>, and irregular shifts. These demands have adverse impacts on well-being and engagement unless there are proper HRM interventions. Nevertheless, the level of engagement is greater in organizations where employee well-being is improved with flexible scheduling, mental health care, and non-discriminatory workplace practices. According to the Job Demands Resources model, such well-being efforts serve as job resources that offset the adverse impacts of job demands. This supports the thesis that employee welfare is not just a welfare issue but a strategic variable affecting engagement and service quality.</w:t>
      </w:r>
    </w:p>
    <w:p w14:paraId="7DFF39CA" w14:textId="77777777" w:rsidR="00012C33" w:rsidRPr="00012C33" w:rsidRDefault="00012C33" w:rsidP="00012C33">
      <w:pPr>
        <w:pStyle w:val="Heading1"/>
        <w:spacing w:line="480" w:lineRule="auto"/>
        <w:rPr>
          <w:rFonts w:ascii="Calibri" w:eastAsiaTheme="minorHAnsi" w:hAnsi="Calibri" w:cs="Calibri"/>
          <w:color w:val="000000" w:themeColor="text1"/>
          <w:sz w:val="24"/>
          <w:szCs w:val="24"/>
        </w:rPr>
      </w:pPr>
    </w:p>
    <w:p w14:paraId="43590646" w14:textId="77777777" w:rsidR="00012C33" w:rsidRPr="00012C33" w:rsidRDefault="00012C33" w:rsidP="00012C33">
      <w:pPr>
        <w:pStyle w:val="Heading1"/>
        <w:spacing w:line="480" w:lineRule="auto"/>
        <w:rPr>
          <w:rFonts w:ascii="Calibri" w:eastAsiaTheme="minorHAnsi" w:hAnsi="Calibri" w:cs="Calibri"/>
          <w:color w:val="000000" w:themeColor="text1"/>
          <w:sz w:val="24"/>
          <w:szCs w:val="24"/>
        </w:rPr>
      </w:pPr>
      <w:r w:rsidRPr="00012C33">
        <w:rPr>
          <w:rFonts w:ascii="Calibri" w:eastAsiaTheme="minorHAnsi" w:hAnsi="Calibri" w:cs="Calibri"/>
          <w:color w:val="000000" w:themeColor="text1"/>
          <w:sz w:val="24"/>
          <w:szCs w:val="24"/>
        </w:rPr>
        <w:t>The case studies also reinforce the discussion by demonstrating the application of theoretical concepts in practical hospitality organizations. Four seasons, Ritz-Carlton and Marriott show that engagement-based HRM practices are sustainable and scalable when they are aligned with organizational values and the philosophy of leadership. The fundamental lesson of these cases is that employee engagement is ingrained in organizational culture, as opposed to being introduced as a solitary HR program. The presence of empowerment, recognition, and employee voice are common traits throughout the case organizations, which supports the notion that engagement flourishes in the setting where the workers are trusted and respected.</w:t>
      </w:r>
    </w:p>
    <w:p w14:paraId="49528A10" w14:textId="77777777" w:rsidR="00012C33" w:rsidRPr="00012C33" w:rsidRDefault="00012C33" w:rsidP="00012C33">
      <w:pPr>
        <w:pStyle w:val="Heading1"/>
        <w:spacing w:line="480" w:lineRule="auto"/>
        <w:rPr>
          <w:rFonts w:ascii="Calibri" w:eastAsiaTheme="minorHAnsi" w:hAnsi="Calibri" w:cs="Calibri"/>
          <w:color w:val="000000" w:themeColor="text1"/>
          <w:sz w:val="24"/>
          <w:szCs w:val="24"/>
        </w:rPr>
      </w:pPr>
    </w:p>
    <w:p w14:paraId="7E877175" w14:textId="77777777" w:rsidR="00012C33" w:rsidRPr="00012C33" w:rsidRDefault="00012C33" w:rsidP="00012C33">
      <w:pPr>
        <w:pStyle w:val="Heading1"/>
        <w:spacing w:line="480" w:lineRule="auto"/>
        <w:rPr>
          <w:rFonts w:ascii="Calibri" w:eastAsiaTheme="minorHAnsi" w:hAnsi="Calibri" w:cs="Calibri"/>
          <w:color w:val="000000" w:themeColor="text1"/>
          <w:sz w:val="24"/>
          <w:szCs w:val="24"/>
        </w:rPr>
      </w:pPr>
      <w:r w:rsidRPr="00012C33">
        <w:rPr>
          <w:rFonts w:ascii="Calibri" w:eastAsiaTheme="minorHAnsi" w:hAnsi="Calibri" w:cs="Calibri"/>
          <w:color w:val="000000" w:themeColor="text1"/>
          <w:sz w:val="24"/>
          <w:szCs w:val="24"/>
        </w:rPr>
        <w:t>Notably, as discussed, the engagement of employees is a mediating variable between organizational performance and HRM practices. Motivated workers will help provide high-quality service, guest satisfaction, and brand loyalty. This result supports the strategic importance of HRM in hospitality and makes the engagement of employees a competitive advantage. Organizations investing in engagement-based HRM systems have a stronger chance of attaining sustainable performance results within an industry where the service differentiation is critical.</w:t>
      </w:r>
    </w:p>
    <w:p w14:paraId="2D189A0E" w14:textId="77777777" w:rsidR="00012C33" w:rsidRPr="00012C33" w:rsidRDefault="00012C33" w:rsidP="00012C33">
      <w:pPr>
        <w:pStyle w:val="Heading1"/>
        <w:spacing w:line="480" w:lineRule="auto"/>
        <w:rPr>
          <w:rFonts w:ascii="Calibri" w:eastAsiaTheme="minorHAnsi" w:hAnsi="Calibri" w:cs="Calibri"/>
          <w:color w:val="000000" w:themeColor="text1"/>
          <w:sz w:val="24"/>
          <w:szCs w:val="24"/>
        </w:rPr>
      </w:pPr>
    </w:p>
    <w:p w14:paraId="14F4CE2B" w14:textId="77777777" w:rsidR="00012C33" w:rsidRDefault="00012C33" w:rsidP="00012C33">
      <w:pPr>
        <w:pStyle w:val="Heading1"/>
        <w:spacing w:line="480" w:lineRule="auto"/>
        <w:rPr>
          <w:rFonts w:ascii="Calibri" w:eastAsiaTheme="minorHAnsi" w:hAnsi="Calibri" w:cs="Calibri"/>
          <w:color w:val="000000" w:themeColor="text1"/>
          <w:sz w:val="24"/>
          <w:szCs w:val="24"/>
        </w:rPr>
      </w:pPr>
      <w:r w:rsidRPr="00012C33">
        <w:rPr>
          <w:rFonts w:ascii="Calibri" w:eastAsiaTheme="minorHAnsi" w:hAnsi="Calibri" w:cs="Calibri"/>
          <w:color w:val="000000" w:themeColor="text1"/>
          <w:sz w:val="24"/>
          <w:szCs w:val="24"/>
        </w:rPr>
        <w:lastRenderedPageBreak/>
        <w:t>Regardless of these advantages, the discussion also considers limitations in the available body of research. A significant portion of the hospitality engagement literature is based on cross-sectional designs, which restricts causal inference. Also, the changing nature of work, such as digital HRM systems and post-pandemic workforce expectations, is under-researched. These knowledge gaps imply that future studies can explore the impacts of technological innovation and evolving employee values on engagement dynamics in hospitality settings.</w:t>
      </w:r>
    </w:p>
    <w:p w14:paraId="2B335B3B" w14:textId="77777777" w:rsidR="00012C33" w:rsidRDefault="00012C33" w:rsidP="00012C33">
      <w:pPr>
        <w:pStyle w:val="Heading1"/>
        <w:spacing w:line="480" w:lineRule="auto"/>
        <w:rPr>
          <w:rFonts w:ascii="Calibri" w:eastAsiaTheme="minorHAnsi" w:hAnsi="Calibri" w:cs="Calibri"/>
          <w:color w:val="000000" w:themeColor="text1"/>
          <w:sz w:val="24"/>
          <w:szCs w:val="24"/>
        </w:rPr>
      </w:pPr>
    </w:p>
    <w:p w14:paraId="6CAEFBD1" w14:textId="0E95FDB9" w:rsidR="00864FB4" w:rsidRPr="00195A87" w:rsidRDefault="00864FB4" w:rsidP="00012C33">
      <w:pPr>
        <w:pStyle w:val="Heading1"/>
        <w:spacing w:line="480" w:lineRule="auto"/>
        <w:rPr>
          <w:rFonts w:ascii="Calibri" w:hAnsi="Calibri" w:cs="Calibri"/>
          <w:b/>
          <w:bCs/>
          <w:sz w:val="24"/>
          <w:szCs w:val="24"/>
        </w:rPr>
      </w:pPr>
      <w:r w:rsidRPr="00195A87">
        <w:rPr>
          <w:rFonts w:ascii="Calibri" w:hAnsi="Calibri" w:cs="Calibri"/>
          <w:b/>
          <w:bCs/>
          <w:sz w:val="24"/>
          <w:szCs w:val="24"/>
        </w:rPr>
        <w:t>Conclusion</w:t>
      </w:r>
      <w:bookmarkEnd w:id="6"/>
      <w:r w:rsidRPr="00195A87">
        <w:rPr>
          <w:rFonts w:ascii="Calibri" w:hAnsi="Calibri" w:cs="Calibri"/>
          <w:b/>
          <w:bCs/>
          <w:sz w:val="24"/>
          <w:szCs w:val="24"/>
        </w:rPr>
        <w:t xml:space="preserve"> </w:t>
      </w:r>
    </w:p>
    <w:p w14:paraId="0B9BF765" w14:textId="77777777" w:rsidR="00B91B55" w:rsidRPr="00B91B55" w:rsidRDefault="00B91B55" w:rsidP="00B91B55">
      <w:pPr>
        <w:spacing w:line="480" w:lineRule="auto"/>
        <w:rPr>
          <w:rFonts w:ascii="Calibri" w:hAnsi="Calibri" w:cs="Calibri"/>
          <w:color w:val="000000" w:themeColor="text1"/>
          <w:szCs w:val="24"/>
        </w:rPr>
      </w:pPr>
      <w:r w:rsidRPr="00B91B55">
        <w:rPr>
          <w:rFonts w:ascii="Calibri" w:hAnsi="Calibri" w:cs="Calibri"/>
          <w:color w:val="000000" w:themeColor="text1"/>
          <w:szCs w:val="24"/>
        </w:rPr>
        <w:t>This study has examined the role of Human Resource Management in fostering employee engagement within the hospitality industry. Drawing on established theoretical frameworks, empirical literature, and real-world case studies, the assignment demonstrates that employee engagement is a strategic outcome shaped by integrated HRM practices, supportive leadership, and a strong focus on employee well-being. In service-intensive hospitality environments, where employee attitudes directly influence guest experiences, engagement emerges as a critical driver of organizational success.</w:t>
      </w:r>
    </w:p>
    <w:p w14:paraId="796E9164" w14:textId="77777777" w:rsidR="00B91B55" w:rsidRPr="00B91B55" w:rsidRDefault="00B91B55" w:rsidP="00B91B55">
      <w:pPr>
        <w:spacing w:line="480" w:lineRule="auto"/>
        <w:rPr>
          <w:rFonts w:ascii="Calibri" w:hAnsi="Calibri" w:cs="Calibri"/>
          <w:color w:val="000000" w:themeColor="text1"/>
          <w:szCs w:val="24"/>
        </w:rPr>
      </w:pPr>
      <w:r w:rsidRPr="00B91B55">
        <w:rPr>
          <w:rFonts w:ascii="Calibri" w:hAnsi="Calibri" w:cs="Calibri"/>
          <w:color w:val="000000" w:themeColor="text1"/>
          <w:szCs w:val="24"/>
        </w:rPr>
        <w:t xml:space="preserve">The findings confirm that HRM practices such as training and development, performance management, rewards, and career progression play a vital role in enhancing employee engagement. These practices not only improve employee skills and motivation but also signal organizational support, strengthening the psychological contract between employees and employers. Leadership style further moderates this relationship, with transformational and </w:t>
      </w:r>
      <w:r w:rsidRPr="00B91B55">
        <w:rPr>
          <w:rFonts w:ascii="Calibri" w:hAnsi="Calibri" w:cs="Calibri"/>
          <w:color w:val="000000" w:themeColor="text1"/>
          <w:szCs w:val="24"/>
        </w:rPr>
        <w:lastRenderedPageBreak/>
        <w:t>servant leadership approaches proving particularly effective in sustaining engagement. Additionally, employee well-being initiatives are shown to mitigate burnout and enhance long-term commitment in demanding hospitality roles.</w:t>
      </w:r>
    </w:p>
    <w:p w14:paraId="21CC8FE8" w14:textId="77777777" w:rsidR="00B91B55" w:rsidRPr="00B91B55" w:rsidRDefault="00B91B55" w:rsidP="00B91B55">
      <w:pPr>
        <w:spacing w:line="480" w:lineRule="auto"/>
        <w:rPr>
          <w:rFonts w:ascii="Calibri" w:hAnsi="Calibri" w:cs="Calibri"/>
          <w:color w:val="000000" w:themeColor="text1"/>
          <w:szCs w:val="24"/>
        </w:rPr>
      </w:pPr>
      <w:r w:rsidRPr="00B91B55">
        <w:rPr>
          <w:rFonts w:ascii="Calibri" w:hAnsi="Calibri" w:cs="Calibri"/>
          <w:color w:val="000000" w:themeColor="text1"/>
          <w:szCs w:val="24"/>
        </w:rPr>
        <w:t>The case studies of leading hospitality organizations illustrate that engagement-focused HRM strategies can be successfully implemented across diverse operational contexts. Organizations that embed engagement into their culture and leadership philosophy achieve superior service quality, higher employee retention, and stronger competitive positioning. Collectively, these insights highlight that employee engagement should be viewed as a long-term strategic investment rather than a short-term HR initiative.</w:t>
      </w:r>
    </w:p>
    <w:p w14:paraId="3FB98462" w14:textId="77777777" w:rsidR="00B91B55" w:rsidRPr="00B91B55" w:rsidRDefault="00B91B55" w:rsidP="00B91B55">
      <w:pPr>
        <w:spacing w:line="480" w:lineRule="auto"/>
        <w:rPr>
          <w:rFonts w:ascii="Calibri" w:hAnsi="Calibri" w:cs="Calibri"/>
          <w:color w:val="000000" w:themeColor="text1"/>
          <w:szCs w:val="24"/>
        </w:rPr>
      </w:pPr>
      <w:r w:rsidRPr="00B91B55">
        <w:rPr>
          <w:rFonts w:ascii="Calibri" w:hAnsi="Calibri" w:cs="Calibri"/>
          <w:color w:val="000000" w:themeColor="text1"/>
          <w:szCs w:val="24"/>
        </w:rPr>
        <w:t>In conclusion, effective HRM is fundamental to sustaining employee engagement and organizational performance in the hospitality industry. By prioritizing people-centric practices, supportive leadership, and employee well-being, hospitality organizations can create resilient, motivated, and service-oriented workforces capable of delivering consistent value to both customers and stakeholders.</w:t>
      </w:r>
    </w:p>
    <w:p w14:paraId="6D309537" w14:textId="77777777" w:rsidR="00864FB4" w:rsidRDefault="00864FB4" w:rsidP="00B34C13">
      <w:pPr>
        <w:spacing w:line="480" w:lineRule="auto"/>
        <w:rPr>
          <w:rFonts w:ascii="Calibri" w:hAnsi="Calibri" w:cs="Calibri"/>
          <w:b/>
          <w:bCs/>
          <w:color w:val="000000" w:themeColor="text1"/>
          <w:szCs w:val="24"/>
        </w:rPr>
      </w:pPr>
    </w:p>
    <w:p w14:paraId="1E93E77F" w14:textId="77777777" w:rsidR="00B91B55" w:rsidRPr="00195A87" w:rsidRDefault="00B91B55" w:rsidP="00B34C13">
      <w:pPr>
        <w:spacing w:line="480" w:lineRule="auto"/>
        <w:rPr>
          <w:rFonts w:ascii="Calibri" w:hAnsi="Calibri" w:cs="Calibri"/>
          <w:b/>
          <w:bCs/>
          <w:color w:val="000000" w:themeColor="text1"/>
          <w:szCs w:val="24"/>
        </w:rPr>
      </w:pPr>
    </w:p>
    <w:p w14:paraId="37C670A2" w14:textId="77777777" w:rsidR="00F432D1" w:rsidRPr="00195A87" w:rsidRDefault="00F432D1" w:rsidP="00B34C13">
      <w:pPr>
        <w:spacing w:line="480" w:lineRule="auto"/>
        <w:rPr>
          <w:rFonts w:ascii="Calibri" w:hAnsi="Calibri" w:cs="Calibri"/>
          <w:b/>
          <w:bCs/>
          <w:color w:val="000000" w:themeColor="text1"/>
          <w:szCs w:val="24"/>
        </w:rPr>
      </w:pPr>
    </w:p>
    <w:p w14:paraId="51E855C1" w14:textId="77777777" w:rsidR="00F432D1" w:rsidRPr="00195A87" w:rsidRDefault="00F432D1" w:rsidP="00B34C13">
      <w:pPr>
        <w:spacing w:line="480" w:lineRule="auto"/>
        <w:rPr>
          <w:rFonts w:ascii="Calibri" w:hAnsi="Calibri" w:cs="Calibri"/>
          <w:b/>
          <w:bCs/>
          <w:color w:val="000000" w:themeColor="text1"/>
          <w:szCs w:val="24"/>
        </w:rPr>
      </w:pPr>
    </w:p>
    <w:p w14:paraId="7D676A2C" w14:textId="77777777" w:rsidR="00F432D1" w:rsidRPr="00195A87" w:rsidRDefault="00F432D1" w:rsidP="00B34C13">
      <w:pPr>
        <w:spacing w:line="480" w:lineRule="auto"/>
        <w:rPr>
          <w:rFonts w:ascii="Calibri" w:hAnsi="Calibri" w:cs="Calibri"/>
          <w:b/>
          <w:bCs/>
          <w:color w:val="000000" w:themeColor="text1"/>
          <w:szCs w:val="24"/>
        </w:rPr>
      </w:pPr>
    </w:p>
    <w:p w14:paraId="7BD9548A" w14:textId="77777777" w:rsidR="00864FB4" w:rsidRPr="00195A87" w:rsidRDefault="00864FB4" w:rsidP="00B34C13">
      <w:pPr>
        <w:pStyle w:val="Heading1"/>
        <w:spacing w:line="480" w:lineRule="auto"/>
        <w:rPr>
          <w:rFonts w:ascii="Calibri" w:hAnsi="Calibri" w:cs="Calibri"/>
          <w:b/>
          <w:bCs/>
          <w:sz w:val="24"/>
          <w:szCs w:val="24"/>
        </w:rPr>
      </w:pPr>
      <w:bookmarkStart w:id="7" w:name="_Toc220957857"/>
      <w:r w:rsidRPr="00195A87">
        <w:rPr>
          <w:rFonts w:ascii="Calibri" w:hAnsi="Calibri" w:cs="Calibri"/>
          <w:b/>
          <w:bCs/>
          <w:sz w:val="24"/>
          <w:szCs w:val="24"/>
        </w:rPr>
        <w:lastRenderedPageBreak/>
        <w:t>References</w:t>
      </w:r>
      <w:bookmarkEnd w:id="7"/>
      <w:r w:rsidRPr="00195A87">
        <w:rPr>
          <w:rFonts w:ascii="Calibri" w:hAnsi="Calibri" w:cs="Calibri"/>
          <w:b/>
          <w:bCs/>
          <w:sz w:val="24"/>
          <w:szCs w:val="24"/>
        </w:rPr>
        <w:t xml:space="preserve"> </w:t>
      </w:r>
    </w:p>
    <w:p w14:paraId="25C9B724" w14:textId="77777777" w:rsidR="00B91B55" w:rsidRPr="00B91B55" w:rsidRDefault="00B91B55" w:rsidP="00B91B55">
      <w:pPr>
        <w:spacing w:line="480" w:lineRule="auto"/>
        <w:rPr>
          <w:rFonts w:ascii="Calibri" w:hAnsi="Calibri" w:cs="Calibri"/>
          <w:color w:val="000000" w:themeColor="text1"/>
          <w:szCs w:val="24"/>
        </w:rPr>
      </w:pPr>
      <w:r w:rsidRPr="00B91B55">
        <w:rPr>
          <w:rFonts w:ascii="Calibri" w:hAnsi="Calibri" w:cs="Calibri"/>
          <w:color w:val="000000" w:themeColor="text1"/>
          <w:szCs w:val="24"/>
        </w:rPr>
        <w:t xml:space="preserve">Albrecht, S. L., Bakker, A. B., Gruman, J. A., Macey, W. H., &amp; Saks, A. M. (2015). Employee engagement, human resource management practices and competitive advantage. </w:t>
      </w:r>
      <w:r w:rsidRPr="00B91B55">
        <w:rPr>
          <w:rFonts w:ascii="Calibri" w:hAnsi="Calibri" w:cs="Calibri"/>
          <w:i/>
          <w:iCs/>
          <w:color w:val="000000" w:themeColor="text1"/>
          <w:szCs w:val="24"/>
        </w:rPr>
        <w:t>Journal of Organizational Effectiveness: People and Performance, 2</w:t>
      </w:r>
      <w:r w:rsidRPr="00B91B55">
        <w:rPr>
          <w:rFonts w:ascii="Calibri" w:hAnsi="Calibri" w:cs="Calibri"/>
          <w:color w:val="000000" w:themeColor="text1"/>
          <w:szCs w:val="24"/>
        </w:rPr>
        <w:t>(1), 7–35. https://doi.org/10.1108/JOEPP-08-2014-0042</w:t>
      </w:r>
    </w:p>
    <w:p w14:paraId="46839C78" w14:textId="77777777" w:rsidR="00B91B55" w:rsidRPr="00B91B55" w:rsidRDefault="00B91B55" w:rsidP="00B91B55">
      <w:pPr>
        <w:spacing w:line="480" w:lineRule="auto"/>
        <w:rPr>
          <w:rFonts w:ascii="Calibri" w:hAnsi="Calibri" w:cs="Calibri"/>
          <w:color w:val="000000" w:themeColor="text1"/>
          <w:szCs w:val="24"/>
        </w:rPr>
      </w:pPr>
      <w:r w:rsidRPr="00B91B55">
        <w:rPr>
          <w:rFonts w:ascii="Calibri" w:hAnsi="Calibri" w:cs="Calibri"/>
          <w:color w:val="000000" w:themeColor="text1"/>
          <w:szCs w:val="24"/>
        </w:rPr>
        <w:t xml:space="preserve">Bakker, A. B., &amp; Demerouti, E. (2007). The Job Demands–Resources model: State of the art. </w:t>
      </w:r>
      <w:r w:rsidRPr="00B91B55">
        <w:rPr>
          <w:rFonts w:ascii="Calibri" w:hAnsi="Calibri" w:cs="Calibri"/>
          <w:i/>
          <w:iCs/>
          <w:color w:val="000000" w:themeColor="text1"/>
          <w:szCs w:val="24"/>
        </w:rPr>
        <w:t>Journal of Managerial Psychology, 22</w:t>
      </w:r>
      <w:r w:rsidRPr="00B91B55">
        <w:rPr>
          <w:rFonts w:ascii="Calibri" w:hAnsi="Calibri" w:cs="Calibri"/>
          <w:color w:val="000000" w:themeColor="text1"/>
          <w:szCs w:val="24"/>
        </w:rPr>
        <w:t xml:space="preserve">(3), 309–328. </w:t>
      </w:r>
      <w:hyperlink r:id="rId6" w:tgtFrame="_new" w:history="1">
        <w:r w:rsidRPr="00B91B55">
          <w:rPr>
            <w:rStyle w:val="Hyperlink"/>
            <w:rFonts w:ascii="Calibri" w:hAnsi="Calibri" w:cs="Calibri"/>
            <w:szCs w:val="24"/>
          </w:rPr>
          <w:t>https://doi.org/10.1108/02683940710733115</w:t>
        </w:r>
      </w:hyperlink>
    </w:p>
    <w:p w14:paraId="421690DE" w14:textId="77777777" w:rsidR="00B91B55" w:rsidRPr="00B91B55" w:rsidRDefault="00B91B55" w:rsidP="00B91B55">
      <w:pPr>
        <w:spacing w:line="480" w:lineRule="auto"/>
        <w:rPr>
          <w:rFonts w:ascii="Calibri" w:hAnsi="Calibri" w:cs="Calibri"/>
          <w:color w:val="000000" w:themeColor="text1"/>
          <w:szCs w:val="24"/>
        </w:rPr>
      </w:pPr>
      <w:r w:rsidRPr="00B91B55">
        <w:rPr>
          <w:rFonts w:ascii="Calibri" w:hAnsi="Calibri" w:cs="Calibri"/>
          <w:color w:val="000000" w:themeColor="text1"/>
          <w:szCs w:val="24"/>
        </w:rPr>
        <w:t xml:space="preserve">Blau, P. M. (1964). </w:t>
      </w:r>
      <w:r w:rsidRPr="00B91B55">
        <w:rPr>
          <w:rFonts w:ascii="Calibri" w:hAnsi="Calibri" w:cs="Calibri"/>
          <w:i/>
          <w:iCs/>
          <w:color w:val="000000" w:themeColor="text1"/>
          <w:szCs w:val="24"/>
        </w:rPr>
        <w:t>Exchange and power in social life</w:t>
      </w:r>
      <w:r w:rsidRPr="00B91B55">
        <w:rPr>
          <w:rFonts w:ascii="Calibri" w:hAnsi="Calibri" w:cs="Calibri"/>
          <w:color w:val="000000" w:themeColor="text1"/>
          <w:szCs w:val="24"/>
        </w:rPr>
        <w:t>. New York, NY: Wiley.</w:t>
      </w:r>
    </w:p>
    <w:p w14:paraId="76C0765A" w14:textId="77777777" w:rsidR="00B91B55" w:rsidRPr="00B91B55" w:rsidRDefault="00B91B55" w:rsidP="00B91B55">
      <w:pPr>
        <w:spacing w:line="480" w:lineRule="auto"/>
        <w:rPr>
          <w:rFonts w:ascii="Calibri" w:hAnsi="Calibri" w:cs="Calibri"/>
          <w:color w:val="000000" w:themeColor="text1"/>
          <w:szCs w:val="24"/>
        </w:rPr>
      </w:pPr>
      <w:r w:rsidRPr="00B91B55">
        <w:rPr>
          <w:rFonts w:ascii="Calibri" w:hAnsi="Calibri" w:cs="Calibri"/>
          <w:color w:val="000000" w:themeColor="text1"/>
          <w:szCs w:val="24"/>
        </w:rPr>
        <w:t xml:space="preserve">Boselie, P., Dietz, G., &amp; Boon, C. (2005). Commonalities and contradictions in HRM and performance research. </w:t>
      </w:r>
      <w:r w:rsidRPr="00B91B55">
        <w:rPr>
          <w:rFonts w:ascii="Calibri" w:hAnsi="Calibri" w:cs="Calibri"/>
          <w:i/>
          <w:iCs/>
          <w:color w:val="000000" w:themeColor="text1"/>
          <w:szCs w:val="24"/>
        </w:rPr>
        <w:t>Human Resource Management Journal, 15</w:t>
      </w:r>
      <w:r w:rsidRPr="00B91B55">
        <w:rPr>
          <w:rFonts w:ascii="Calibri" w:hAnsi="Calibri" w:cs="Calibri"/>
          <w:color w:val="000000" w:themeColor="text1"/>
          <w:szCs w:val="24"/>
        </w:rPr>
        <w:t xml:space="preserve">(3), 67–94. </w:t>
      </w:r>
      <w:hyperlink r:id="rId7" w:tgtFrame="_new" w:history="1">
        <w:r w:rsidRPr="00B91B55">
          <w:rPr>
            <w:rStyle w:val="Hyperlink"/>
            <w:rFonts w:ascii="Calibri" w:hAnsi="Calibri" w:cs="Calibri"/>
            <w:szCs w:val="24"/>
          </w:rPr>
          <w:t>https://doi.org/10.1111/j.1748-8583.2005.tb00154.x</w:t>
        </w:r>
      </w:hyperlink>
    </w:p>
    <w:p w14:paraId="50895581" w14:textId="77777777" w:rsidR="00B91B55" w:rsidRPr="00B91B55" w:rsidRDefault="00B91B55" w:rsidP="00B91B55">
      <w:pPr>
        <w:spacing w:line="480" w:lineRule="auto"/>
        <w:rPr>
          <w:rFonts w:ascii="Calibri" w:hAnsi="Calibri" w:cs="Calibri"/>
          <w:color w:val="000000" w:themeColor="text1"/>
          <w:szCs w:val="24"/>
        </w:rPr>
      </w:pPr>
      <w:proofErr w:type="spellStart"/>
      <w:r w:rsidRPr="00B91B55">
        <w:rPr>
          <w:rFonts w:ascii="Calibri" w:hAnsi="Calibri" w:cs="Calibri"/>
          <w:color w:val="000000" w:themeColor="text1"/>
          <w:szCs w:val="24"/>
        </w:rPr>
        <w:t>Breevaart</w:t>
      </w:r>
      <w:proofErr w:type="spellEnd"/>
      <w:r w:rsidRPr="00B91B55">
        <w:rPr>
          <w:rFonts w:ascii="Calibri" w:hAnsi="Calibri" w:cs="Calibri"/>
          <w:color w:val="000000" w:themeColor="text1"/>
          <w:szCs w:val="24"/>
        </w:rPr>
        <w:t xml:space="preserve">, K., Bakker, A. B., Demerouti, E., &amp; Van den Heuvel, M. (2014). Leader–member exchange, work engagement, and job performance. </w:t>
      </w:r>
      <w:r w:rsidRPr="00B91B55">
        <w:rPr>
          <w:rFonts w:ascii="Calibri" w:hAnsi="Calibri" w:cs="Calibri"/>
          <w:i/>
          <w:iCs/>
          <w:color w:val="000000" w:themeColor="text1"/>
          <w:szCs w:val="24"/>
        </w:rPr>
        <w:t>Journal of Managerial Psychology, 30</w:t>
      </w:r>
      <w:r w:rsidRPr="00B91B55">
        <w:rPr>
          <w:rFonts w:ascii="Calibri" w:hAnsi="Calibri" w:cs="Calibri"/>
          <w:color w:val="000000" w:themeColor="text1"/>
          <w:szCs w:val="24"/>
        </w:rPr>
        <w:t>(7), 754–770. https://doi.org/10.1108/JMP-03-2013-0088</w:t>
      </w:r>
    </w:p>
    <w:p w14:paraId="3FA2049D" w14:textId="77777777" w:rsidR="00B91B55" w:rsidRPr="00B91B55" w:rsidRDefault="00B91B55" w:rsidP="00B91B55">
      <w:pPr>
        <w:spacing w:line="480" w:lineRule="auto"/>
        <w:rPr>
          <w:rFonts w:ascii="Calibri" w:hAnsi="Calibri" w:cs="Calibri"/>
          <w:color w:val="000000" w:themeColor="text1"/>
          <w:szCs w:val="24"/>
        </w:rPr>
      </w:pPr>
      <w:r w:rsidRPr="00B91B55">
        <w:rPr>
          <w:rFonts w:ascii="Calibri" w:hAnsi="Calibri" w:cs="Calibri"/>
          <w:color w:val="000000" w:themeColor="text1"/>
          <w:szCs w:val="24"/>
        </w:rPr>
        <w:t xml:space="preserve">Chiang, C. F., Han, T. S., &amp; Chuang, J. S. (2011). The relationship between HRM practices and service performance. </w:t>
      </w:r>
      <w:r w:rsidRPr="00B91B55">
        <w:rPr>
          <w:rFonts w:ascii="Calibri" w:hAnsi="Calibri" w:cs="Calibri"/>
          <w:i/>
          <w:iCs/>
          <w:color w:val="000000" w:themeColor="text1"/>
          <w:szCs w:val="24"/>
        </w:rPr>
        <w:t>International Journal of Hospitality Management, 30</w:t>
      </w:r>
      <w:r w:rsidRPr="00B91B55">
        <w:rPr>
          <w:rFonts w:ascii="Calibri" w:hAnsi="Calibri" w:cs="Calibri"/>
          <w:color w:val="000000" w:themeColor="text1"/>
          <w:szCs w:val="24"/>
        </w:rPr>
        <w:t>(4), 834–844. https://doi.org/10.1016/j.ijhm.2011.01.008</w:t>
      </w:r>
    </w:p>
    <w:p w14:paraId="4597D134" w14:textId="77777777" w:rsidR="00B91B55" w:rsidRPr="00B91B55" w:rsidRDefault="00B91B55" w:rsidP="00B91B55">
      <w:pPr>
        <w:spacing w:line="480" w:lineRule="auto"/>
        <w:rPr>
          <w:rFonts w:ascii="Calibri" w:hAnsi="Calibri" w:cs="Calibri"/>
          <w:color w:val="000000" w:themeColor="text1"/>
          <w:szCs w:val="24"/>
        </w:rPr>
      </w:pPr>
      <w:r w:rsidRPr="00B91B55">
        <w:rPr>
          <w:rFonts w:ascii="Calibri" w:hAnsi="Calibri" w:cs="Calibri"/>
          <w:color w:val="000000" w:themeColor="text1"/>
          <w:szCs w:val="24"/>
        </w:rPr>
        <w:lastRenderedPageBreak/>
        <w:t xml:space="preserve">Eva, N., Robin, M., </w:t>
      </w:r>
      <w:proofErr w:type="spellStart"/>
      <w:r w:rsidRPr="00B91B55">
        <w:rPr>
          <w:rFonts w:ascii="Calibri" w:hAnsi="Calibri" w:cs="Calibri"/>
          <w:color w:val="000000" w:themeColor="text1"/>
          <w:szCs w:val="24"/>
        </w:rPr>
        <w:t>Sendjaya</w:t>
      </w:r>
      <w:proofErr w:type="spellEnd"/>
      <w:r w:rsidRPr="00B91B55">
        <w:rPr>
          <w:rFonts w:ascii="Calibri" w:hAnsi="Calibri" w:cs="Calibri"/>
          <w:color w:val="000000" w:themeColor="text1"/>
          <w:szCs w:val="24"/>
        </w:rPr>
        <w:t xml:space="preserve">, S., Van Dierendonck, D., &amp; Liden, R. C. (2019). Servant leadership: A systematic review and call for future research. </w:t>
      </w:r>
      <w:r w:rsidRPr="00B91B55">
        <w:rPr>
          <w:rFonts w:ascii="Calibri" w:hAnsi="Calibri" w:cs="Calibri"/>
          <w:i/>
          <w:iCs/>
          <w:color w:val="000000" w:themeColor="text1"/>
          <w:szCs w:val="24"/>
        </w:rPr>
        <w:t>The Leadership Quarterly, 30</w:t>
      </w:r>
      <w:r w:rsidRPr="00B91B55">
        <w:rPr>
          <w:rFonts w:ascii="Calibri" w:hAnsi="Calibri" w:cs="Calibri"/>
          <w:color w:val="000000" w:themeColor="text1"/>
          <w:szCs w:val="24"/>
        </w:rPr>
        <w:t xml:space="preserve">(1), 111–132. </w:t>
      </w:r>
      <w:hyperlink r:id="rId8" w:tgtFrame="_new" w:history="1">
        <w:r w:rsidRPr="00B91B55">
          <w:rPr>
            <w:rStyle w:val="Hyperlink"/>
            <w:rFonts w:ascii="Calibri" w:hAnsi="Calibri" w:cs="Calibri"/>
            <w:szCs w:val="24"/>
          </w:rPr>
          <w:t>https://doi.org/10.1016/j.leaqua.2018.07.004</w:t>
        </w:r>
      </w:hyperlink>
    </w:p>
    <w:p w14:paraId="6C418D62" w14:textId="77777777" w:rsidR="00B91B55" w:rsidRPr="00B91B55" w:rsidRDefault="00B91B55" w:rsidP="00B91B55">
      <w:pPr>
        <w:spacing w:line="480" w:lineRule="auto"/>
        <w:rPr>
          <w:rFonts w:ascii="Calibri" w:hAnsi="Calibri" w:cs="Calibri"/>
          <w:color w:val="000000" w:themeColor="text1"/>
          <w:szCs w:val="24"/>
        </w:rPr>
      </w:pPr>
      <w:proofErr w:type="spellStart"/>
      <w:r w:rsidRPr="00B91B55">
        <w:rPr>
          <w:rFonts w:ascii="Calibri" w:hAnsi="Calibri" w:cs="Calibri"/>
          <w:color w:val="000000" w:themeColor="text1"/>
          <w:szCs w:val="24"/>
        </w:rPr>
        <w:t>Grawitch</w:t>
      </w:r>
      <w:proofErr w:type="spellEnd"/>
      <w:r w:rsidRPr="00B91B55">
        <w:rPr>
          <w:rFonts w:ascii="Calibri" w:hAnsi="Calibri" w:cs="Calibri"/>
          <w:color w:val="000000" w:themeColor="text1"/>
          <w:szCs w:val="24"/>
        </w:rPr>
        <w:t xml:space="preserve">, M. J., Gottschalk, M., &amp; Munz, D. C. (2006). The path to a healthy workplace. </w:t>
      </w:r>
      <w:r w:rsidRPr="00B91B55">
        <w:rPr>
          <w:rFonts w:ascii="Calibri" w:hAnsi="Calibri" w:cs="Calibri"/>
          <w:i/>
          <w:iCs/>
          <w:color w:val="000000" w:themeColor="text1"/>
          <w:szCs w:val="24"/>
        </w:rPr>
        <w:t>Consulting Psychology Journal: Practice and Research, 58</w:t>
      </w:r>
      <w:r w:rsidRPr="00B91B55">
        <w:rPr>
          <w:rFonts w:ascii="Calibri" w:hAnsi="Calibri" w:cs="Calibri"/>
          <w:color w:val="000000" w:themeColor="text1"/>
          <w:szCs w:val="24"/>
        </w:rPr>
        <w:t xml:space="preserve">(3), 129–147. </w:t>
      </w:r>
      <w:hyperlink r:id="rId9" w:tgtFrame="_new" w:history="1">
        <w:r w:rsidRPr="00B91B55">
          <w:rPr>
            <w:rStyle w:val="Hyperlink"/>
            <w:rFonts w:ascii="Calibri" w:hAnsi="Calibri" w:cs="Calibri"/>
            <w:szCs w:val="24"/>
          </w:rPr>
          <w:t>https://doi.org/10.1037/1065-9293.58.3.129</w:t>
        </w:r>
      </w:hyperlink>
    </w:p>
    <w:p w14:paraId="29D9CC1C" w14:textId="77777777" w:rsidR="00B91B55" w:rsidRPr="00B91B55" w:rsidRDefault="00B91B55" w:rsidP="00B91B55">
      <w:pPr>
        <w:spacing w:line="480" w:lineRule="auto"/>
        <w:rPr>
          <w:rFonts w:ascii="Calibri" w:hAnsi="Calibri" w:cs="Calibri"/>
          <w:color w:val="000000" w:themeColor="text1"/>
          <w:szCs w:val="24"/>
        </w:rPr>
      </w:pPr>
      <w:r w:rsidRPr="00B91B55">
        <w:rPr>
          <w:rFonts w:ascii="Calibri" w:hAnsi="Calibri" w:cs="Calibri"/>
          <w:color w:val="000000" w:themeColor="text1"/>
          <w:szCs w:val="24"/>
        </w:rPr>
        <w:t xml:space="preserve">Harter, J. K., Schmidt, F. L., &amp; Hayes, T. L. (2002). Business-unit-level relationship between employee satisfaction, engagement, and performance. </w:t>
      </w:r>
      <w:r w:rsidRPr="00B91B55">
        <w:rPr>
          <w:rFonts w:ascii="Calibri" w:hAnsi="Calibri" w:cs="Calibri"/>
          <w:i/>
          <w:iCs/>
          <w:color w:val="000000" w:themeColor="text1"/>
          <w:szCs w:val="24"/>
        </w:rPr>
        <w:t>Journal of Applied Psychology, 87</w:t>
      </w:r>
      <w:r w:rsidRPr="00B91B55">
        <w:rPr>
          <w:rFonts w:ascii="Calibri" w:hAnsi="Calibri" w:cs="Calibri"/>
          <w:color w:val="000000" w:themeColor="text1"/>
          <w:szCs w:val="24"/>
        </w:rPr>
        <w:t xml:space="preserve">(2), 268–279. </w:t>
      </w:r>
      <w:hyperlink r:id="rId10" w:tgtFrame="_new" w:history="1">
        <w:r w:rsidRPr="00B91B55">
          <w:rPr>
            <w:rStyle w:val="Hyperlink"/>
            <w:rFonts w:ascii="Calibri" w:hAnsi="Calibri" w:cs="Calibri"/>
            <w:szCs w:val="24"/>
          </w:rPr>
          <w:t>https://doi.org/10.1037/0021-9010.87.2.268</w:t>
        </w:r>
      </w:hyperlink>
    </w:p>
    <w:p w14:paraId="23780A0B" w14:textId="77777777" w:rsidR="00B91B55" w:rsidRPr="00B91B55" w:rsidRDefault="00B91B55" w:rsidP="00B91B55">
      <w:pPr>
        <w:spacing w:line="480" w:lineRule="auto"/>
        <w:rPr>
          <w:rFonts w:ascii="Calibri" w:hAnsi="Calibri" w:cs="Calibri"/>
          <w:color w:val="000000" w:themeColor="text1"/>
          <w:szCs w:val="24"/>
        </w:rPr>
      </w:pPr>
      <w:r w:rsidRPr="00B91B55">
        <w:rPr>
          <w:rFonts w:ascii="Calibri" w:hAnsi="Calibri" w:cs="Calibri"/>
          <w:color w:val="000000" w:themeColor="text1"/>
          <w:szCs w:val="24"/>
        </w:rPr>
        <w:t xml:space="preserve">Hom, P. W., Lee, T. W., Shaw, J. D., &amp; Hausknecht, J. P. (2017). One hundred years of employee turnover theory and research. </w:t>
      </w:r>
      <w:r w:rsidRPr="00B91B55">
        <w:rPr>
          <w:rFonts w:ascii="Calibri" w:hAnsi="Calibri" w:cs="Calibri"/>
          <w:i/>
          <w:iCs/>
          <w:color w:val="000000" w:themeColor="text1"/>
          <w:szCs w:val="24"/>
        </w:rPr>
        <w:t>Journal of Applied Psychology, 102</w:t>
      </w:r>
      <w:r w:rsidRPr="00B91B55">
        <w:rPr>
          <w:rFonts w:ascii="Calibri" w:hAnsi="Calibri" w:cs="Calibri"/>
          <w:color w:val="000000" w:themeColor="text1"/>
          <w:szCs w:val="24"/>
        </w:rPr>
        <w:t xml:space="preserve">(3), 530–545. </w:t>
      </w:r>
      <w:hyperlink r:id="rId11" w:tgtFrame="_new" w:history="1">
        <w:r w:rsidRPr="00B91B55">
          <w:rPr>
            <w:rStyle w:val="Hyperlink"/>
            <w:rFonts w:ascii="Calibri" w:hAnsi="Calibri" w:cs="Calibri"/>
            <w:szCs w:val="24"/>
          </w:rPr>
          <w:t>https://doi.org/10.1037/apl0000103</w:t>
        </w:r>
      </w:hyperlink>
    </w:p>
    <w:p w14:paraId="4F26007E" w14:textId="77777777" w:rsidR="00B91B55" w:rsidRPr="00B91B55" w:rsidRDefault="00B91B55" w:rsidP="00B91B55">
      <w:pPr>
        <w:spacing w:line="480" w:lineRule="auto"/>
        <w:rPr>
          <w:rFonts w:ascii="Calibri" w:hAnsi="Calibri" w:cs="Calibri"/>
          <w:color w:val="000000" w:themeColor="text1"/>
          <w:szCs w:val="24"/>
        </w:rPr>
      </w:pPr>
      <w:r w:rsidRPr="00B91B55">
        <w:rPr>
          <w:rFonts w:ascii="Calibri" w:hAnsi="Calibri" w:cs="Calibri"/>
          <w:color w:val="000000" w:themeColor="text1"/>
          <w:szCs w:val="24"/>
        </w:rPr>
        <w:t xml:space="preserve">Jung, H. S., &amp; Yoon, H. H. (2015). The impact of employees’ positive psychological capital on job satisfaction and organizational citizenship </w:t>
      </w:r>
      <w:proofErr w:type="spellStart"/>
      <w:r w:rsidRPr="00B91B55">
        <w:rPr>
          <w:rFonts w:ascii="Calibri" w:hAnsi="Calibri" w:cs="Calibri"/>
          <w:color w:val="000000" w:themeColor="text1"/>
          <w:szCs w:val="24"/>
        </w:rPr>
        <w:t>behaviors</w:t>
      </w:r>
      <w:proofErr w:type="spellEnd"/>
      <w:r w:rsidRPr="00B91B55">
        <w:rPr>
          <w:rFonts w:ascii="Calibri" w:hAnsi="Calibri" w:cs="Calibri"/>
          <w:color w:val="000000" w:themeColor="text1"/>
          <w:szCs w:val="24"/>
        </w:rPr>
        <w:t xml:space="preserve">. </w:t>
      </w:r>
      <w:r w:rsidRPr="00B91B55">
        <w:rPr>
          <w:rFonts w:ascii="Calibri" w:hAnsi="Calibri" w:cs="Calibri"/>
          <w:i/>
          <w:iCs/>
          <w:color w:val="000000" w:themeColor="text1"/>
          <w:szCs w:val="24"/>
        </w:rPr>
        <w:t>International Journal of Contemporary Hospitality Management, 27</w:t>
      </w:r>
      <w:r w:rsidRPr="00B91B55">
        <w:rPr>
          <w:rFonts w:ascii="Calibri" w:hAnsi="Calibri" w:cs="Calibri"/>
          <w:color w:val="000000" w:themeColor="text1"/>
          <w:szCs w:val="24"/>
        </w:rPr>
        <w:t>(6), 1135–1156. https://doi.org/10.1108/IJCHM-01-2014-0019</w:t>
      </w:r>
    </w:p>
    <w:p w14:paraId="7FEDB9F6" w14:textId="77777777" w:rsidR="00B91B55" w:rsidRPr="00B91B55" w:rsidRDefault="00B91B55" w:rsidP="00B91B55">
      <w:pPr>
        <w:spacing w:line="480" w:lineRule="auto"/>
        <w:rPr>
          <w:rFonts w:ascii="Calibri" w:hAnsi="Calibri" w:cs="Calibri"/>
          <w:color w:val="000000" w:themeColor="text1"/>
          <w:szCs w:val="24"/>
        </w:rPr>
      </w:pPr>
      <w:r w:rsidRPr="00B91B55">
        <w:rPr>
          <w:rFonts w:ascii="Calibri" w:hAnsi="Calibri" w:cs="Calibri"/>
          <w:color w:val="000000" w:themeColor="text1"/>
          <w:szCs w:val="24"/>
        </w:rPr>
        <w:t xml:space="preserve">Karatepe, O. M. (2012). The effects of coworker and perceived organizational support on hotel employee outcomes. </w:t>
      </w:r>
      <w:r w:rsidRPr="00B91B55">
        <w:rPr>
          <w:rFonts w:ascii="Calibri" w:hAnsi="Calibri" w:cs="Calibri"/>
          <w:i/>
          <w:iCs/>
          <w:color w:val="000000" w:themeColor="text1"/>
          <w:szCs w:val="24"/>
        </w:rPr>
        <w:t>International Journal of Contemporary Hospitality Management, 24</w:t>
      </w:r>
      <w:r w:rsidRPr="00B91B55">
        <w:rPr>
          <w:rFonts w:ascii="Calibri" w:hAnsi="Calibri" w:cs="Calibri"/>
          <w:color w:val="000000" w:themeColor="text1"/>
          <w:szCs w:val="24"/>
        </w:rPr>
        <w:t>(5), 735–752. https://doi.org/10.1108/09596111211237273</w:t>
      </w:r>
    </w:p>
    <w:p w14:paraId="5E040A8D" w14:textId="77777777" w:rsidR="00B91B55" w:rsidRPr="00B91B55" w:rsidRDefault="00B91B55" w:rsidP="00B91B55">
      <w:pPr>
        <w:spacing w:line="480" w:lineRule="auto"/>
        <w:rPr>
          <w:rFonts w:ascii="Calibri" w:hAnsi="Calibri" w:cs="Calibri"/>
          <w:color w:val="000000" w:themeColor="text1"/>
          <w:szCs w:val="24"/>
        </w:rPr>
      </w:pPr>
      <w:r w:rsidRPr="00B91B55">
        <w:rPr>
          <w:rFonts w:ascii="Calibri" w:hAnsi="Calibri" w:cs="Calibri"/>
          <w:color w:val="000000" w:themeColor="text1"/>
          <w:szCs w:val="24"/>
        </w:rPr>
        <w:lastRenderedPageBreak/>
        <w:t xml:space="preserve">Karatepe, O. M. (2013). High-performance work practices and hotel employee performance. </w:t>
      </w:r>
      <w:r w:rsidRPr="00B91B55">
        <w:rPr>
          <w:rFonts w:ascii="Calibri" w:hAnsi="Calibri" w:cs="Calibri"/>
          <w:i/>
          <w:iCs/>
          <w:color w:val="000000" w:themeColor="text1"/>
          <w:szCs w:val="24"/>
        </w:rPr>
        <w:t>International Journal of Contemporary Hospitality Management, 25</w:t>
      </w:r>
      <w:r w:rsidRPr="00B91B55">
        <w:rPr>
          <w:rFonts w:ascii="Calibri" w:hAnsi="Calibri" w:cs="Calibri"/>
          <w:color w:val="000000" w:themeColor="text1"/>
          <w:szCs w:val="24"/>
        </w:rPr>
        <w:t>(4), 512–532. https://doi.org/10.1108/09596111311322921</w:t>
      </w:r>
    </w:p>
    <w:p w14:paraId="5C15AA8C" w14:textId="77777777" w:rsidR="00B91B55" w:rsidRPr="00B91B55" w:rsidRDefault="00B91B55" w:rsidP="00B91B55">
      <w:pPr>
        <w:spacing w:line="480" w:lineRule="auto"/>
        <w:rPr>
          <w:rFonts w:ascii="Calibri" w:hAnsi="Calibri" w:cs="Calibri"/>
          <w:color w:val="000000" w:themeColor="text1"/>
          <w:szCs w:val="24"/>
        </w:rPr>
      </w:pPr>
      <w:r w:rsidRPr="00B91B55">
        <w:rPr>
          <w:rFonts w:ascii="Calibri" w:hAnsi="Calibri" w:cs="Calibri"/>
          <w:color w:val="000000" w:themeColor="text1"/>
          <w:szCs w:val="24"/>
        </w:rPr>
        <w:t xml:space="preserve">Karatepe, O. M., &amp; </w:t>
      </w:r>
      <w:proofErr w:type="spellStart"/>
      <w:r w:rsidRPr="00B91B55">
        <w:rPr>
          <w:rFonts w:ascii="Calibri" w:hAnsi="Calibri" w:cs="Calibri"/>
          <w:color w:val="000000" w:themeColor="text1"/>
          <w:szCs w:val="24"/>
        </w:rPr>
        <w:t>Olugbade</w:t>
      </w:r>
      <w:proofErr w:type="spellEnd"/>
      <w:r w:rsidRPr="00B91B55">
        <w:rPr>
          <w:rFonts w:ascii="Calibri" w:hAnsi="Calibri" w:cs="Calibri"/>
          <w:color w:val="000000" w:themeColor="text1"/>
          <w:szCs w:val="24"/>
        </w:rPr>
        <w:t xml:space="preserve">, O. A. (2009). The effects of job and personal resources on work engagement. </w:t>
      </w:r>
      <w:r w:rsidRPr="00B91B55">
        <w:rPr>
          <w:rFonts w:ascii="Calibri" w:hAnsi="Calibri" w:cs="Calibri"/>
          <w:i/>
          <w:iCs/>
          <w:color w:val="000000" w:themeColor="text1"/>
          <w:szCs w:val="24"/>
        </w:rPr>
        <w:t>International Journal of Hospitality Management, 28</w:t>
      </w:r>
      <w:r w:rsidRPr="00B91B55">
        <w:rPr>
          <w:rFonts w:ascii="Calibri" w:hAnsi="Calibri" w:cs="Calibri"/>
          <w:color w:val="000000" w:themeColor="text1"/>
          <w:szCs w:val="24"/>
        </w:rPr>
        <w:t>(4), 504–512. https://doi.org/10.1016/j.ijhm.2009.02.003</w:t>
      </w:r>
    </w:p>
    <w:p w14:paraId="463CA935" w14:textId="77777777" w:rsidR="00B91B55" w:rsidRPr="00B91B55" w:rsidRDefault="00B91B55" w:rsidP="00B91B55">
      <w:pPr>
        <w:spacing w:line="480" w:lineRule="auto"/>
        <w:rPr>
          <w:rFonts w:ascii="Calibri" w:hAnsi="Calibri" w:cs="Calibri"/>
          <w:color w:val="000000" w:themeColor="text1"/>
          <w:szCs w:val="24"/>
        </w:rPr>
      </w:pPr>
      <w:r w:rsidRPr="00B91B55">
        <w:rPr>
          <w:rFonts w:ascii="Calibri" w:hAnsi="Calibri" w:cs="Calibri"/>
          <w:color w:val="000000" w:themeColor="text1"/>
          <w:szCs w:val="24"/>
        </w:rPr>
        <w:t xml:space="preserve">Karatepe, O. M., &amp; </w:t>
      </w:r>
      <w:proofErr w:type="spellStart"/>
      <w:r w:rsidRPr="00B91B55">
        <w:rPr>
          <w:rFonts w:ascii="Calibri" w:hAnsi="Calibri" w:cs="Calibri"/>
          <w:color w:val="000000" w:themeColor="text1"/>
          <w:szCs w:val="24"/>
        </w:rPr>
        <w:t>Uludag</w:t>
      </w:r>
      <w:proofErr w:type="spellEnd"/>
      <w:r w:rsidRPr="00B91B55">
        <w:rPr>
          <w:rFonts w:ascii="Calibri" w:hAnsi="Calibri" w:cs="Calibri"/>
          <w:color w:val="000000" w:themeColor="text1"/>
          <w:szCs w:val="24"/>
        </w:rPr>
        <w:t xml:space="preserve">, O. (2007). Conflict, exhaustion, and motivation. </w:t>
      </w:r>
      <w:r w:rsidRPr="00B91B55">
        <w:rPr>
          <w:rFonts w:ascii="Calibri" w:hAnsi="Calibri" w:cs="Calibri"/>
          <w:i/>
          <w:iCs/>
          <w:color w:val="000000" w:themeColor="text1"/>
          <w:szCs w:val="24"/>
        </w:rPr>
        <w:t>International Journal of Hospitality Management, 26</w:t>
      </w:r>
      <w:r w:rsidRPr="00B91B55">
        <w:rPr>
          <w:rFonts w:ascii="Calibri" w:hAnsi="Calibri" w:cs="Calibri"/>
          <w:color w:val="000000" w:themeColor="text1"/>
          <w:szCs w:val="24"/>
        </w:rPr>
        <w:t>(3), 645–665. https://doi.org/10.1016/j.ijhm.2006.05.006</w:t>
      </w:r>
    </w:p>
    <w:p w14:paraId="203422C2" w14:textId="77777777" w:rsidR="00B91B55" w:rsidRPr="00B91B55" w:rsidRDefault="00B91B55" w:rsidP="00B91B55">
      <w:pPr>
        <w:spacing w:line="480" w:lineRule="auto"/>
        <w:rPr>
          <w:rFonts w:ascii="Calibri" w:hAnsi="Calibri" w:cs="Calibri"/>
          <w:color w:val="000000" w:themeColor="text1"/>
          <w:szCs w:val="24"/>
        </w:rPr>
      </w:pPr>
      <w:r w:rsidRPr="00B91B55">
        <w:rPr>
          <w:rFonts w:ascii="Calibri" w:hAnsi="Calibri" w:cs="Calibri"/>
          <w:color w:val="000000" w:themeColor="text1"/>
          <w:szCs w:val="24"/>
        </w:rPr>
        <w:t xml:space="preserve">Karatepe, O. M., &amp; </w:t>
      </w:r>
      <w:proofErr w:type="spellStart"/>
      <w:r w:rsidRPr="00B91B55">
        <w:rPr>
          <w:rFonts w:ascii="Calibri" w:hAnsi="Calibri" w:cs="Calibri"/>
          <w:color w:val="000000" w:themeColor="text1"/>
          <w:szCs w:val="24"/>
        </w:rPr>
        <w:t>Vatankhah</w:t>
      </w:r>
      <w:proofErr w:type="spellEnd"/>
      <w:r w:rsidRPr="00B91B55">
        <w:rPr>
          <w:rFonts w:ascii="Calibri" w:hAnsi="Calibri" w:cs="Calibri"/>
          <w:color w:val="000000" w:themeColor="text1"/>
          <w:szCs w:val="24"/>
        </w:rPr>
        <w:t xml:space="preserve">, S. (2014). The effects of high-performance work practices on perceived organizational support. </w:t>
      </w:r>
      <w:r w:rsidRPr="00B91B55">
        <w:rPr>
          <w:rFonts w:ascii="Calibri" w:hAnsi="Calibri" w:cs="Calibri"/>
          <w:i/>
          <w:iCs/>
          <w:color w:val="000000" w:themeColor="text1"/>
          <w:szCs w:val="24"/>
        </w:rPr>
        <w:t>International Journal of Contemporary Hospitality Management, 26</w:t>
      </w:r>
      <w:r w:rsidRPr="00B91B55">
        <w:rPr>
          <w:rFonts w:ascii="Calibri" w:hAnsi="Calibri" w:cs="Calibri"/>
          <w:color w:val="000000" w:themeColor="text1"/>
          <w:szCs w:val="24"/>
        </w:rPr>
        <w:t>(2), 212–231. https://doi.org/10.1108/IJCHM-06-2012-0097</w:t>
      </w:r>
    </w:p>
    <w:p w14:paraId="0B26316A" w14:textId="77777777" w:rsidR="00B91B55" w:rsidRPr="00B91B55" w:rsidRDefault="00B91B55" w:rsidP="00B91B55">
      <w:pPr>
        <w:spacing w:line="480" w:lineRule="auto"/>
        <w:rPr>
          <w:rFonts w:ascii="Calibri" w:hAnsi="Calibri" w:cs="Calibri"/>
          <w:color w:val="000000" w:themeColor="text1"/>
          <w:szCs w:val="24"/>
        </w:rPr>
      </w:pPr>
      <w:r w:rsidRPr="00B91B55">
        <w:rPr>
          <w:rFonts w:ascii="Calibri" w:hAnsi="Calibri" w:cs="Calibri"/>
          <w:color w:val="000000" w:themeColor="text1"/>
          <w:szCs w:val="24"/>
        </w:rPr>
        <w:t xml:space="preserve">Kim, H., </w:t>
      </w:r>
      <w:proofErr w:type="spellStart"/>
      <w:r w:rsidRPr="00B91B55">
        <w:rPr>
          <w:rFonts w:ascii="Calibri" w:hAnsi="Calibri" w:cs="Calibri"/>
          <w:color w:val="000000" w:themeColor="text1"/>
          <w:szCs w:val="24"/>
        </w:rPr>
        <w:t>Im</w:t>
      </w:r>
      <w:proofErr w:type="spellEnd"/>
      <w:r w:rsidRPr="00B91B55">
        <w:rPr>
          <w:rFonts w:ascii="Calibri" w:hAnsi="Calibri" w:cs="Calibri"/>
          <w:color w:val="000000" w:themeColor="text1"/>
          <w:szCs w:val="24"/>
        </w:rPr>
        <w:t xml:space="preserve">, J., &amp; Qu, H. (2018). Exploring antecedents and consequences of job crafting. </w:t>
      </w:r>
      <w:r w:rsidRPr="00B91B55">
        <w:rPr>
          <w:rFonts w:ascii="Calibri" w:hAnsi="Calibri" w:cs="Calibri"/>
          <w:i/>
          <w:iCs/>
          <w:color w:val="000000" w:themeColor="text1"/>
          <w:szCs w:val="24"/>
        </w:rPr>
        <w:t>International Journal of Hospitality Management, 75</w:t>
      </w:r>
      <w:r w:rsidRPr="00B91B55">
        <w:rPr>
          <w:rFonts w:ascii="Calibri" w:hAnsi="Calibri" w:cs="Calibri"/>
          <w:color w:val="000000" w:themeColor="text1"/>
          <w:szCs w:val="24"/>
        </w:rPr>
        <w:t>, 18–26. https://doi.org/10.1016/j.ijhm.2018.02.014</w:t>
      </w:r>
    </w:p>
    <w:p w14:paraId="5342672E" w14:textId="77777777" w:rsidR="00B91B55" w:rsidRPr="00B91B55" w:rsidRDefault="00B91B55" w:rsidP="00B91B55">
      <w:pPr>
        <w:spacing w:line="480" w:lineRule="auto"/>
        <w:rPr>
          <w:rFonts w:ascii="Calibri" w:hAnsi="Calibri" w:cs="Calibri"/>
          <w:color w:val="000000" w:themeColor="text1"/>
          <w:szCs w:val="24"/>
        </w:rPr>
      </w:pPr>
      <w:r w:rsidRPr="00B91B55">
        <w:rPr>
          <w:rFonts w:ascii="Calibri" w:hAnsi="Calibri" w:cs="Calibri"/>
          <w:color w:val="000000" w:themeColor="text1"/>
          <w:szCs w:val="24"/>
        </w:rPr>
        <w:t xml:space="preserve">Lee, J., &amp; Ok, C. (2012). Reducing burnout and enhancing job satisfaction. </w:t>
      </w:r>
      <w:r w:rsidRPr="00B91B55">
        <w:rPr>
          <w:rFonts w:ascii="Calibri" w:hAnsi="Calibri" w:cs="Calibri"/>
          <w:i/>
          <w:iCs/>
          <w:color w:val="000000" w:themeColor="text1"/>
          <w:szCs w:val="24"/>
        </w:rPr>
        <w:t>International Journal of Hospitality Management, 31</w:t>
      </w:r>
      <w:r w:rsidRPr="00B91B55">
        <w:rPr>
          <w:rFonts w:ascii="Calibri" w:hAnsi="Calibri" w:cs="Calibri"/>
          <w:color w:val="000000" w:themeColor="text1"/>
          <w:szCs w:val="24"/>
        </w:rPr>
        <w:t>(4), 1101–1111. https://doi.org/10.1016/j.ijhm.2012.01.003</w:t>
      </w:r>
    </w:p>
    <w:p w14:paraId="357D27FA" w14:textId="77777777" w:rsidR="00B91B55" w:rsidRPr="00B91B55" w:rsidRDefault="00B91B55" w:rsidP="00B91B55">
      <w:pPr>
        <w:spacing w:line="480" w:lineRule="auto"/>
        <w:rPr>
          <w:rFonts w:ascii="Calibri" w:hAnsi="Calibri" w:cs="Calibri"/>
          <w:color w:val="000000" w:themeColor="text1"/>
          <w:szCs w:val="24"/>
        </w:rPr>
      </w:pPr>
      <w:r w:rsidRPr="00B91B55">
        <w:rPr>
          <w:rFonts w:ascii="Calibri" w:hAnsi="Calibri" w:cs="Calibri"/>
          <w:color w:val="000000" w:themeColor="text1"/>
          <w:szCs w:val="24"/>
        </w:rPr>
        <w:t xml:space="preserve">Schaufeli, W. B., </w:t>
      </w:r>
      <w:proofErr w:type="spellStart"/>
      <w:r w:rsidRPr="00B91B55">
        <w:rPr>
          <w:rFonts w:ascii="Calibri" w:hAnsi="Calibri" w:cs="Calibri"/>
          <w:color w:val="000000" w:themeColor="text1"/>
          <w:szCs w:val="24"/>
        </w:rPr>
        <w:t>Salanova</w:t>
      </w:r>
      <w:proofErr w:type="spellEnd"/>
      <w:r w:rsidRPr="00B91B55">
        <w:rPr>
          <w:rFonts w:ascii="Calibri" w:hAnsi="Calibri" w:cs="Calibri"/>
          <w:color w:val="000000" w:themeColor="text1"/>
          <w:szCs w:val="24"/>
        </w:rPr>
        <w:t>, M., González-</w:t>
      </w:r>
      <w:proofErr w:type="spellStart"/>
      <w:r w:rsidRPr="00B91B55">
        <w:rPr>
          <w:rFonts w:ascii="Calibri" w:hAnsi="Calibri" w:cs="Calibri"/>
          <w:color w:val="000000" w:themeColor="text1"/>
          <w:szCs w:val="24"/>
        </w:rPr>
        <w:t>Romá</w:t>
      </w:r>
      <w:proofErr w:type="spellEnd"/>
      <w:r w:rsidRPr="00B91B55">
        <w:rPr>
          <w:rFonts w:ascii="Calibri" w:hAnsi="Calibri" w:cs="Calibri"/>
          <w:color w:val="000000" w:themeColor="text1"/>
          <w:szCs w:val="24"/>
        </w:rPr>
        <w:t xml:space="preserve">, V., &amp; Bakker, A. B. (2002). The measurement of engagement and burnout. </w:t>
      </w:r>
      <w:r w:rsidRPr="00B91B55">
        <w:rPr>
          <w:rFonts w:ascii="Calibri" w:hAnsi="Calibri" w:cs="Calibri"/>
          <w:i/>
          <w:iCs/>
          <w:color w:val="000000" w:themeColor="text1"/>
          <w:szCs w:val="24"/>
        </w:rPr>
        <w:t>Journal of Happiness Studies, 3</w:t>
      </w:r>
      <w:r w:rsidRPr="00B91B55">
        <w:rPr>
          <w:rFonts w:ascii="Calibri" w:hAnsi="Calibri" w:cs="Calibri"/>
          <w:color w:val="000000" w:themeColor="text1"/>
          <w:szCs w:val="24"/>
        </w:rPr>
        <w:t>(1), 71–92. https://doi.org/10.1023/A:1015630930326</w:t>
      </w:r>
    </w:p>
    <w:p w14:paraId="1D737A9D" w14:textId="77777777" w:rsidR="00B91B55" w:rsidRPr="00B91B55" w:rsidRDefault="00B91B55" w:rsidP="00B91B55">
      <w:pPr>
        <w:spacing w:line="480" w:lineRule="auto"/>
        <w:rPr>
          <w:rFonts w:ascii="Calibri" w:hAnsi="Calibri" w:cs="Calibri"/>
          <w:color w:val="000000" w:themeColor="text1"/>
          <w:szCs w:val="24"/>
        </w:rPr>
      </w:pPr>
      <w:r w:rsidRPr="00B91B55">
        <w:rPr>
          <w:rFonts w:ascii="Calibri" w:hAnsi="Calibri" w:cs="Calibri"/>
          <w:color w:val="000000" w:themeColor="text1"/>
          <w:szCs w:val="24"/>
        </w:rPr>
        <w:lastRenderedPageBreak/>
        <w:t xml:space="preserve">Saks, A. M. (2006). Antecedents and consequences of employee engagement. </w:t>
      </w:r>
      <w:r w:rsidRPr="00B91B55">
        <w:rPr>
          <w:rFonts w:ascii="Calibri" w:hAnsi="Calibri" w:cs="Calibri"/>
          <w:i/>
          <w:iCs/>
          <w:color w:val="000000" w:themeColor="text1"/>
          <w:szCs w:val="24"/>
        </w:rPr>
        <w:t>Journal of Managerial Psychology, 21</w:t>
      </w:r>
      <w:r w:rsidRPr="00B91B55">
        <w:rPr>
          <w:rFonts w:ascii="Calibri" w:hAnsi="Calibri" w:cs="Calibri"/>
          <w:color w:val="000000" w:themeColor="text1"/>
          <w:szCs w:val="24"/>
        </w:rPr>
        <w:t xml:space="preserve">(7), 600–619. </w:t>
      </w:r>
      <w:hyperlink r:id="rId12" w:tgtFrame="_new" w:history="1">
        <w:r w:rsidRPr="00B91B55">
          <w:rPr>
            <w:rStyle w:val="Hyperlink"/>
            <w:rFonts w:ascii="Calibri" w:hAnsi="Calibri" w:cs="Calibri"/>
            <w:szCs w:val="24"/>
          </w:rPr>
          <w:t>https://doi.org/10.1108/02683940610690169</w:t>
        </w:r>
      </w:hyperlink>
    </w:p>
    <w:p w14:paraId="75071ACC" w14:textId="77777777" w:rsidR="00864FB4" w:rsidRPr="00195A87" w:rsidRDefault="00864FB4" w:rsidP="00B91B55">
      <w:pPr>
        <w:spacing w:line="480" w:lineRule="auto"/>
        <w:rPr>
          <w:rFonts w:ascii="Calibri" w:hAnsi="Calibri" w:cs="Calibri"/>
        </w:rPr>
      </w:pPr>
    </w:p>
    <w:sectPr w:rsidR="00864FB4" w:rsidRPr="00195A8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FB4"/>
    <w:rsid w:val="00012C33"/>
    <w:rsid w:val="00195A87"/>
    <w:rsid w:val="0021686C"/>
    <w:rsid w:val="004608B7"/>
    <w:rsid w:val="00864FB4"/>
    <w:rsid w:val="00AE76BA"/>
    <w:rsid w:val="00B34C13"/>
    <w:rsid w:val="00B91B55"/>
    <w:rsid w:val="00D048F5"/>
    <w:rsid w:val="00F10CB3"/>
    <w:rsid w:val="00F36D51"/>
    <w:rsid w:val="00F432D1"/>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E074C"/>
  <w15:chartTrackingRefBased/>
  <w15:docId w15:val="{B2927ECE-684F-4AE6-89CE-963EFC482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4FB4"/>
  </w:style>
  <w:style w:type="paragraph" w:styleId="Heading1">
    <w:name w:val="heading 1"/>
    <w:basedOn w:val="Normal"/>
    <w:next w:val="Normal"/>
    <w:link w:val="Heading1Char"/>
    <w:uiPriority w:val="9"/>
    <w:qFormat/>
    <w:rsid w:val="00864FB4"/>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864FB4"/>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864FB4"/>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864F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4F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4F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4F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4F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4F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4FB4"/>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864FB4"/>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864FB4"/>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864F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4F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4F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4F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4F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4FB4"/>
    <w:rPr>
      <w:rFonts w:eastAsiaTheme="majorEastAsia" w:cstheme="majorBidi"/>
      <w:color w:val="272727" w:themeColor="text1" w:themeTint="D8"/>
    </w:rPr>
  </w:style>
  <w:style w:type="paragraph" w:styleId="Title">
    <w:name w:val="Title"/>
    <w:basedOn w:val="Normal"/>
    <w:next w:val="Normal"/>
    <w:link w:val="TitleChar"/>
    <w:uiPriority w:val="10"/>
    <w:qFormat/>
    <w:rsid w:val="00864FB4"/>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864FB4"/>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864FB4"/>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864FB4"/>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864FB4"/>
    <w:pPr>
      <w:spacing w:before="160"/>
      <w:jc w:val="center"/>
    </w:pPr>
    <w:rPr>
      <w:i/>
      <w:iCs/>
      <w:color w:val="404040" w:themeColor="text1" w:themeTint="BF"/>
    </w:rPr>
  </w:style>
  <w:style w:type="character" w:customStyle="1" w:styleId="QuoteChar">
    <w:name w:val="Quote Char"/>
    <w:basedOn w:val="DefaultParagraphFont"/>
    <w:link w:val="Quote"/>
    <w:uiPriority w:val="29"/>
    <w:rsid w:val="00864FB4"/>
    <w:rPr>
      <w:i/>
      <w:iCs/>
      <w:color w:val="404040" w:themeColor="text1" w:themeTint="BF"/>
    </w:rPr>
  </w:style>
  <w:style w:type="paragraph" w:styleId="ListParagraph">
    <w:name w:val="List Paragraph"/>
    <w:basedOn w:val="Normal"/>
    <w:uiPriority w:val="34"/>
    <w:qFormat/>
    <w:rsid w:val="00864FB4"/>
    <w:pPr>
      <w:ind w:left="720"/>
      <w:contextualSpacing/>
    </w:pPr>
  </w:style>
  <w:style w:type="character" w:styleId="IntenseEmphasis">
    <w:name w:val="Intense Emphasis"/>
    <w:basedOn w:val="DefaultParagraphFont"/>
    <w:uiPriority w:val="21"/>
    <w:qFormat/>
    <w:rsid w:val="00864FB4"/>
    <w:rPr>
      <w:i/>
      <w:iCs/>
      <w:color w:val="0F4761" w:themeColor="accent1" w:themeShade="BF"/>
    </w:rPr>
  </w:style>
  <w:style w:type="paragraph" w:styleId="IntenseQuote">
    <w:name w:val="Intense Quote"/>
    <w:basedOn w:val="Normal"/>
    <w:next w:val="Normal"/>
    <w:link w:val="IntenseQuoteChar"/>
    <w:uiPriority w:val="30"/>
    <w:qFormat/>
    <w:rsid w:val="00864F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4FB4"/>
    <w:rPr>
      <w:i/>
      <w:iCs/>
      <w:color w:val="0F4761" w:themeColor="accent1" w:themeShade="BF"/>
    </w:rPr>
  </w:style>
  <w:style w:type="character" w:styleId="IntenseReference">
    <w:name w:val="Intense Reference"/>
    <w:basedOn w:val="DefaultParagraphFont"/>
    <w:uiPriority w:val="32"/>
    <w:qFormat/>
    <w:rsid w:val="00864FB4"/>
    <w:rPr>
      <w:b/>
      <w:bCs/>
      <w:smallCaps/>
      <w:color w:val="0F4761" w:themeColor="accent1" w:themeShade="BF"/>
      <w:spacing w:val="5"/>
    </w:rPr>
  </w:style>
  <w:style w:type="paragraph" w:styleId="TOCHeading">
    <w:name w:val="TOC Heading"/>
    <w:basedOn w:val="Heading1"/>
    <w:next w:val="Normal"/>
    <w:uiPriority w:val="39"/>
    <w:unhideWhenUsed/>
    <w:qFormat/>
    <w:rsid w:val="00864FB4"/>
    <w:pPr>
      <w:spacing w:before="240" w:after="0" w:line="259" w:lineRule="auto"/>
      <w:outlineLvl w:val="9"/>
    </w:pPr>
    <w:rPr>
      <w:kern w:val="0"/>
      <w:sz w:val="32"/>
      <w:szCs w:val="32"/>
      <w:lang w:val="en-US" w:bidi="ar-SA"/>
      <w14:ligatures w14:val="none"/>
    </w:rPr>
  </w:style>
  <w:style w:type="paragraph" w:styleId="TOC1">
    <w:name w:val="toc 1"/>
    <w:basedOn w:val="Normal"/>
    <w:next w:val="Normal"/>
    <w:autoRedefine/>
    <w:uiPriority w:val="39"/>
    <w:unhideWhenUsed/>
    <w:rsid w:val="00864FB4"/>
    <w:pPr>
      <w:spacing w:after="100"/>
    </w:pPr>
  </w:style>
  <w:style w:type="character" w:styleId="Hyperlink">
    <w:name w:val="Hyperlink"/>
    <w:basedOn w:val="DefaultParagraphFont"/>
    <w:uiPriority w:val="99"/>
    <w:unhideWhenUsed/>
    <w:rsid w:val="00864FB4"/>
    <w:rPr>
      <w:color w:val="467886" w:themeColor="hyperlink"/>
      <w:u w:val="single"/>
    </w:rPr>
  </w:style>
  <w:style w:type="character" w:styleId="UnresolvedMention">
    <w:name w:val="Unresolved Mention"/>
    <w:basedOn w:val="DefaultParagraphFont"/>
    <w:uiPriority w:val="99"/>
    <w:semiHidden/>
    <w:unhideWhenUsed/>
    <w:rsid w:val="00B91B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leaqua.2018.07.004"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111/j.1748-8583.2005.tb00154.x" TargetMode="External"/><Relationship Id="rId12" Type="http://schemas.openxmlformats.org/officeDocument/2006/relationships/hyperlink" Target="https://doi.org/10.1108/0268394061069016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108/02683940710733115" TargetMode="External"/><Relationship Id="rId11" Type="http://schemas.openxmlformats.org/officeDocument/2006/relationships/hyperlink" Target="https://doi.org/10.1037/apl0000103" TargetMode="External"/><Relationship Id="rId5" Type="http://schemas.openxmlformats.org/officeDocument/2006/relationships/image" Target="media/image2.png"/><Relationship Id="rId10" Type="http://schemas.openxmlformats.org/officeDocument/2006/relationships/hyperlink" Target="https://doi.org/10.1037/0021-9010.87.2.268" TargetMode="External"/><Relationship Id="rId4" Type="http://schemas.openxmlformats.org/officeDocument/2006/relationships/image" Target="media/image1.png"/><Relationship Id="rId9" Type="http://schemas.openxmlformats.org/officeDocument/2006/relationships/hyperlink" Target="https://doi.org/10.1037/1065-9293.58.3.12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35</Pages>
  <Words>7033</Words>
  <Characters>40092</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Vanshika (24134918)</dc:creator>
  <cp:keywords/>
  <dc:description/>
  <cp:lastModifiedBy>Vanshika (24134918)</cp:lastModifiedBy>
  <cp:revision>1</cp:revision>
  <dcterms:created xsi:type="dcterms:W3CDTF">2026-02-06T02:23:00Z</dcterms:created>
  <dcterms:modified xsi:type="dcterms:W3CDTF">2026-02-06T03:34:00Z</dcterms:modified>
</cp:coreProperties>
</file>