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DAF10" w14:textId="77777777" w:rsidR="0070246B" w:rsidRDefault="0070246B" w:rsidP="0019504D">
      <w:pPr>
        <w:rPr>
          <w:lang w:val="en-US"/>
        </w:rPr>
      </w:pPr>
    </w:p>
    <w:p w14:paraId="4291DF77"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4451529" wp14:editId="294991F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136AC39"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5979F84C" w14:textId="77777777" w:rsidR="0019504D" w:rsidRDefault="0019504D" w:rsidP="0019504D">
      <w:pPr>
        <w:rPr>
          <w:lang w:val="en-US"/>
        </w:rPr>
      </w:pPr>
      <w:r w:rsidRPr="0019504D">
        <w:rPr>
          <w:lang w:val="en-US"/>
        </w:rPr>
        <w:t>Ass</w:t>
      </w:r>
      <w:r>
        <w:rPr>
          <w:lang w:val="en-US"/>
        </w:rPr>
        <w:t xml:space="preserve">ignment </w:t>
      </w:r>
      <w:r w:rsidR="0070246B">
        <w:rPr>
          <w:lang w:val="en-US"/>
        </w:rPr>
        <w:t>11</w:t>
      </w:r>
    </w:p>
    <w:p w14:paraId="37376389" w14:textId="77777777"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62F25622" w14:textId="0E7A54A9" w:rsidR="0019504D" w:rsidRPr="0019504D" w:rsidRDefault="00637F36" w:rsidP="0019504D">
      <w:pPr>
        <w:rPr>
          <w:lang w:val="en-US"/>
        </w:rPr>
      </w:pPr>
      <w:r>
        <w:rPr>
          <w:lang w:val="en-US"/>
        </w:rPr>
        <w:br/>
        <w:t>Student Name:</w:t>
      </w:r>
      <w:r w:rsidR="007A07E6">
        <w:rPr>
          <w:lang w:val="en-US"/>
        </w:rPr>
        <w:t xml:space="preserve"> Deepak Chand Ramola </w:t>
      </w:r>
      <w:r>
        <w:rPr>
          <w:lang w:val="en-US"/>
        </w:rPr>
        <w:br/>
      </w:r>
    </w:p>
    <w:p w14:paraId="05DF4E9E" w14:textId="77777777" w:rsidR="0019504D" w:rsidRDefault="0019504D"/>
    <w:p w14:paraId="62D7A4F7" w14:textId="77777777" w:rsidR="0019504D" w:rsidRDefault="0019504D"/>
    <w:p w14:paraId="05E07FF6" w14:textId="77777777" w:rsidR="0019504D" w:rsidRDefault="0019504D"/>
    <w:p w14:paraId="1099A6E2" w14:textId="77777777" w:rsidR="00CD620A" w:rsidRDefault="00CD620A"/>
    <w:p w14:paraId="71A3ED83" w14:textId="77777777" w:rsidR="009673A4" w:rsidRDefault="009673A4"/>
    <w:p w14:paraId="38DBAA62" w14:textId="77777777" w:rsidR="009673A4" w:rsidRDefault="009673A4"/>
    <w:p w14:paraId="5E244BBD" w14:textId="77777777" w:rsidR="009673A4" w:rsidRDefault="009673A4"/>
    <w:p w14:paraId="317A7F35" w14:textId="77777777" w:rsidR="009673A4" w:rsidRDefault="009673A4"/>
    <w:p w14:paraId="436EDD29" w14:textId="77777777" w:rsidR="009673A4" w:rsidRDefault="009673A4"/>
    <w:p w14:paraId="0F273D9F" w14:textId="77777777" w:rsidR="009673A4" w:rsidRDefault="009673A4"/>
    <w:p w14:paraId="6F73BA6D" w14:textId="77777777" w:rsidR="009673A4" w:rsidRDefault="009673A4"/>
    <w:p w14:paraId="45C3D43E"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04B2370D" w14:textId="77777777" w:rsidR="0070246B" w:rsidRDefault="0070246B" w:rsidP="0070246B">
      <w:pPr>
        <w:spacing w:line="276" w:lineRule="auto"/>
        <w:rPr>
          <w:b/>
          <w:bCs/>
          <w:lang w:val="en-US"/>
        </w:rPr>
      </w:pPr>
    </w:p>
    <w:p w14:paraId="43F6B01C" w14:textId="77777777" w:rsidR="0070246B" w:rsidRPr="0070246B" w:rsidRDefault="0070246B" w:rsidP="0070246B">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69CEF976" w14:textId="77777777" w:rsidR="0070246B" w:rsidRDefault="0070246B" w:rsidP="0070246B">
      <w:pPr>
        <w:pStyle w:val="ListParagraph"/>
        <w:numPr>
          <w:ilvl w:val="0"/>
          <w:numId w:val="12"/>
        </w:numPr>
        <w:spacing w:line="276" w:lineRule="auto"/>
        <w:rPr>
          <w:lang w:val="en-US"/>
        </w:rPr>
      </w:pPr>
      <w:r w:rsidRPr="007A07E6">
        <w:rPr>
          <w:lang w:val="en-US"/>
        </w:rPr>
        <w:t>Please specify the name of the case study, with a particular focus on post-crisis recovery plans.</w:t>
      </w:r>
    </w:p>
    <w:p w14:paraId="31DF726C" w14:textId="77777777" w:rsidR="007A07E6" w:rsidRDefault="007A07E6" w:rsidP="007A07E6">
      <w:pPr>
        <w:pStyle w:val="ListParagraph"/>
        <w:spacing w:line="276" w:lineRule="auto"/>
        <w:ind w:left="0"/>
        <w:rPr>
          <w:lang w:val="en-US"/>
        </w:rPr>
      </w:pPr>
    </w:p>
    <w:p w14:paraId="6D62018D" w14:textId="77777777" w:rsidR="007A07E6" w:rsidRDefault="007A07E6" w:rsidP="007A07E6">
      <w:pPr>
        <w:pStyle w:val="ListParagraph"/>
        <w:spacing w:line="276" w:lineRule="auto"/>
        <w:ind w:left="0"/>
        <w:rPr>
          <w:lang w:val="en-US"/>
        </w:rPr>
      </w:pPr>
    </w:p>
    <w:p w14:paraId="023017E6" w14:textId="77777777" w:rsidR="007A07E6" w:rsidRDefault="007A07E6" w:rsidP="007A07E6">
      <w:pPr>
        <w:pStyle w:val="ListParagraph"/>
        <w:spacing w:line="276" w:lineRule="auto"/>
        <w:ind w:left="0"/>
        <w:rPr>
          <w:lang w:val="en-US"/>
        </w:rPr>
      </w:pPr>
    </w:p>
    <w:p w14:paraId="5D9D4F16" w14:textId="77777777" w:rsidR="007A07E6" w:rsidRDefault="007A07E6" w:rsidP="007A07E6">
      <w:pPr>
        <w:pStyle w:val="ListParagraph"/>
        <w:spacing w:line="276" w:lineRule="auto"/>
        <w:ind w:left="0"/>
        <w:rPr>
          <w:lang w:val="en-US"/>
        </w:rPr>
      </w:pPr>
    </w:p>
    <w:p w14:paraId="6E51AB83" w14:textId="77777777" w:rsidR="007A07E6" w:rsidRDefault="007A07E6" w:rsidP="007A07E6">
      <w:pPr>
        <w:pStyle w:val="ListParagraph"/>
        <w:spacing w:line="276" w:lineRule="auto"/>
        <w:ind w:left="0"/>
        <w:rPr>
          <w:lang w:val="en-US"/>
        </w:rPr>
      </w:pPr>
    </w:p>
    <w:p w14:paraId="4D01F537" w14:textId="77777777" w:rsidR="007A07E6" w:rsidRDefault="007A07E6" w:rsidP="007A07E6">
      <w:pPr>
        <w:pStyle w:val="ListParagraph"/>
        <w:spacing w:line="276" w:lineRule="auto"/>
        <w:ind w:left="0"/>
        <w:rPr>
          <w:lang w:val="en-US"/>
        </w:rPr>
      </w:pPr>
    </w:p>
    <w:p w14:paraId="485C0E6F" w14:textId="77777777" w:rsidR="007A07E6" w:rsidRDefault="007A07E6" w:rsidP="007A07E6">
      <w:pPr>
        <w:pStyle w:val="ListParagraph"/>
        <w:spacing w:line="276" w:lineRule="auto"/>
        <w:ind w:left="0"/>
        <w:rPr>
          <w:lang w:val="en-US"/>
        </w:rPr>
      </w:pPr>
    </w:p>
    <w:p w14:paraId="0C781653" w14:textId="77777777" w:rsidR="007A07E6" w:rsidRDefault="007A07E6" w:rsidP="007A07E6">
      <w:pPr>
        <w:pStyle w:val="ListParagraph"/>
        <w:spacing w:line="276" w:lineRule="auto"/>
        <w:ind w:left="0"/>
        <w:rPr>
          <w:lang w:val="en-US"/>
        </w:rPr>
      </w:pPr>
    </w:p>
    <w:p w14:paraId="09AF9E4B" w14:textId="77777777" w:rsidR="007A07E6" w:rsidRDefault="007A07E6" w:rsidP="007A07E6">
      <w:pPr>
        <w:pStyle w:val="ListParagraph"/>
        <w:spacing w:line="276" w:lineRule="auto"/>
        <w:ind w:left="0"/>
        <w:rPr>
          <w:lang w:val="en-US"/>
        </w:rPr>
      </w:pPr>
    </w:p>
    <w:p w14:paraId="2839E3E5" w14:textId="77777777" w:rsidR="007A07E6" w:rsidRDefault="007A07E6" w:rsidP="007A07E6">
      <w:pPr>
        <w:pStyle w:val="ListParagraph"/>
        <w:spacing w:line="276" w:lineRule="auto"/>
        <w:ind w:left="0"/>
        <w:rPr>
          <w:lang w:val="en-US"/>
        </w:rPr>
      </w:pPr>
    </w:p>
    <w:p w14:paraId="26640F35" w14:textId="77777777" w:rsidR="007A07E6" w:rsidRDefault="007A07E6" w:rsidP="007A07E6">
      <w:pPr>
        <w:pStyle w:val="ListParagraph"/>
        <w:spacing w:line="276" w:lineRule="auto"/>
        <w:ind w:left="0"/>
        <w:rPr>
          <w:lang w:val="en-US"/>
        </w:rPr>
      </w:pPr>
    </w:p>
    <w:p w14:paraId="38D0D984" w14:textId="77777777" w:rsidR="007A07E6" w:rsidRDefault="007A07E6" w:rsidP="007A07E6">
      <w:pPr>
        <w:pStyle w:val="ListParagraph"/>
        <w:spacing w:line="276" w:lineRule="auto"/>
        <w:ind w:left="0"/>
        <w:rPr>
          <w:lang w:val="en-US"/>
        </w:rPr>
      </w:pPr>
    </w:p>
    <w:p w14:paraId="01F59198" w14:textId="77777777" w:rsidR="007A07E6" w:rsidRDefault="007A07E6" w:rsidP="007A07E6">
      <w:pPr>
        <w:pStyle w:val="ListParagraph"/>
        <w:spacing w:line="276" w:lineRule="auto"/>
        <w:ind w:left="0"/>
        <w:rPr>
          <w:lang w:val="en-US"/>
        </w:rPr>
      </w:pPr>
    </w:p>
    <w:p w14:paraId="3EFFF4FA" w14:textId="77777777" w:rsidR="007A07E6" w:rsidRDefault="007A07E6" w:rsidP="007A07E6">
      <w:pPr>
        <w:pStyle w:val="ListParagraph"/>
        <w:spacing w:line="276" w:lineRule="auto"/>
        <w:ind w:left="0"/>
        <w:rPr>
          <w:lang w:val="en-US"/>
        </w:rPr>
      </w:pPr>
    </w:p>
    <w:p w14:paraId="6FE0581F" w14:textId="77777777" w:rsidR="007A07E6" w:rsidRDefault="007A07E6" w:rsidP="007A07E6">
      <w:pPr>
        <w:pStyle w:val="ListParagraph"/>
        <w:spacing w:line="276" w:lineRule="auto"/>
        <w:ind w:left="0"/>
        <w:rPr>
          <w:lang w:val="en-US"/>
        </w:rPr>
      </w:pPr>
    </w:p>
    <w:p w14:paraId="2EA9F569" w14:textId="77777777" w:rsidR="007A07E6" w:rsidRDefault="007A07E6" w:rsidP="007A07E6">
      <w:pPr>
        <w:pStyle w:val="ListParagraph"/>
        <w:spacing w:line="276" w:lineRule="auto"/>
        <w:ind w:left="0"/>
        <w:rPr>
          <w:lang w:val="en-US"/>
        </w:rPr>
      </w:pPr>
    </w:p>
    <w:p w14:paraId="1930884D" w14:textId="77777777" w:rsidR="007A07E6" w:rsidRDefault="007A07E6" w:rsidP="007A07E6">
      <w:pPr>
        <w:pStyle w:val="ListParagraph"/>
        <w:spacing w:line="276" w:lineRule="auto"/>
        <w:ind w:left="0"/>
        <w:rPr>
          <w:lang w:val="en-US"/>
        </w:rPr>
      </w:pPr>
    </w:p>
    <w:p w14:paraId="2259FD79" w14:textId="77777777" w:rsidR="007A07E6" w:rsidRDefault="007A07E6" w:rsidP="007A07E6">
      <w:pPr>
        <w:pStyle w:val="ListParagraph"/>
        <w:spacing w:line="276" w:lineRule="auto"/>
        <w:ind w:left="0"/>
        <w:rPr>
          <w:lang w:val="en-US"/>
        </w:rPr>
      </w:pPr>
    </w:p>
    <w:p w14:paraId="6651A8E1" w14:textId="77777777" w:rsidR="00107138" w:rsidRPr="00107138" w:rsidRDefault="00107138" w:rsidP="00107138">
      <w:pPr>
        <w:pStyle w:val="ListParagraph"/>
        <w:spacing w:line="276" w:lineRule="auto"/>
        <w:ind w:left="0"/>
        <w:rPr>
          <w:lang w:val="en-GB"/>
        </w:rPr>
      </w:pPr>
      <w:r w:rsidRPr="00107138">
        <w:rPr>
          <w:b/>
          <w:bCs/>
          <w:lang w:val="en-GB"/>
        </w:rPr>
        <w:lastRenderedPageBreak/>
        <w:t>Using the PATA Crisis Management Strategy to Reduce the Impacts of the Tourism Crisis Case Study: Indonesia's Tourism Recovery Following the Bombings in Bali in 2002</w:t>
      </w:r>
      <w:r w:rsidRPr="00107138">
        <w:rPr>
          <w:lang w:val="en-GB"/>
        </w:rPr>
        <w:br/>
      </w:r>
      <w:r w:rsidRPr="00107138">
        <w:rPr>
          <w:lang w:val="en-GB"/>
        </w:rPr>
        <w:br/>
        <w:t>Crises that have an impact on people's sense of safety and security are extremely sensitive to the tourism industry. Particularly, occurrences that are associated to terrorism can lead to rapid decreases in the number of visitors arriving at a location, long-term damage to the reputation of the destination, and significant socio-economic effects for destinations that are dependent on tourism. The crisis management strategy of the Pacific Asia Travel Association (PATA) offers a comprehensive framework for limiting the effects of such disasters by means of coordinated action, organized recovery planning, and the development of resilience. Using Indonesia's tourism recovery following the bombings in Bali in 2002 as a case study, this essay takes a critical look at how the PATA crisis management technique might be used to minimize and lessen the repercussions of a tourist-related crisis. The essay places a significant emphasis on post-crisis recovery planning.</w:t>
      </w:r>
      <w:r w:rsidRPr="00107138">
        <w:rPr>
          <w:lang w:val="en-GB"/>
        </w:rPr>
        <w:br/>
      </w:r>
      <w:r w:rsidRPr="00107138">
        <w:rPr>
          <w:lang w:val="en-GB"/>
        </w:rPr>
        <w:br/>
        <w:t>Crisis Management Strategy Implemented by the PATA</w:t>
      </w:r>
      <w:r w:rsidRPr="00107138">
        <w:rPr>
          <w:lang w:val="en-GB"/>
        </w:rPr>
        <w:br/>
      </w:r>
      <w:r w:rsidRPr="00107138">
        <w:rPr>
          <w:lang w:val="en-GB"/>
        </w:rPr>
        <w:br/>
        <w:t xml:space="preserve">A four-stage cycle process serves as the basis for the crisis management plan that is implemented by the PATA. These stages include reduction, readiness, reaction, and recovery. According to PATA (2016), the framework places an emphasis on proactive risk assessment, preparedness planning, transparent crisis communication, and long-term recovery methods that strengthen the resilience of destinations. PATA promotes destinations to incorporate crisis learning into governance structures and tourism planning systems. This </w:t>
      </w:r>
      <w:proofErr w:type="gramStart"/>
      <w:r w:rsidRPr="00107138">
        <w:rPr>
          <w:lang w:val="en-GB"/>
        </w:rPr>
        <w:t>is in contrast to</w:t>
      </w:r>
      <w:proofErr w:type="gramEnd"/>
      <w:r w:rsidRPr="00107138">
        <w:rPr>
          <w:lang w:val="en-GB"/>
        </w:rPr>
        <w:t xml:space="preserve"> the traditional management approach, which views crises as isolated disturbances.</w:t>
      </w:r>
      <w:r w:rsidRPr="00107138">
        <w:rPr>
          <w:lang w:val="en-GB"/>
        </w:rPr>
        <w:br/>
      </w:r>
      <w:r w:rsidRPr="00107138">
        <w:rPr>
          <w:lang w:val="en-GB"/>
        </w:rPr>
        <w:br/>
        <w:t>The effectiveness of structured crisis management frameworks has been demonstrated by academic research, which highlights the fact that locations that have coordinated crisis tactics have a quicker recovery and less long-term harm (Faulkner, 2001; Ritchie, 2009). There is a strong congruence between the PATA approach and these theoretical establishments.</w:t>
      </w:r>
      <w:r w:rsidRPr="00107138">
        <w:rPr>
          <w:lang w:val="en-GB"/>
        </w:rPr>
        <w:br/>
      </w:r>
      <w:r w:rsidRPr="00107138">
        <w:rPr>
          <w:lang w:val="en-GB"/>
        </w:rPr>
        <w:br/>
        <w:t>The bombings in Bali provide context for the crisis.</w:t>
      </w:r>
      <w:r w:rsidRPr="00107138">
        <w:rPr>
          <w:lang w:val="en-GB"/>
        </w:rPr>
        <w:br/>
      </w:r>
      <w:r w:rsidRPr="00107138">
        <w:rPr>
          <w:lang w:val="en-GB"/>
        </w:rPr>
        <w:br/>
        <w:t xml:space="preserve">There were 202 persons killed </w:t>
      </w:r>
      <w:proofErr w:type="gramStart"/>
      <w:r w:rsidRPr="00107138">
        <w:rPr>
          <w:lang w:val="en-GB"/>
        </w:rPr>
        <w:t>as a result of</w:t>
      </w:r>
      <w:proofErr w:type="gramEnd"/>
      <w:r w:rsidRPr="00107138">
        <w:rPr>
          <w:lang w:val="en-GB"/>
        </w:rPr>
        <w:t xml:space="preserve"> a terrorist incident that took place in Bali in October of 2002. This attack sparked widespread worry about the safety situation in Indonesia. According to Hitchcock and Putra (2005), Bali, which is strongly dependent on international tourism, witnessed a substantial reduction in tourist numbers, with international tourism plummeting by more than thirty percent in the year following the attack. The occupancy rates of hotels plummeted, establishments related to tourism temporarily shut down, and thousands of people were laid off from their jobs.</w:t>
      </w:r>
      <w:r w:rsidRPr="00107138">
        <w:rPr>
          <w:lang w:val="en-GB"/>
        </w:rPr>
        <w:br/>
      </w:r>
      <w:r w:rsidRPr="00107138">
        <w:rPr>
          <w:lang w:val="en-GB"/>
        </w:rPr>
        <w:br/>
      </w:r>
      <w:r w:rsidRPr="00107138">
        <w:rPr>
          <w:lang w:val="en-GB"/>
        </w:rPr>
        <w:lastRenderedPageBreak/>
        <w:t xml:space="preserve">Beyond the physical damage, the crisis had a significant impact on the image of the destination </w:t>
      </w:r>
      <w:proofErr w:type="gramStart"/>
      <w:r w:rsidRPr="00107138">
        <w:rPr>
          <w:lang w:val="en-GB"/>
        </w:rPr>
        <w:t>as a result of</w:t>
      </w:r>
      <w:proofErr w:type="gramEnd"/>
      <w:r w:rsidRPr="00107138">
        <w:rPr>
          <w:lang w:val="en-GB"/>
        </w:rPr>
        <w:t xml:space="preserve"> the extensive coverage it received in international media. Because tourism accounts for a sizeable portion of Indonesia's foreign exchange earnings, the bombings that occurred in Bali represented a severe crisis that was tied to tourism and required a structured management approach as well as recovery strategy.</w:t>
      </w:r>
      <w:r w:rsidRPr="00107138">
        <w:rPr>
          <w:lang w:val="en-GB"/>
        </w:rPr>
        <w:br/>
      </w:r>
      <w:r w:rsidRPr="00107138">
        <w:rPr>
          <w:lang w:val="en-GB"/>
        </w:rPr>
        <w:br/>
        <w:t>In accordance with the principles of the PATA, crisis response</w:t>
      </w:r>
      <w:r w:rsidRPr="00107138">
        <w:rPr>
          <w:lang w:val="en-GB"/>
        </w:rPr>
        <w:br/>
      </w:r>
      <w:r w:rsidRPr="00107138">
        <w:rPr>
          <w:lang w:val="en-GB"/>
        </w:rPr>
        <w:br/>
        <w:t>1. Communication during times of crisis and assurance of safety</w:t>
      </w:r>
      <w:r w:rsidRPr="00107138">
        <w:rPr>
          <w:lang w:val="en-GB"/>
        </w:rPr>
        <w:br/>
      </w:r>
      <w:r w:rsidRPr="00107138">
        <w:rPr>
          <w:lang w:val="en-GB"/>
        </w:rPr>
        <w:br/>
        <w:t>Additionally, in accordance with the PATA reaction phase, the Indonesian authorities placed an emphasis on the development of security and transparent communication. There was an increase in the number of security measures implemented at airports, hotels, and tourist destinations, and official tourism authorities supplied regular updates to international markets. PATA emphasizes the importance of sustaining trust and decreasing excessive risk perceptions during times of crisis by highlighting the importance of communication that is both accurate and timely (PATA, 2016).</w:t>
      </w:r>
      <w:r w:rsidRPr="00107138">
        <w:rPr>
          <w:lang w:val="en-GB"/>
        </w:rPr>
        <w:br/>
      </w:r>
      <w:r w:rsidRPr="00107138">
        <w:rPr>
          <w:lang w:val="en-GB"/>
        </w:rPr>
        <w:br/>
        <w:t>Research conducted by academics suggests that open and honest communication during times of crisis is an essential component in regaining the confidence of tourists in the aftermath of terrorist attacks (</w:t>
      </w:r>
      <w:proofErr w:type="spellStart"/>
      <w:r w:rsidRPr="00107138">
        <w:rPr>
          <w:lang w:val="en-GB"/>
        </w:rPr>
        <w:t>Beirman</w:t>
      </w:r>
      <w:proofErr w:type="spellEnd"/>
      <w:r w:rsidRPr="00107138">
        <w:rPr>
          <w:lang w:val="en-GB"/>
        </w:rPr>
        <w:t>, 2011).</w:t>
      </w:r>
      <w:r w:rsidRPr="00107138">
        <w:rPr>
          <w:lang w:val="en-GB"/>
        </w:rPr>
        <w:br/>
      </w:r>
      <w:r w:rsidRPr="00107138">
        <w:rPr>
          <w:lang w:val="en-GB"/>
        </w:rPr>
        <w:br/>
        <w:t>2. Coordination of Stakeholder Organizations and Support for Industry</w:t>
      </w:r>
      <w:r w:rsidRPr="00107138">
        <w:rPr>
          <w:lang w:val="en-GB"/>
        </w:rPr>
        <w:br/>
      </w:r>
      <w:r w:rsidRPr="00107138">
        <w:rPr>
          <w:lang w:val="en-GB"/>
        </w:rPr>
        <w:br/>
        <w:t xml:space="preserve">Coordination between national government agencies, province tourist authorities, international organizations, and private-sector parties was an integral part of Indonesia's response to the crisis. Businesses in the tourism industry were offered financial help, tax relief, and marketing support </w:t>
      </w:r>
      <w:proofErr w:type="gramStart"/>
      <w:r w:rsidRPr="00107138">
        <w:rPr>
          <w:lang w:val="en-GB"/>
        </w:rPr>
        <w:t>in an effort to</w:t>
      </w:r>
      <w:proofErr w:type="gramEnd"/>
      <w:r w:rsidRPr="00107138">
        <w:rPr>
          <w:lang w:val="en-GB"/>
        </w:rPr>
        <w:t xml:space="preserve"> keep them from closing their doors permanently. The protection of tourism infrastructure and human capital during times of crisis is essential, as stated by Ritchie (2009), in order to guarantee the potential for long-term recovery when disaster strikes.</w:t>
      </w:r>
      <w:r w:rsidRPr="00107138">
        <w:rPr>
          <w:lang w:val="en-GB"/>
        </w:rPr>
        <w:br/>
      </w:r>
      <w:r w:rsidRPr="00107138">
        <w:rPr>
          <w:lang w:val="en-GB"/>
        </w:rPr>
        <w:br/>
        <w:t>Planning for Recovery Following a Crisis</w:t>
      </w:r>
      <w:r w:rsidRPr="00107138">
        <w:rPr>
          <w:lang w:val="en-GB"/>
        </w:rPr>
        <w:br/>
      </w:r>
      <w:r w:rsidRPr="00107138">
        <w:rPr>
          <w:lang w:val="en-GB"/>
        </w:rPr>
        <w:br/>
        <w:t>Restoring the Image of the Destination and Providing Market Reassurance</w:t>
      </w:r>
      <w:r w:rsidRPr="00107138">
        <w:rPr>
          <w:lang w:val="en-GB"/>
        </w:rPr>
        <w:br/>
      </w:r>
      <w:r w:rsidRPr="00107138">
        <w:rPr>
          <w:lang w:val="en-GB"/>
        </w:rPr>
        <w:br/>
        <w:t>Rebuilding the image of Bali as a destination through targeted international marketing campaigns that emphasised safety, cultural richness, and hospitality was the primary focus of post-crisis recovery initiatives in Bali. In accordance with the recovery guidelines provided by PATA, which emphasize the significance of reputation management and story reframing in the aftermath of catastrophes (PATA, 2016), several projects are included.</w:t>
      </w:r>
      <w:r w:rsidRPr="00107138">
        <w:rPr>
          <w:lang w:val="en-GB"/>
        </w:rPr>
        <w:br/>
      </w:r>
      <w:r w:rsidRPr="00107138">
        <w:rPr>
          <w:lang w:val="en-GB"/>
        </w:rPr>
        <w:lastRenderedPageBreak/>
        <w:br/>
        <w:t>According to the findings of academic research (Hitchcock &amp; Putra, 2005), the recovery of tourism following terrorist attacks is strongly dependent on the implementation of effective image restoration and reassurance methods that effectively lower perceived danger.</w:t>
      </w:r>
      <w:r w:rsidRPr="00107138">
        <w:rPr>
          <w:lang w:val="en-GB"/>
        </w:rPr>
        <w:br/>
      </w:r>
      <w:r w:rsidRPr="00107138">
        <w:rPr>
          <w:lang w:val="en-GB"/>
        </w:rPr>
        <w:br/>
        <w:t>2. The diversification of the market and the promotion of indigenous tourism</w:t>
      </w:r>
      <w:r w:rsidRPr="00107138">
        <w:rPr>
          <w:lang w:val="en-GB"/>
        </w:rPr>
        <w:br/>
      </w:r>
      <w:r w:rsidRPr="00107138">
        <w:rPr>
          <w:lang w:val="en-GB"/>
        </w:rPr>
        <w:br/>
        <w:t>In order to lessen its susceptibility to future shocks, Indonesia has prioritized domestic tourism and regional markets more than it had previously. One of the most important strategies for ensuring resilience is market diversity, which helps to reduce an organization's overdependence on a small number of worldwide source markets. For the duration of the recovery phase, domestic tourism campaigns assisted in maintaining demand stability and supported the preservation of jobs within the tourism sector respectively.</w:t>
      </w:r>
      <w:r w:rsidRPr="00107138">
        <w:rPr>
          <w:lang w:val="en-GB"/>
        </w:rPr>
        <w:br/>
      </w:r>
      <w:r w:rsidRPr="00107138">
        <w:rPr>
          <w:lang w:val="en-GB"/>
        </w:rPr>
        <w:br/>
        <w:t>Building Tourism's Capacity for Long-Term Resilience</w:t>
      </w:r>
      <w:r w:rsidRPr="00107138">
        <w:rPr>
          <w:lang w:val="en-GB"/>
        </w:rPr>
        <w:br/>
      </w:r>
      <w:r w:rsidRPr="00107138">
        <w:rPr>
          <w:lang w:val="en-GB"/>
        </w:rPr>
        <w:br/>
        <w:t xml:space="preserve">In addition, the bombings in Bali contributed to the implementation of structural changes in Indonesia's tourism governance and crisis preparedness. A greater emphasis was placed on the preparation of emergency response, the control of destination risk, and the collaboration with international security agencies. These initiatives </w:t>
      </w:r>
      <w:proofErr w:type="gramStart"/>
      <w:r w:rsidRPr="00107138">
        <w:rPr>
          <w:lang w:val="en-GB"/>
        </w:rPr>
        <w:t>are a reflection of</w:t>
      </w:r>
      <w:proofErr w:type="gramEnd"/>
      <w:r w:rsidRPr="00107138">
        <w:rPr>
          <w:lang w:val="en-GB"/>
        </w:rPr>
        <w:t xml:space="preserve"> the long-term goal of the PATA, which is to integrate preparedness and resilience into tourism systems rather than depending primarily on reactive solutions (Faulkner, 2001).</w:t>
      </w:r>
      <w:r w:rsidRPr="00107138">
        <w:rPr>
          <w:lang w:val="en-GB"/>
        </w:rPr>
        <w:br/>
      </w:r>
      <w:r w:rsidRPr="00107138">
        <w:rPr>
          <w:lang w:val="en-GB"/>
        </w:rPr>
        <w:br/>
        <w:t>In addition, during the recovery process, community engagement was strengthened, which ensured that locals would participate in the reconstruction of tourism. Through research conducted by Biggs et al. (2012), it has been demonstrated that community involvement not only strengthens social resilience but also supports more sustainable tourist recovery results.</w:t>
      </w:r>
      <w:r w:rsidRPr="00107138">
        <w:rPr>
          <w:lang w:val="en-GB"/>
        </w:rPr>
        <w:br/>
      </w:r>
      <w:r w:rsidRPr="00107138">
        <w:rPr>
          <w:lang w:val="en-GB"/>
        </w:rPr>
        <w:br/>
        <w:t>Evaluation of the Performance of the PATA Strategy in Bali's Reconstruction</w:t>
      </w:r>
      <w:r w:rsidRPr="00107138">
        <w:rPr>
          <w:lang w:val="en-GB"/>
        </w:rPr>
        <w:br/>
      </w:r>
      <w:r w:rsidRPr="00107138">
        <w:rPr>
          <w:lang w:val="en-GB"/>
        </w:rPr>
        <w:br/>
        <w:t xml:space="preserve">In the two to three years that followed the attack, Bali's tourism industry began to show signs of slow recovery, finally reaching the levels of arrivals that existed before to the crisis. </w:t>
      </w:r>
      <w:proofErr w:type="gramStart"/>
      <w:r w:rsidRPr="00107138">
        <w:rPr>
          <w:lang w:val="en-GB"/>
        </w:rPr>
        <w:t>In spite of the fact that</w:t>
      </w:r>
      <w:proofErr w:type="gramEnd"/>
      <w:r w:rsidRPr="00107138">
        <w:rPr>
          <w:lang w:val="en-GB"/>
        </w:rPr>
        <w:t xml:space="preserve"> recovery was not uniform across all market segments, the implementation of solutions that were linked with PATA considerably mitigated the long-term structural damage. Bali's capacity to manage further crises, including additional security threats and natural disasters, was increased as a result of the emphasis placed on safety, communication, collaboration among stakeholders, and diversity.</w:t>
      </w:r>
      <w:r w:rsidRPr="00107138">
        <w:rPr>
          <w:lang w:val="en-GB"/>
        </w:rPr>
        <w:br/>
      </w:r>
      <w:r w:rsidRPr="00107138">
        <w:rPr>
          <w:lang w:val="en-GB"/>
        </w:rPr>
        <w:br/>
        <w:t xml:space="preserve">When seen from an academic point of view, the Bali example provides support for the crisis management theory, which proposes that structured frameworks improve the adaptability </w:t>
      </w:r>
      <w:r w:rsidRPr="00107138">
        <w:rPr>
          <w:lang w:val="en-GB"/>
        </w:rPr>
        <w:lastRenderedPageBreak/>
        <w:t>of destinations and the performance of recovery efforts (Ritchie, 2009).</w:t>
      </w:r>
      <w:r w:rsidRPr="00107138">
        <w:rPr>
          <w:lang w:val="en-GB"/>
        </w:rPr>
        <w:br/>
      </w:r>
      <w:r w:rsidRPr="00107138">
        <w:rPr>
          <w:lang w:val="en-GB"/>
        </w:rPr>
        <w:br/>
        <w:t>Final Thoughts</w:t>
      </w:r>
      <w:r w:rsidRPr="00107138">
        <w:rPr>
          <w:lang w:val="en-GB"/>
        </w:rPr>
        <w:br/>
      </w:r>
      <w:r w:rsidRPr="00107138">
        <w:rPr>
          <w:lang w:val="en-GB"/>
        </w:rPr>
        <w:br/>
        <w:t>The bombings that occurred in Bali are a prime example of how terrorist attacks can significantly disrupt tourist areas and demonstrate the significance of having established crisis management frameworks in place. A systematic approach to minimising the effects of tourism was provided to Indonesia by the PATA crisis management strategy. This approach included coordinated responses, effective communication, market reassurance, and long-term resilience planning. The story indicates that the PATA framework, when correctly utilized, not only enables tourism destinations to recover from crises, but it also enables them to increase their preparedness and sustainability for future problems.</w:t>
      </w:r>
    </w:p>
    <w:p w14:paraId="37CF126C" w14:textId="77777777" w:rsidR="007A07E6" w:rsidRDefault="007A07E6" w:rsidP="007A07E6">
      <w:pPr>
        <w:pStyle w:val="ListParagraph"/>
        <w:spacing w:line="276" w:lineRule="auto"/>
        <w:ind w:left="0"/>
        <w:rPr>
          <w:lang w:val="en-US"/>
        </w:rPr>
      </w:pPr>
    </w:p>
    <w:p w14:paraId="0B6B1EE7" w14:textId="77777777" w:rsidR="00107138" w:rsidRDefault="00107138" w:rsidP="007A07E6">
      <w:pPr>
        <w:pStyle w:val="ListParagraph"/>
        <w:spacing w:line="276" w:lineRule="auto"/>
        <w:ind w:left="0"/>
        <w:rPr>
          <w:lang w:val="en-US"/>
        </w:rPr>
      </w:pPr>
    </w:p>
    <w:p w14:paraId="70BDE1E9" w14:textId="77777777" w:rsidR="00107138" w:rsidRDefault="00107138" w:rsidP="007A07E6">
      <w:pPr>
        <w:pStyle w:val="ListParagraph"/>
        <w:spacing w:line="276" w:lineRule="auto"/>
        <w:ind w:left="0"/>
        <w:rPr>
          <w:lang w:val="en-US"/>
        </w:rPr>
      </w:pPr>
    </w:p>
    <w:p w14:paraId="2A75CDBD" w14:textId="77777777" w:rsidR="00107138" w:rsidRDefault="00107138" w:rsidP="007A07E6">
      <w:pPr>
        <w:pStyle w:val="ListParagraph"/>
        <w:spacing w:line="276" w:lineRule="auto"/>
        <w:ind w:left="0"/>
        <w:rPr>
          <w:lang w:val="en-US"/>
        </w:rPr>
      </w:pPr>
    </w:p>
    <w:p w14:paraId="533E01AB" w14:textId="77777777" w:rsidR="00107138" w:rsidRDefault="00107138" w:rsidP="007A07E6">
      <w:pPr>
        <w:pStyle w:val="ListParagraph"/>
        <w:spacing w:line="276" w:lineRule="auto"/>
        <w:ind w:left="0"/>
        <w:rPr>
          <w:lang w:val="en-US"/>
        </w:rPr>
      </w:pPr>
    </w:p>
    <w:p w14:paraId="111CFB11" w14:textId="77777777" w:rsidR="00107138" w:rsidRDefault="00107138" w:rsidP="007A07E6">
      <w:pPr>
        <w:pStyle w:val="ListParagraph"/>
        <w:spacing w:line="276" w:lineRule="auto"/>
        <w:ind w:left="0"/>
        <w:rPr>
          <w:lang w:val="en-US"/>
        </w:rPr>
      </w:pPr>
    </w:p>
    <w:p w14:paraId="4D6D2A97" w14:textId="77777777" w:rsidR="00107138" w:rsidRDefault="00107138" w:rsidP="007A07E6">
      <w:pPr>
        <w:pStyle w:val="ListParagraph"/>
        <w:spacing w:line="276" w:lineRule="auto"/>
        <w:ind w:left="0"/>
        <w:rPr>
          <w:lang w:val="en-US"/>
        </w:rPr>
      </w:pPr>
    </w:p>
    <w:p w14:paraId="7323F2BD" w14:textId="77777777" w:rsidR="00107138" w:rsidRDefault="00107138" w:rsidP="007A07E6">
      <w:pPr>
        <w:pStyle w:val="ListParagraph"/>
        <w:spacing w:line="276" w:lineRule="auto"/>
        <w:ind w:left="0"/>
        <w:rPr>
          <w:lang w:val="en-US"/>
        </w:rPr>
      </w:pPr>
    </w:p>
    <w:p w14:paraId="1A177DD8" w14:textId="77777777" w:rsidR="00107138" w:rsidRDefault="00107138" w:rsidP="007A07E6">
      <w:pPr>
        <w:pStyle w:val="ListParagraph"/>
        <w:spacing w:line="276" w:lineRule="auto"/>
        <w:ind w:left="0"/>
        <w:rPr>
          <w:lang w:val="en-US"/>
        </w:rPr>
      </w:pPr>
    </w:p>
    <w:p w14:paraId="45B01AF8" w14:textId="77777777" w:rsidR="00107138" w:rsidRDefault="00107138" w:rsidP="007A07E6">
      <w:pPr>
        <w:pStyle w:val="ListParagraph"/>
        <w:spacing w:line="276" w:lineRule="auto"/>
        <w:ind w:left="0"/>
        <w:rPr>
          <w:lang w:val="en-US"/>
        </w:rPr>
      </w:pPr>
    </w:p>
    <w:p w14:paraId="08D9C849" w14:textId="77777777" w:rsidR="00107138" w:rsidRDefault="00107138" w:rsidP="007A07E6">
      <w:pPr>
        <w:pStyle w:val="ListParagraph"/>
        <w:spacing w:line="276" w:lineRule="auto"/>
        <w:ind w:left="0"/>
        <w:rPr>
          <w:lang w:val="en-US"/>
        </w:rPr>
      </w:pPr>
    </w:p>
    <w:p w14:paraId="686AA9C3" w14:textId="77777777" w:rsidR="00107138" w:rsidRDefault="00107138" w:rsidP="007A07E6">
      <w:pPr>
        <w:pStyle w:val="ListParagraph"/>
        <w:spacing w:line="276" w:lineRule="auto"/>
        <w:ind w:left="0"/>
        <w:rPr>
          <w:lang w:val="en-US"/>
        </w:rPr>
      </w:pPr>
    </w:p>
    <w:p w14:paraId="0F89FBBB" w14:textId="77777777" w:rsidR="00107138" w:rsidRDefault="00107138" w:rsidP="007A07E6">
      <w:pPr>
        <w:pStyle w:val="ListParagraph"/>
        <w:spacing w:line="276" w:lineRule="auto"/>
        <w:ind w:left="0"/>
        <w:rPr>
          <w:lang w:val="en-US"/>
        </w:rPr>
      </w:pPr>
    </w:p>
    <w:p w14:paraId="5D2D9CDB" w14:textId="77777777" w:rsidR="00107138" w:rsidRDefault="00107138" w:rsidP="007A07E6">
      <w:pPr>
        <w:pStyle w:val="ListParagraph"/>
        <w:spacing w:line="276" w:lineRule="auto"/>
        <w:ind w:left="0"/>
        <w:rPr>
          <w:lang w:val="en-US"/>
        </w:rPr>
      </w:pPr>
    </w:p>
    <w:p w14:paraId="7C8944C8" w14:textId="77777777" w:rsidR="00107138" w:rsidRDefault="00107138" w:rsidP="007A07E6">
      <w:pPr>
        <w:pStyle w:val="ListParagraph"/>
        <w:spacing w:line="276" w:lineRule="auto"/>
        <w:ind w:left="0"/>
        <w:rPr>
          <w:lang w:val="en-US"/>
        </w:rPr>
      </w:pPr>
    </w:p>
    <w:p w14:paraId="3518AB28" w14:textId="77777777" w:rsidR="00107138" w:rsidRDefault="00107138" w:rsidP="007A07E6">
      <w:pPr>
        <w:pStyle w:val="ListParagraph"/>
        <w:spacing w:line="276" w:lineRule="auto"/>
        <w:ind w:left="0"/>
        <w:rPr>
          <w:lang w:val="en-US"/>
        </w:rPr>
      </w:pPr>
    </w:p>
    <w:p w14:paraId="365F032E" w14:textId="77777777" w:rsidR="00107138" w:rsidRDefault="00107138" w:rsidP="007A07E6">
      <w:pPr>
        <w:pStyle w:val="ListParagraph"/>
        <w:spacing w:line="276" w:lineRule="auto"/>
        <w:ind w:left="0"/>
        <w:rPr>
          <w:lang w:val="en-US"/>
        </w:rPr>
      </w:pPr>
    </w:p>
    <w:p w14:paraId="6FE84FB2" w14:textId="77777777" w:rsidR="00107138" w:rsidRDefault="00107138" w:rsidP="007A07E6">
      <w:pPr>
        <w:pStyle w:val="ListParagraph"/>
        <w:spacing w:line="276" w:lineRule="auto"/>
        <w:ind w:left="0"/>
        <w:rPr>
          <w:lang w:val="en-US"/>
        </w:rPr>
      </w:pPr>
    </w:p>
    <w:p w14:paraId="2D5713B5" w14:textId="77777777" w:rsidR="00107138" w:rsidRDefault="00107138" w:rsidP="007A07E6">
      <w:pPr>
        <w:pStyle w:val="ListParagraph"/>
        <w:spacing w:line="276" w:lineRule="auto"/>
        <w:ind w:left="0"/>
        <w:rPr>
          <w:lang w:val="en-US"/>
        </w:rPr>
      </w:pPr>
    </w:p>
    <w:p w14:paraId="73D0BDBF" w14:textId="77777777" w:rsidR="00107138" w:rsidRDefault="00107138" w:rsidP="007A07E6">
      <w:pPr>
        <w:pStyle w:val="ListParagraph"/>
        <w:spacing w:line="276" w:lineRule="auto"/>
        <w:ind w:left="0"/>
        <w:rPr>
          <w:lang w:val="en-US"/>
        </w:rPr>
      </w:pPr>
    </w:p>
    <w:p w14:paraId="32022052" w14:textId="77777777" w:rsidR="00107138" w:rsidRDefault="00107138" w:rsidP="007A07E6">
      <w:pPr>
        <w:pStyle w:val="ListParagraph"/>
        <w:spacing w:line="276" w:lineRule="auto"/>
        <w:ind w:left="0"/>
        <w:rPr>
          <w:lang w:val="en-US"/>
        </w:rPr>
      </w:pPr>
    </w:p>
    <w:p w14:paraId="626DB88C" w14:textId="77777777" w:rsidR="00107138" w:rsidRDefault="00107138" w:rsidP="007A07E6">
      <w:pPr>
        <w:pStyle w:val="ListParagraph"/>
        <w:spacing w:line="276" w:lineRule="auto"/>
        <w:ind w:left="0"/>
        <w:rPr>
          <w:lang w:val="en-US"/>
        </w:rPr>
      </w:pPr>
    </w:p>
    <w:p w14:paraId="11568D9E" w14:textId="77777777" w:rsidR="00107138" w:rsidRDefault="00107138" w:rsidP="007A07E6">
      <w:pPr>
        <w:pStyle w:val="ListParagraph"/>
        <w:spacing w:line="276" w:lineRule="auto"/>
        <w:ind w:left="0"/>
        <w:rPr>
          <w:lang w:val="en-US"/>
        </w:rPr>
      </w:pPr>
    </w:p>
    <w:p w14:paraId="16E63331" w14:textId="77777777" w:rsidR="00107138" w:rsidRDefault="00107138" w:rsidP="007A07E6">
      <w:pPr>
        <w:pStyle w:val="ListParagraph"/>
        <w:spacing w:line="276" w:lineRule="auto"/>
        <w:ind w:left="0"/>
        <w:rPr>
          <w:lang w:val="en-US"/>
        </w:rPr>
      </w:pPr>
    </w:p>
    <w:p w14:paraId="688B86C3" w14:textId="77777777" w:rsidR="00107138" w:rsidRDefault="00107138" w:rsidP="007A07E6">
      <w:pPr>
        <w:pStyle w:val="ListParagraph"/>
        <w:spacing w:line="276" w:lineRule="auto"/>
        <w:ind w:left="0"/>
        <w:rPr>
          <w:lang w:val="en-US"/>
        </w:rPr>
      </w:pPr>
    </w:p>
    <w:p w14:paraId="4C4A65B7" w14:textId="77777777" w:rsidR="00107138" w:rsidRDefault="00107138" w:rsidP="007A07E6">
      <w:pPr>
        <w:pStyle w:val="ListParagraph"/>
        <w:spacing w:line="276" w:lineRule="auto"/>
        <w:ind w:left="0"/>
        <w:rPr>
          <w:lang w:val="en-US"/>
        </w:rPr>
      </w:pPr>
    </w:p>
    <w:p w14:paraId="21AB6FDE" w14:textId="77777777" w:rsidR="00107138" w:rsidRDefault="00107138" w:rsidP="007A07E6">
      <w:pPr>
        <w:pStyle w:val="ListParagraph"/>
        <w:spacing w:line="276" w:lineRule="auto"/>
        <w:ind w:left="0"/>
        <w:rPr>
          <w:lang w:val="en-US"/>
        </w:rPr>
      </w:pPr>
    </w:p>
    <w:p w14:paraId="22101A8C" w14:textId="77777777" w:rsidR="00107138" w:rsidRDefault="00107138" w:rsidP="007A07E6">
      <w:pPr>
        <w:pStyle w:val="ListParagraph"/>
        <w:spacing w:line="276" w:lineRule="auto"/>
        <w:ind w:left="0"/>
        <w:rPr>
          <w:lang w:val="en-US"/>
        </w:rPr>
      </w:pPr>
    </w:p>
    <w:p w14:paraId="7DB87825" w14:textId="77777777" w:rsidR="00107138" w:rsidRDefault="00107138" w:rsidP="007A07E6">
      <w:pPr>
        <w:pStyle w:val="ListParagraph"/>
        <w:spacing w:line="276" w:lineRule="auto"/>
        <w:ind w:left="0"/>
        <w:rPr>
          <w:lang w:val="en-US"/>
        </w:rPr>
      </w:pPr>
    </w:p>
    <w:p w14:paraId="1E123837" w14:textId="77777777" w:rsidR="00107138" w:rsidRDefault="00107138" w:rsidP="007A07E6">
      <w:pPr>
        <w:pStyle w:val="ListParagraph"/>
        <w:spacing w:line="276" w:lineRule="auto"/>
        <w:ind w:left="0"/>
        <w:rPr>
          <w:lang w:val="en-US"/>
        </w:rPr>
      </w:pPr>
    </w:p>
    <w:p w14:paraId="021736C9" w14:textId="4DC5BC17" w:rsidR="00107138" w:rsidRPr="00107138" w:rsidRDefault="00107138" w:rsidP="007A07E6">
      <w:pPr>
        <w:pStyle w:val="ListParagraph"/>
        <w:spacing w:line="276" w:lineRule="auto"/>
        <w:ind w:left="0"/>
        <w:rPr>
          <w:b/>
          <w:bCs/>
          <w:lang w:val="en-US"/>
        </w:rPr>
      </w:pPr>
      <w:r w:rsidRPr="00107138">
        <w:rPr>
          <w:b/>
          <w:bCs/>
          <w:lang w:val="en-US"/>
        </w:rPr>
        <w:t xml:space="preserve">References </w:t>
      </w:r>
    </w:p>
    <w:p w14:paraId="5FEB038F" w14:textId="77777777" w:rsidR="00107138" w:rsidRDefault="00107138" w:rsidP="007A07E6">
      <w:pPr>
        <w:pStyle w:val="ListParagraph"/>
        <w:spacing w:line="276" w:lineRule="auto"/>
        <w:ind w:left="0"/>
        <w:rPr>
          <w:lang w:val="en-US"/>
        </w:rPr>
      </w:pPr>
    </w:p>
    <w:p w14:paraId="4D6CF386" w14:textId="77777777" w:rsidR="00107138" w:rsidRPr="00107138" w:rsidRDefault="00107138" w:rsidP="00107138">
      <w:pPr>
        <w:pStyle w:val="ListParagraph"/>
        <w:numPr>
          <w:ilvl w:val="0"/>
          <w:numId w:val="14"/>
        </w:numPr>
        <w:spacing w:line="276" w:lineRule="auto"/>
        <w:rPr>
          <w:lang w:val="en-GB"/>
        </w:rPr>
      </w:pPr>
      <w:proofErr w:type="spellStart"/>
      <w:r w:rsidRPr="00107138">
        <w:rPr>
          <w:lang w:val="en-GB"/>
        </w:rPr>
        <w:t>Beirman</w:t>
      </w:r>
      <w:proofErr w:type="spellEnd"/>
      <w:r w:rsidRPr="00107138">
        <w:rPr>
          <w:lang w:val="en-GB"/>
        </w:rPr>
        <w:t xml:space="preserve">, D. (2011) </w:t>
      </w:r>
      <w:r w:rsidRPr="00107138">
        <w:rPr>
          <w:i/>
          <w:iCs/>
          <w:lang w:val="en-GB"/>
        </w:rPr>
        <w:t>Tourism Crisis and Disaster Management in the Asia-Pacific</w:t>
      </w:r>
      <w:r w:rsidRPr="00107138">
        <w:rPr>
          <w:lang w:val="en-GB"/>
        </w:rPr>
        <w:t>. Wallingford: CABI.</w:t>
      </w:r>
    </w:p>
    <w:p w14:paraId="67C73119" w14:textId="77777777" w:rsidR="00107138" w:rsidRPr="00107138" w:rsidRDefault="00107138" w:rsidP="00107138">
      <w:pPr>
        <w:pStyle w:val="ListParagraph"/>
        <w:numPr>
          <w:ilvl w:val="0"/>
          <w:numId w:val="14"/>
        </w:numPr>
        <w:spacing w:line="276" w:lineRule="auto"/>
        <w:rPr>
          <w:lang w:val="en-GB"/>
        </w:rPr>
      </w:pPr>
      <w:r w:rsidRPr="00107138">
        <w:rPr>
          <w:lang w:val="en-GB"/>
        </w:rPr>
        <w:t xml:space="preserve">Biggs, D., Hall, C.M. and Stoeckl, N. (2012) ‘The resilience of formal and informal tourism enterprises to disasters’, </w:t>
      </w:r>
      <w:r w:rsidRPr="00107138">
        <w:rPr>
          <w:i/>
          <w:iCs/>
          <w:lang w:val="en-GB"/>
        </w:rPr>
        <w:t>Journal of Sustainable Tourism</w:t>
      </w:r>
      <w:r w:rsidRPr="00107138">
        <w:rPr>
          <w:lang w:val="en-GB"/>
        </w:rPr>
        <w:t>, 20(5), pp. 645–665.</w:t>
      </w:r>
    </w:p>
    <w:p w14:paraId="5FB3689E" w14:textId="77777777" w:rsidR="00107138" w:rsidRPr="00107138" w:rsidRDefault="00107138" w:rsidP="00107138">
      <w:pPr>
        <w:pStyle w:val="ListParagraph"/>
        <w:numPr>
          <w:ilvl w:val="0"/>
          <w:numId w:val="14"/>
        </w:numPr>
        <w:spacing w:line="276" w:lineRule="auto"/>
        <w:rPr>
          <w:lang w:val="en-GB"/>
        </w:rPr>
      </w:pPr>
      <w:r w:rsidRPr="00107138">
        <w:rPr>
          <w:lang w:val="en-GB"/>
        </w:rPr>
        <w:t xml:space="preserve">Faulkner, B. (2001) ‘Towards a framework for tourism disaster management’, </w:t>
      </w:r>
      <w:r w:rsidRPr="00107138">
        <w:rPr>
          <w:i/>
          <w:iCs/>
          <w:lang w:val="en-GB"/>
        </w:rPr>
        <w:t>Tourism Management</w:t>
      </w:r>
      <w:r w:rsidRPr="00107138">
        <w:rPr>
          <w:lang w:val="en-GB"/>
        </w:rPr>
        <w:t>, 22(2), pp. 135–147.</w:t>
      </w:r>
    </w:p>
    <w:p w14:paraId="040F7328" w14:textId="77777777" w:rsidR="00107138" w:rsidRDefault="00107138" w:rsidP="00107138">
      <w:pPr>
        <w:pStyle w:val="ListParagraph"/>
        <w:numPr>
          <w:ilvl w:val="0"/>
          <w:numId w:val="14"/>
        </w:numPr>
        <w:spacing w:line="276" w:lineRule="auto"/>
        <w:rPr>
          <w:lang w:val="en-GB"/>
        </w:rPr>
      </w:pPr>
      <w:r w:rsidRPr="00107138">
        <w:rPr>
          <w:lang w:val="en-GB"/>
        </w:rPr>
        <w:t xml:space="preserve">Hitchcock, M. and Putra, I.N.D. (2005) ‘The Bali bombings: Tourism crisis management and conflict avoidance’, </w:t>
      </w:r>
      <w:r w:rsidRPr="00107138">
        <w:rPr>
          <w:i/>
          <w:iCs/>
          <w:lang w:val="en-GB"/>
        </w:rPr>
        <w:t>Current Issues in Tourism</w:t>
      </w:r>
      <w:r w:rsidRPr="00107138">
        <w:rPr>
          <w:lang w:val="en-GB"/>
        </w:rPr>
        <w:t>, 8(1), pp. 62–7</w:t>
      </w:r>
    </w:p>
    <w:p w14:paraId="14E9B33D" w14:textId="06765109" w:rsidR="00107138" w:rsidRPr="00107138" w:rsidRDefault="00107138" w:rsidP="00107138">
      <w:pPr>
        <w:pStyle w:val="ListParagraph"/>
        <w:numPr>
          <w:ilvl w:val="0"/>
          <w:numId w:val="14"/>
        </w:numPr>
        <w:spacing w:line="276" w:lineRule="auto"/>
        <w:rPr>
          <w:lang w:val="en-GB"/>
        </w:rPr>
      </w:pPr>
      <w:r w:rsidRPr="00107138">
        <w:rPr>
          <w:lang w:val="en-GB"/>
        </w:rPr>
        <w:t xml:space="preserve">PATA (2016) </w:t>
      </w:r>
      <w:r w:rsidRPr="00107138">
        <w:rPr>
          <w:i/>
          <w:iCs/>
          <w:lang w:val="en-GB"/>
        </w:rPr>
        <w:t>Tourism Crisis Management Guidelines</w:t>
      </w:r>
      <w:r w:rsidRPr="00107138">
        <w:rPr>
          <w:lang w:val="en-GB"/>
        </w:rPr>
        <w:t>. Bangkok: Pacific Asia Travel Association.</w:t>
      </w:r>
    </w:p>
    <w:p w14:paraId="648DE082" w14:textId="77777777" w:rsidR="00107138" w:rsidRPr="00107138" w:rsidRDefault="00107138" w:rsidP="00107138">
      <w:pPr>
        <w:pStyle w:val="ListParagraph"/>
        <w:numPr>
          <w:ilvl w:val="0"/>
          <w:numId w:val="14"/>
        </w:numPr>
        <w:spacing w:line="276" w:lineRule="auto"/>
        <w:rPr>
          <w:lang w:val="en-GB"/>
        </w:rPr>
      </w:pPr>
      <w:r w:rsidRPr="00107138">
        <w:rPr>
          <w:lang w:val="en-GB"/>
        </w:rPr>
        <w:t xml:space="preserve">Ritchie, B.W. (2009) </w:t>
      </w:r>
      <w:r w:rsidRPr="00107138">
        <w:rPr>
          <w:i/>
          <w:iCs/>
          <w:lang w:val="en-GB"/>
        </w:rPr>
        <w:t>Crisis and Disaster Management for Tourism</w:t>
      </w:r>
      <w:r w:rsidRPr="00107138">
        <w:rPr>
          <w:lang w:val="en-GB"/>
        </w:rPr>
        <w:t>. Bristol: Channel View Publications.</w:t>
      </w:r>
    </w:p>
    <w:p w14:paraId="29D3592B" w14:textId="77777777" w:rsidR="00107138" w:rsidRPr="0070246B" w:rsidRDefault="00107138" w:rsidP="00107138">
      <w:pPr>
        <w:pStyle w:val="ListParagraph"/>
        <w:spacing w:line="276" w:lineRule="auto"/>
        <w:ind w:left="0"/>
        <w:rPr>
          <w:lang w:val="en-US"/>
        </w:rPr>
      </w:pPr>
    </w:p>
    <w:sectPr w:rsidR="00107138"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431E07A-5905-4894-91DF-0E305E1D1C11}"/>
    <w:embedBold r:id="rId2" w:fontKey="{BA877C48-3D74-4174-9219-664A3C838EF0}"/>
    <w:embedItalic r:id="rId3" w:fontKey="{22865D01-27B8-4AD9-BB57-D011CFA9332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B7DCA8C-5E77-4240-A25E-17A4E33CCBBD}"/>
  </w:font>
  <w:font w:name="Calibri Light">
    <w:panose1 w:val="020F0302020204030204"/>
    <w:charset w:val="00"/>
    <w:family w:val="swiss"/>
    <w:pitch w:val="variable"/>
    <w:sig w:usb0="E4002EFF" w:usb1="C000247B" w:usb2="00000009" w:usb3="00000000" w:csb0="000001FF" w:csb1="00000000"/>
    <w:embedRegular r:id="rId5" w:fontKey="{83B26734-E83B-4B3D-BC35-08C39E7830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EE6256"/>
    <w:multiLevelType w:val="hybridMultilevel"/>
    <w:tmpl w:val="A15AA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C5479A"/>
    <w:multiLevelType w:val="hybridMultilevel"/>
    <w:tmpl w:val="39DE49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2"/>
  </w:num>
  <w:num w:numId="4" w16cid:durableId="296228824">
    <w:abstractNumId w:val="9"/>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10"/>
  </w:num>
  <w:num w:numId="12" w16cid:durableId="1601794058">
    <w:abstractNumId w:val="13"/>
  </w:num>
  <w:num w:numId="13" w16cid:durableId="1270889238">
    <w:abstractNumId w:val="11"/>
  </w:num>
  <w:num w:numId="14" w16cid:durableId="2590221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07138"/>
    <w:rsid w:val="001700EC"/>
    <w:rsid w:val="00174BB1"/>
    <w:rsid w:val="0019504D"/>
    <w:rsid w:val="001A10A9"/>
    <w:rsid w:val="00224FD9"/>
    <w:rsid w:val="00237278"/>
    <w:rsid w:val="0027377C"/>
    <w:rsid w:val="002F4AE0"/>
    <w:rsid w:val="00384E8A"/>
    <w:rsid w:val="003D1074"/>
    <w:rsid w:val="00426865"/>
    <w:rsid w:val="00477CAA"/>
    <w:rsid w:val="00502E29"/>
    <w:rsid w:val="005D6F0D"/>
    <w:rsid w:val="005E458B"/>
    <w:rsid w:val="00637F36"/>
    <w:rsid w:val="00661030"/>
    <w:rsid w:val="006F6FA4"/>
    <w:rsid w:val="0070246B"/>
    <w:rsid w:val="00795108"/>
    <w:rsid w:val="007A07E6"/>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8F4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1500</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2025-12-13T11:06:00Z</dcterms:created>
  <dcterms:modified xsi:type="dcterms:W3CDTF">2025-12-13T11:06:00Z</dcterms:modified>
</cp:coreProperties>
</file>