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3573C" w14:textId="77777777" w:rsidR="00DB0773" w:rsidRPr="00825F73" w:rsidRDefault="00DB0773" w:rsidP="00DB0773">
      <w:pPr>
        <w:spacing w:line="480" w:lineRule="auto"/>
        <w:rPr>
          <w:rFonts w:ascii="Arial" w:hAnsi="Arial" w:cs="Arial"/>
          <w:szCs w:val="24"/>
          <w:lang w:val="en-US"/>
        </w:rPr>
      </w:pPr>
      <w:r w:rsidRPr="00825F73">
        <w:rPr>
          <w:rFonts w:ascii="Arial" w:hAnsi="Arial" w:cs="Arial"/>
          <w:noProof/>
          <w:szCs w:val="24"/>
          <w:lang w:val="en-US"/>
        </w:rPr>
        <w:drawing>
          <wp:anchor distT="0" distB="0" distL="114300" distR="114300" simplePos="0" relativeHeight="251659264" behindDoc="1" locked="0" layoutInCell="1" allowOverlap="1" wp14:anchorId="72BCD193" wp14:editId="50C0F91A">
            <wp:simplePos x="0" y="0"/>
            <wp:positionH relativeFrom="margin">
              <wp:posOffset>2328116</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6266BAA" w14:textId="77777777" w:rsidR="00DB0773" w:rsidRPr="00825F73" w:rsidRDefault="00DB0773" w:rsidP="00DB0773">
      <w:pPr>
        <w:spacing w:line="480" w:lineRule="auto"/>
        <w:rPr>
          <w:rFonts w:ascii="Arial" w:hAnsi="Arial" w:cs="Arial"/>
          <w:szCs w:val="24"/>
          <w:lang w:val="en-US"/>
        </w:rPr>
      </w:pPr>
    </w:p>
    <w:p w14:paraId="3AFD54EA" w14:textId="77777777" w:rsidR="00DB0773" w:rsidRPr="00825F73" w:rsidRDefault="00DB0773" w:rsidP="00DB0773">
      <w:pPr>
        <w:spacing w:line="480" w:lineRule="auto"/>
        <w:rPr>
          <w:rFonts w:ascii="Arial" w:hAnsi="Arial" w:cs="Arial"/>
          <w:szCs w:val="24"/>
        </w:rPr>
      </w:pPr>
    </w:p>
    <w:p w14:paraId="23AF6E19" w14:textId="77777777" w:rsidR="00DB0773" w:rsidRPr="00825F73" w:rsidRDefault="00DB0773" w:rsidP="00DB0773">
      <w:pPr>
        <w:spacing w:line="480" w:lineRule="auto"/>
        <w:jc w:val="center"/>
        <w:rPr>
          <w:rFonts w:ascii="Arial" w:hAnsi="Arial" w:cs="Arial"/>
          <w:b/>
          <w:bCs/>
          <w:szCs w:val="24"/>
        </w:rPr>
      </w:pPr>
      <w:proofErr w:type="gramStart"/>
      <w:r w:rsidRPr="00825F73">
        <w:rPr>
          <w:rFonts w:ascii="Arial" w:hAnsi="Arial" w:cs="Arial"/>
          <w:b/>
          <w:bCs/>
          <w:szCs w:val="24"/>
        </w:rPr>
        <w:t>Bachelor's</w:t>
      </w:r>
      <w:proofErr w:type="gramEnd"/>
      <w:r w:rsidRPr="00825F73">
        <w:rPr>
          <w:rFonts w:ascii="Arial" w:hAnsi="Arial" w:cs="Arial"/>
          <w:b/>
          <w:bCs/>
          <w:szCs w:val="24"/>
        </w:rPr>
        <w:t xml:space="preserve"> in Tourism and Recreation</w:t>
      </w:r>
    </w:p>
    <w:p w14:paraId="1C1F8DCD" w14:textId="77777777" w:rsidR="00DB0773" w:rsidRPr="0023731E" w:rsidRDefault="00DB0773" w:rsidP="00DB0773">
      <w:pPr>
        <w:spacing w:line="480" w:lineRule="auto"/>
        <w:jc w:val="center"/>
        <w:rPr>
          <w:rFonts w:ascii="Arial" w:hAnsi="Arial" w:cs="Arial"/>
          <w:b/>
          <w:bCs/>
          <w:szCs w:val="24"/>
        </w:rPr>
      </w:pPr>
      <w:r w:rsidRPr="0023731E">
        <w:rPr>
          <w:rFonts w:ascii="Arial" w:hAnsi="Arial" w:cs="Arial"/>
          <w:b/>
          <w:bCs/>
          <w:szCs w:val="24"/>
        </w:rPr>
        <w:t>Tourism Law</w:t>
      </w:r>
    </w:p>
    <w:p w14:paraId="018FA75A" w14:textId="77777777" w:rsidR="00DB0773" w:rsidRPr="00825F73" w:rsidRDefault="00DB0773" w:rsidP="00DB0773">
      <w:pPr>
        <w:spacing w:line="480" w:lineRule="auto"/>
        <w:jc w:val="center"/>
        <w:rPr>
          <w:rFonts w:ascii="Arial" w:hAnsi="Arial" w:cs="Arial"/>
          <w:b/>
          <w:bCs/>
          <w:szCs w:val="24"/>
          <w:lang w:val="en-US"/>
        </w:rPr>
      </w:pPr>
      <w:r w:rsidRPr="00825F73">
        <w:rPr>
          <w:rFonts w:ascii="Arial" w:hAnsi="Arial" w:cs="Arial"/>
          <w:b/>
          <w:bCs/>
          <w:szCs w:val="24"/>
          <w:lang w:val="en-US"/>
        </w:rPr>
        <w:t>Assignment 2: Consumer Protection Laws in the Tourism Industry</w:t>
      </w:r>
    </w:p>
    <w:p w14:paraId="7F13CBCF" w14:textId="77777777" w:rsidR="00DB0773" w:rsidRPr="00825F73" w:rsidRDefault="00DB0773" w:rsidP="00DB0773">
      <w:pPr>
        <w:spacing w:line="480" w:lineRule="auto"/>
        <w:rPr>
          <w:rFonts w:ascii="Arial" w:hAnsi="Arial" w:cs="Arial"/>
          <w:b/>
          <w:bCs/>
          <w:szCs w:val="24"/>
          <w:lang w:val="en-US"/>
        </w:rPr>
      </w:pPr>
    </w:p>
    <w:p w14:paraId="357EB32C" w14:textId="77777777" w:rsidR="00DB0773" w:rsidRPr="00825F73" w:rsidRDefault="00DB0773" w:rsidP="00DB0773">
      <w:pPr>
        <w:spacing w:line="480" w:lineRule="auto"/>
        <w:rPr>
          <w:rFonts w:ascii="Arial" w:hAnsi="Arial" w:cs="Arial"/>
          <w:b/>
          <w:bCs/>
          <w:szCs w:val="24"/>
          <w:lang w:val="en-US"/>
        </w:rPr>
      </w:pPr>
    </w:p>
    <w:p w14:paraId="58AC5E73" w14:textId="77777777" w:rsidR="00DB0773" w:rsidRPr="00825F73" w:rsidRDefault="00DB0773" w:rsidP="00DB0773">
      <w:pPr>
        <w:spacing w:line="480" w:lineRule="auto"/>
        <w:rPr>
          <w:rFonts w:ascii="Arial" w:hAnsi="Arial" w:cs="Arial"/>
          <w:b/>
          <w:bCs/>
          <w:szCs w:val="24"/>
          <w:lang w:val="en-US"/>
        </w:rPr>
      </w:pPr>
    </w:p>
    <w:p w14:paraId="67B035D8" w14:textId="77777777" w:rsidR="00DB0773" w:rsidRPr="00825F73" w:rsidRDefault="00DB0773" w:rsidP="00DB0773">
      <w:pPr>
        <w:spacing w:line="480" w:lineRule="auto"/>
        <w:rPr>
          <w:rFonts w:ascii="Arial" w:hAnsi="Arial" w:cs="Arial"/>
          <w:b/>
          <w:bCs/>
          <w:szCs w:val="24"/>
          <w:lang w:val="en-US"/>
        </w:rPr>
      </w:pPr>
    </w:p>
    <w:p w14:paraId="6E0E9807" w14:textId="77777777" w:rsidR="00DB0773" w:rsidRPr="00825F73" w:rsidRDefault="00DB0773" w:rsidP="00DB0773">
      <w:pPr>
        <w:spacing w:line="480" w:lineRule="auto"/>
        <w:rPr>
          <w:rFonts w:ascii="Arial" w:hAnsi="Arial" w:cs="Arial"/>
          <w:b/>
          <w:bCs/>
          <w:szCs w:val="24"/>
          <w:lang w:val="en-US"/>
        </w:rPr>
      </w:pPr>
    </w:p>
    <w:p w14:paraId="40EB2859" w14:textId="77777777" w:rsidR="00DB0773" w:rsidRPr="00825F73" w:rsidRDefault="00DB0773" w:rsidP="00DB0773">
      <w:pPr>
        <w:spacing w:line="480" w:lineRule="auto"/>
        <w:rPr>
          <w:rFonts w:ascii="Arial" w:hAnsi="Arial" w:cs="Arial"/>
          <w:b/>
          <w:bCs/>
          <w:szCs w:val="24"/>
          <w:lang w:val="en-US"/>
        </w:rPr>
      </w:pPr>
    </w:p>
    <w:p w14:paraId="1877B613" w14:textId="77777777" w:rsidR="00DB0773" w:rsidRPr="00825F73" w:rsidRDefault="00DB0773" w:rsidP="00DB0773">
      <w:pPr>
        <w:spacing w:line="480" w:lineRule="auto"/>
        <w:rPr>
          <w:rFonts w:ascii="Arial" w:hAnsi="Arial" w:cs="Arial"/>
          <w:b/>
          <w:bCs/>
          <w:szCs w:val="24"/>
          <w:lang w:val="en-US"/>
        </w:rPr>
      </w:pPr>
    </w:p>
    <w:p w14:paraId="4390C547" w14:textId="77777777" w:rsidR="00DB0773" w:rsidRDefault="00DB0773" w:rsidP="00DB0773">
      <w:pPr>
        <w:spacing w:line="480" w:lineRule="auto"/>
        <w:rPr>
          <w:rFonts w:ascii="Arial" w:hAnsi="Arial" w:cs="Arial"/>
          <w:b/>
          <w:bCs/>
          <w:szCs w:val="24"/>
          <w:lang w:val="en-US"/>
        </w:rPr>
      </w:pPr>
    </w:p>
    <w:p w14:paraId="23ED0E7C" w14:textId="77777777" w:rsidR="00DB0773" w:rsidRPr="00825F73" w:rsidRDefault="00DB0773" w:rsidP="00DB0773">
      <w:pPr>
        <w:spacing w:line="480" w:lineRule="auto"/>
        <w:rPr>
          <w:rFonts w:ascii="Arial" w:hAnsi="Arial" w:cs="Arial"/>
          <w:b/>
          <w:bCs/>
          <w:szCs w:val="24"/>
          <w:lang w:val="en-US"/>
        </w:rPr>
      </w:pPr>
    </w:p>
    <w:p w14:paraId="58516EC8" w14:textId="77777777" w:rsidR="00DB0773" w:rsidRPr="00825F73" w:rsidRDefault="00DB0773" w:rsidP="00DB0773">
      <w:pPr>
        <w:spacing w:line="480" w:lineRule="auto"/>
        <w:rPr>
          <w:rFonts w:ascii="Arial" w:hAnsi="Arial" w:cs="Arial"/>
          <w:b/>
          <w:bCs/>
          <w:szCs w:val="24"/>
          <w:lang w:val="en-US"/>
        </w:rPr>
      </w:pPr>
    </w:p>
    <w:p w14:paraId="4713D04A" w14:textId="77777777" w:rsidR="00DB0773" w:rsidRPr="00825F73" w:rsidRDefault="00DB0773" w:rsidP="00DB0773">
      <w:pPr>
        <w:spacing w:line="480" w:lineRule="auto"/>
        <w:rPr>
          <w:rFonts w:ascii="Arial" w:hAnsi="Arial" w:cs="Arial"/>
          <w:b/>
          <w:bCs/>
          <w:szCs w:val="24"/>
          <w:lang w:val="en-US"/>
        </w:rPr>
      </w:pPr>
    </w:p>
    <w:p w14:paraId="5E2A745B" w14:textId="77777777" w:rsidR="00DB0773" w:rsidRPr="00825F73" w:rsidRDefault="00DB0773" w:rsidP="00DB0773">
      <w:pPr>
        <w:spacing w:line="480" w:lineRule="auto"/>
        <w:rPr>
          <w:rFonts w:ascii="Arial" w:hAnsi="Arial" w:cs="Arial"/>
          <w:b/>
          <w:bCs/>
          <w:szCs w:val="24"/>
          <w:lang w:val="en-US"/>
        </w:rPr>
      </w:pPr>
    </w:p>
    <w:p w14:paraId="1DBEC038" w14:textId="77777777" w:rsidR="00DB0773" w:rsidRPr="00825F73" w:rsidRDefault="00DB0773" w:rsidP="00DB0773">
      <w:pPr>
        <w:spacing w:line="480" w:lineRule="auto"/>
        <w:rPr>
          <w:rFonts w:ascii="Arial" w:hAnsi="Arial" w:cs="Arial"/>
          <w:szCs w:val="24"/>
        </w:rPr>
      </w:pPr>
      <w:bookmarkStart w:id="0" w:name="_Toc221201954"/>
      <w:r w:rsidRPr="00825F73">
        <w:rPr>
          <w:rStyle w:val="Heading1Char"/>
          <w:rFonts w:ascii="Arial" w:hAnsi="Arial" w:cs="Arial"/>
          <w:b/>
          <w:bCs/>
          <w:color w:val="auto"/>
          <w:sz w:val="24"/>
          <w:szCs w:val="24"/>
        </w:rPr>
        <w:lastRenderedPageBreak/>
        <w:t>Abstract</w:t>
      </w:r>
      <w:bookmarkEnd w:id="0"/>
    </w:p>
    <w:p w14:paraId="39E0F32B" w14:textId="77777777" w:rsidR="00DB0773" w:rsidRPr="00DA5550" w:rsidRDefault="00DB0773" w:rsidP="00DB0773">
      <w:pPr>
        <w:spacing w:line="480" w:lineRule="auto"/>
        <w:rPr>
          <w:rFonts w:ascii="Arial" w:eastAsiaTheme="majorEastAsia" w:hAnsi="Arial" w:cs="Arial"/>
          <w:kern w:val="0"/>
          <w:szCs w:val="24"/>
          <w:lang w:bidi="ar-SA"/>
          <w14:ligatures w14:val="none"/>
        </w:rPr>
      </w:pPr>
      <w:r w:rsidRPr="00DA5550">
        <w:rPr>
          <w:rFonts w:ascii="Arial" w:eastAsiaTheme="majorEastAsia" w:hAnsi="Arial" w:cs="Arial"/>
          <w:kern w:val="0"/>
          <w:szCs w:val="24"/>
          <w:lang w:bidi="ar-SA"/>
          <w14:ligatures w14:val="none"/>
        </w:rPr>
        <w:t xml:space="preserve">Consumer protection laws play an increasingly vital role in the tourism industry as travel markets become more globalised, digitalised, and complex. Tourism consumers routinely purchase services such as flights, accommodation, and travel packages in advance, often relying on online information and third-party platforms. This purchasing structure exposes </w:t>
      </w:r>
      <w:proofErr w:type="spellStart"/>
      <w:r w:rsidRPr="00DA5550">
        <w:rPr>
          <w:rFonts w:ascii="Arial" w:eastAsiaTheme="majorEastAsia" w:hAnsi="Arial" w:cs="Arial"/>
          <w:kern w:val="0"/>
          <w:szCs w:val="24"/>
          <w:lang w:bidi="ar-SA"/>
          <w14:ligatures w14:val="none"/>
        </w:rPr>
        <w:t>travelers</w:t>
      </w:r>
      <w:proofErr w:type="spellEnd"/>
      <w:r w:rsidRPr="00DA5550">
        <w:rPr>
          <w:rFonts w:ascii="Arial" w:eastAsiaTheme="majorEastAsia" w:hAnsi="Arial" w:cs="Arial"/>
          <w:kern w:val="0"/>
          <w:szCs w:val="24"/>
          <w:lang w:bidi="ar-SA"/>
          <w14:ligatures w14:val="none"/>
        </w:rPr>
        <w:t xml:space="preserve"> to risks including misleading advertising, unfair pricing practices, hidden charges, service cancellations, and safety concerns. </w:t>
      </w:r>
      <w:proofErr w:type="gramStart"/>
      <w:r w:rsidRPr="00DA5550">
        <w:rPr>
          <w:rFonts w:ascii="Arial" w:eastAsiaTheme="majorEastAsia" w:hAnsi="Arial" w:cs="Arial"/>
          <w:kern w:val="0"/>
          <w:szCs w:val="24"/>
          <w:lang w:bidi="ar-SA"/>
          <w14:ligatures w14:val="none"/>
        </w:rPr>
        <w:t>As a consequence of</w:t>
      </w:r>
      <w:proofErr w:type="gramEnd"/>
      <w:r w:rsidRPr="00DA5550">
        <w:rPr>
          <w:rFonts w:ascii="Arial" w:eastAsiaTheme="majorEastAsia" w:hAnsi="Arial" w:cs="Arial"/>
          <w:kern w:val="0"/>
          <w:szCs w:val="24"/>
          <w:lang w:bidi="ar-SA"/>
          <w14:ligatures w14:val="none"/>
        </w:rPr>
        <w:t xml:space="preserve"> this, consumer protection laws are </w:t>
      </w:r>
      <w:proofErr w:type="gramStart"/>
      <w:r w:rsidRPr="00DA5550">
        <w:rPr>
          <w:rFonts w:ascii="Arial" w:eastAsiaTheme="majorEastAsia" w:hAnsi="Arial" w:cs="Arial"/>
          <w:kern w:val="0"/>
          <w:szCs w:val="24"/>
          <w:lang w:bidi="ar-SA"/>
          <w14:ligatures w14:val="none"/>
        </w:rPr>
        <w:t>absolutely necessary</w:t>
      </w:r>
      <w:proofErr w:type="gramEnd"/>
      <w:r w:rsidRPr="00DA5550">
        <w:rPr>
          <w:rFonts w:ascii="Arial" w:eastAsiaTheme="majorEastAsia" w:hAnsi="Arial" w:cs="Arial"/>
          <w:kern w:val="0"/>
          <w:szCs w:val="24"/>
          <w:lang w:bidi="ar-SA"/>
          <w14:ligatures w14:val="none"/>
        </w:rPr>
        <w:t xml:space="preserve"> </w:t>
      </w:r>
      <w:proofErr w:type="gramStart"/>
      <w:r w:rsidRPr="00DA5550">
        <w:rPr>
          <w:rFonts w:ascii="Arial" w:eastAsiaTheme="majorEastAsia" w:hAnsi="Arial" w:cs="Arial"/>
          <w:kern w:val="0"/>
          <w:szCs w:val="24"/>
          <w:lang w:bidi="ar-SA"/>
          <w14:ligatures w14:val="none"/>
        </w:rPr>
        <w:t>in order to</w:t>
      </w:r>
      <w:proofErr w:type="gramEnd"/>
      <w:r w:rsidRPr="00DA5550">
        <w:rPr>
          <w:rFonts w:ascii="Arial" w:eastAsiaTheme="majorEastAsia" w:hAnsi="Arial" w:cs="Arial"/>
          <w:kern w:val="0"/>
          <w:szCs w:val="24"/>
          <w:lang w:bidi="ar-SA"/>
          <w14:ligatures w14:val="none"/>
        </w:rPr>
        <w:t xml:space="preserve"> address power imbalances that exist between tourists and the providers of tourism services.</w:t>
      </w:r>
      <w:r w:rsidRPr="00DA5550">
        <w:rPr>
          <w:rFonts w:ascii="Arial" w:eastAsiaTheme="majorEastAsia" w:hAnsi="Arial" w:cs="Arial"/>
          <w:kern w:val="0"/>
          <w:szCs w:val="24"/>
          <w:lang w:bidi="ar-SA"/>
          <w14:ligatures w14:val="none"/>
        </w:rPr>
        <w:br/>
      </w:r>
      <w:r w:rsidRPr="00DA5550">
        <w:rPr>
          <w:rFonts w:ascii="Arial" w:eastAsiaTheme="majorEastAsia" w:hAnsi="Arial" w:cs="Arial"/>
          <w:kern w:val="0"/>
          <w:szCs w:val="24"/>
          <w:lang w:bidi="ar-SA"/>
          <w14:ligatures w14:val="none"/>
        </w:rPr>
        <w:br/>
        <w:t xml:space="preserve">This assignment examines the role of consumer protection laws in the tourism industry with a focus on </w:t>
      </w:r>
      <w:proofErr w:type="spellStart"/>
      <w:r w:rsidRPr="00DA5550">
        <w:rPr>
          <w:rFonts w:ascii="Arial" w:eastAsiaTheme="majorEastAsia" w:hAnsi="Arial" w:cs="Arial"/>
          <w:kern w:val="0"/>
          <w:szCs w:val="24"/>
          <w:lang w:bidi="ar-SA"/>
          <w14:ligatures w14:val="none"/>
        </w:rPr>
        <w:t>travelers’</w:t>
      </w:r>
      <w:proofErr w:type="spellEnd"/>
      <w:r w:rsidRPr="00DA5550">
        <w:rPr>
          <w:rFonts w:ascii="Arial" w:eastAsiaTheme="majorEastAsia" w:hAnsi="Arial" w:cs="Arial"/>
          <w:kern w:val="0"/>
          <w:szCs w:val="24"/>
          <w:lang w:bidi="ar-SA"/>
          <w14:ligatures w14:val="none"/>
        </w:rPr>
        <w:t xml:space="preserve"> rights, business obligations, and regulatory enforcement mechanisms. It analyses how legal frameworks governing unfair commercial practices, pricing transparency, safety standards, and package travel arrangements protect consumers from exploitation and reduce legal uncertainty. The study also </w:t>
      </w:r>
      <w:proofErr w:type="gramStart"/>
      <w:r w:rsidRPr="00DA5550">
        <w:rPr>
          <w:rFonts w:ascii="Arial" w:eastAsiaTheme="majorEastAsia" w:hAnsi="Arial" w:cs="Arial"/>
          <w:kern w:val="0"/>
          <w:szCs w:val="24"/>
          <w:lang w:bidi="ar-SA"/>
          <w14:ligatures w14:val="none"/>
        </w:rPr>
        <w:t>takes into account</w:t>
      </w:r>
      <w:proofErr w:type="gramEnd"/>
      <w:r w:rsidRPr="00DA5550">
        <w:rPr>
          <w:rFonts w:ascii="Arial" w:eastAsiaTheme="majorEastAsia" w:hAnsi="Arial" w:cs="Arial"/>
          <w:kern w:val="0"/>
          <w:szCs w:val="24"/>
          <w:lang w:bidi="ar-SA"/>
          <w14:ligatures w14:val="none"/>
        </w:rPr>
        <w:t xml:space="preserve"> the impact that digital tourism platforms have on the vulnerability of consumers, particularly in relation to online booking systems, dynamic pricing, and information asymmetry. Furthermore, the effectiveness of consumer redress mechanisms, including refunds, compensation schemes, and alternative dispute resolution processes, is evaluated.</w:t>
      </w:r>
      <w:r w:rsidRPr="00DA5550">
        <w:rPr>
          <w:rFonts w:ascii="Arial" w:eastAsiaTheme="majorEastAsia" w:hAnsi="Arial" w:cs="Arial"/>
          <w:kern w:val="0"/>
          <w:szCs w:val="24"/>
          <w:lang w:bidi="ar-SA"/>
          <w14:ligatures w14:val="none"/>
        </w:rPr>
        <w:br/>
      </w:r>
      <w:r w:rsidRPr="00DA5550">
        <w:rPr>
          <w:rFonts w:ascii="Arial" w:eastAsiaTheme="majorEastAsia" w:hAnsi="Arial" w:cs="Arial"/>
          <w:kern w:val="0"/>
          <w:szCs w:val="24"/>
          <w:lang w:bidi="ar-SA"/>
          <w14:ligatures w14:val="none"/>
        </w:rPr>
        <w:br/>
        <w:t xml:space="preserve">By drawing on contemporary academic literature and regulatory perspectives, this </w:t>
      </w:r>
      <w:r w:rsidRPr="00DA5550">
        <w:rPr>
          <w:rFonts w:ascii="Arial" w:eastAsiaTheme="majorEastAsia" w:hAnsi="Arial" w:cs="Arial"/>
          <w:kern w:val="0"/>
          <w:szCs w:val="24"/>
          <w:lang w:bidi="ar-SA"/>
          <w14:ligatures w14:val="none"/>
        </w:rPr>
        <w:lastRenderedPageBreak/>
        <w:t xml:space="preserve">assignment demonstrates that consumer protection laws function as both preventive and corrective tools within tourism markets. Preventively, they influence ethical business behaviour and promote transparency. In a corrective manner, they offer mechanisms for redress </w:t>
      </w:r>
      <w:proofErr w:type="gramStart"/>
      <w:r w:rsidRPr="00DA5550">
        <w:rPr>
          <w:rFonts w:ascii="Arial" w:eastAsiaTheme="majorEastAsia" w:hAnsi="Arial" w:cs="Arial"/>
          <w:kern w:val="0"/>
          <w:szCs w:val="24"/>
          <w:lang w:bidi="ar-SA"/>
          <w14:ligatures w14:val="none"/>
        </w:rPr>
        <w:t>in the event that</w:t>
      </w:r>
      <w:proofErr w:type="gramEnd"/>
      <w:r w:rsidRPr="00DA5550">
        <w:rPr>
          <w:rFonts w:ascii="Arial" w:eastAsiaTheme="majorEastAsia" w:hAnsi="Arial" w:cs="Arial"/>
          <w:kern w:val="0"/>
          <w:szCs w:val="24"/>
          <w:lang w:bidi="ar-SA"/>
          <w14:ligatures w14:val="none"/>
        </w:rPr>
        <w:t xml:space="preserve"> disagreements arise. Overall, the study highlights that strong consumer protection frameworks are fundamental to maintaining </w:t>
      </w:r>
      <w:proofErr w:type="spellStart"/>
      <w:r w:rsidRPr="00DA5550">
        <w:rPr>
          <w:rFonts w:ascii="Arial" w:eastAsiaTheme="majorEastAsia" w:hAnsi="Arial" w:cs="Arial"/>
          <w:kern w:val="0"/>
          <w:szCs w:val="24"/>
          <w:lang w:bidi="ar-SA"/>
          <w14:ligatures w14:val="none"/>
        </w:rPr>
        <w:t>traveler</w:t>
      </w:r>
      <w:proofErr w:type="spellEnd"/>
      <w:r w:rsidRPr="00DA5550">
        <w:rPr>
          <w:rFonts w:ascii="Arial" w:eastAsiaTheme="majorEastAsia" w:hAnsi="Arial" w:cs="Arial"/>
          <w:kern w:val="0"/>
          <w:szCs w:val="24"/>
          <w:lang w:bidi="ar-SA"/>
          <w14:ligatures w14:val="none"/>
        </w:rPr>
        <w:t xml:space="preserve"> confidence, market fairness, and the sustainable development of the tourism industry in an increasingly digital and international environment.</w:t>
      </w:r>
    </w:p>
    <w:p w14:paraId="05DD95C3" w14:textId="77777777" w:rsidR="00DB0773" w:rsidRDefault="00DB0773" w:rsidP="00DB0773">
      <w:pPr>
        <w:pStyle w:val="TOCHeading"/>
        <w:spacing w:line="480" w:lineRule="auto"/>
        <w:rPr>
          <w:rFonts w:ascii="Arial" w:hAnsi="Arial" w:cs="Arial"/>
          <w:color w:val="auto"/>
          <w:sz w:val="24"/>
          <w:szCs w:val="24"/>
        </w:rPr>
      </w:pPr>
    </w:p>
    <w:sdt>
      <w:sdtPr>
        <w:rPr>
          <w:rFonts w:ascii="Arial" w:hAnsi="Arial" w:cs="Arial"/>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20C704DA" w14:textId="77777777" w:rsidR="00DB0773" w:rsidRPr="000056B7" w:rsidRDefault="00DB0773" w:rsidP="00DB0773">
          <w:pPr>
            <w:pStyle w:val="TOCHeading"/>
            <w:spacing w:line="480" w:lineRule="auto"/>
            <w:rPr>
              <w:rFonts w:ascii="Arial" w:hAnsi="Arial" w:cs="Arial"/>
              <w:b/>
              <w:bCs/>
              <w:color w:val="auto"/>
              <w:sz w:val="24"/>
              <w:szCs w:val="24"/>
            </w:rPr>
          </w:pPr>
          <w:r w:rsidRPr="000056B7">
            <w:rPr>
              <w:rFonts w:ascii="Arial" w:hAnsi="Arial" w:cs="Arial"/>
              <w:b/>
              <w:bCs/>
              <w:color w:val="auto"/>
              <w:sz w:val="24"/>
              <w:szCs w:val="24"/>
            </w:rPr>
            <w:t>Contents</w:t>
          </w:r>
        </w:p>
        <w:p w14:paraId="0E11DCB7" w14:textId="77777777" w:rsidR="00DB0773" w:rsidRPr="000056B7" w:rsidRDefault="00DB0773" w:rsidP="00DB0773">
          <w:pPr>
            <w:pStyle w:val="TOC1"/>
            <w:tabs>
              <w:tab w:val="right" w:leader="dot" w:pos="9350"/>
            </w:tabs>
            <w:rPr>
              <w:rFonts w:ascii="Arial" w:hAnsi="Arial" w:cs="Arial"/>
              <w:b/>
              <w:bCs/>
              <w:noProof/>
              <w:kern w:val="2"/>
              <w:sz w:val="24"/>
              <w:szCs w:val="24"/>
              <w:lang w:val="en-GB" w:eastAsia="en-GB" w:bidi="hi-IN"/>
              <w14:ligatures w14:val="standardContextual"/>
            </w:rPr>
          </w:pPr>
          <w:r w:rsidRPr="000056B7">
            <w:rPr>
              <w:rFonts w:ascii="Arial" w:hAnsi="Arial" w:cs="Arial"/>
              <w:b/>
              <w:bCs/>
              <w:sz w:val="24"/>
              <w:szCs w:val="24"/>
            </w:rPr>
            <w:fldChar w:fldCharType="begin"/>
          </w:r>
          <w:r w:rsidRPr="000056B7">
            <w:rPr>
              <w:rFonts w:ascii="Arial" w:hAnsi="Arial" w:cs="Arial"/>
              <w:b/>
              <w:bCs/>
              <w:sz w:val="24"/>
              <w:szCs w:val="24"/>
            </w:rPr>
            <w:instrText xml:space="preserve"> TOC \o "1-3" \h \z \u </w:instrText>
          </w:r>
          <w:r w:rsidRPr="000056B7">
            <w:rPr>
              <w:rFonts w:ascii="Arial" w:hAnsi="Arial" w:cs="Arial"/>
              <w:b/>
              <w:bCs/>
              <w:sz w:val="24"/>
              <w:szCs w:val="24"/>
            </w:rPr>
            <w:fldChar w:fldCharType="separate"/>
          </w:r>
          <w:hyperlink w:anchor="_Toc221201954" w:history="1">
            <w:r w:rsidRPr="000056B7">
              <w:rPr>
                <w:rStyle w:val="Hyperlink"/>
                <w:rFonts w:ascii="Arial" w:hAnsi="Arial" w:cs="Arial"/>
                <w:b/>
                <w:bCs/>
                <w:noProof/>
                <w:color w:val="auto"/>
                <w:sz w:val="24"/>
                <w:szCs w:val="24"/>
              </w:rPr>
              <w:t>Abstract</w:t>
            </w:r>
            <w:r w:rsidRPr="000056B7">
              <w:rPr>
                <w:rFonts w:ascii="Arial" w:hAnsi="Arial" w:cs="Arial"/>
                <w:b/>
                <w:bCs/>
                <w:noProof/>
                <w:webHidden/>
                <w:sz w:val="24"/>
                <w:szCs w:val="24"/>
              </w:rPr>
              <w:tab/>
            </w:r>
            <w:r w:rsidRPr="000056B7">
              <w:rPr>
                <w:rFonts w:ascii="Arial" w:hAnsi="Arial" w:cs="Arial"/>
                <w:b/>
                <w:bCs/>
                <w:noProof/>
                <w:webHidden/>
                <w:sz w:val="24"/>
                <w:szCs w:val="24"/>
              </w:rPr>
              <w:fldChar w:fldCharType="begin"/>
            </w:r>
            <w:r w:rsidRPr="000056B7">
              <w:rPr>
                <w:rFonts w:ascii="Arial" w:hAnsi="Arial" w:cs="Arial"/>
                <w:b/>
                <w:bCs/>
                <w:noProof/>
                <w:webHidden/>
                <w:sz w:val="24"/>
                <w:szCs w:val="24"/>
              </w:rPr>
              <w:instrText xml:space="preserve"> PAGEREF _Toc221201954 \h </w:instrText>
            </w:r>
            <w:r w:rsidRPr="000056B7">
              <w:rPr>
                <w:rFonts w:ascii="Arial" w:hAnsi="Arial" w:cs="Arial"/>
                <w:b/>
                <w:bCs/>
                <w:noProof/>
                <w:webHidden/>
                <w:sz w:val="24"/>
                <w:szCs w:val="24"/>
              </w:rPr>
            </w:r>
            <w:r w:rsidRPr="000056B7">
              <w:rPr>
                <w:rFonts w:ascii="Arial" w:hAnsi="Arial" w:cs="Arial"/>
                <w:b/>
                <w:bCs/>
                <w:noProof/>
                <w:webHidden/>
                <w:sz w:val="24"/>
                <w:szCs w:val="24"/>
              </w:rPr>
              <w:fldChar w:fldCharType="separate"/>
            </w:r>
            <w:r w:rsidRPr="000056B7">
              <w:rPr>
                <w:rFonts w:ascii="Arial" w:hAnsi="Arial" w:cs="Arial"/>
                <w:b/>
                <w:bCs/>
                <w:noProof/>
                <w:webHidden/>
                <w:sz w:val="24"/>
                <w:szCs w:val="24"/>
              </w:rPr>
              <w:t>2</w:t>
            </w:r>
            <w:r w:rsidRPr="000056B7">
              <w:rPr>
                <w:rFonts w:ascii="Arial" w:hAnsi="Arial" w:cs="Arial"/>
                <w:b/>
                <w:bCs/>
                <w:noProof/>
                <w:webHidden/>
                <w:sz w:val="24"/>
                <w:szCs w:val="24"/>
              </w:rPr>
              <w:fldChar w:fldCharType="end"/>
            </w:r>
          </w:hyperlink>
        </w:p>
        <w:p w14:paraId="5E4D10D3" w14:textId="77777777" w:rsidR="00DB0773" w:rsidRPr="000056B7" w:rsidRDefault="00DB0773" w:rsidP="00DB0773">
          <w:pPr>
            <w:pStyle w:val="TOC1"/>
            <w:tabs>
              <w:tab w:val="right" w:leader="dot" w:pos="9350"/>
            </w:tabs>
            <w:rPr>
              <w:rFonts w:ascii="Arial" w:hAnsi="Arial" w:cs="Arial"/>
              <w:b/>
              <w:bCs/>
              <w:noProof/>
              <w:kern w:val="2"/>
              <w:sz w:val="24"/>
              <w:szCs w:val="24"/>
              <w:lang w:val="en-GB" w:eastAsia="en-GB" w:bidi="hi-IN"/>
              <w14:ligatures w14:val="standardContextual"/>
            </w:rPr>
          </w:pPr>
          <w:hyperlink w:anchor="_Toc221201955" w:history="1">
            <w:r w:rsidRPr="000056B7">
              <w:rPr>
                <w:rStyle w:val="Hyperlink"/>
                <w:rFonts w:ascii="Arial" w:hAnsi="Arial" w:cs="Arial"/>
                <w:b/>
                <w:bCs/>
                <w:noProof/>
                <w:color w:val="auto"/>
                <w:sz w:val="24"/>
                <w:szCs w:val="24"/>
              </w:rPr>
              <w:t>1.Introduction</w:t>
            </w:r>
            <w:r w:rsidRPr="000056B7">
              <w:rPr>
                <w:rFonts w:ascii="Arial" w:hAnsi="Arial" w:cs="Arial"/>
                <w:b/>
                <w:bCs/>
                <w:noProof/>
                <w:webHidden/>
                <w:sz w:val="24"/>
                <w:szCs w:val="24"/>
              </w:rPr>
              <w:tab/>
            </w:r>
            <w:r w:rsidRPr="000056B7">
              <w:rPr>
                <w:rFonts w:ascii="Arial" w:hAnsi="Arial" w:cs="Arial"/>
                <w:b/>
                <w:bCs/>
                <w:noProof/>
                <w:webHidden/>
                <w:sz w:val="24"/>
                <w:szCs w:val="24"/>
              </w:rPr>
              <w:fldChar w:fldCharType="begin"/>
            </w:r>
            <w:r w:rsidRPr="000056B7">
              <w:rPr>
                <w:rFonts w:ascii="Arial" w:hAnsi="Arial" w:cs="Arial"/>
                <w:b/>
                <w:bCs/>
                <w:noProof/>
                <w:webHidden/>
                <w:sz w:val="24"/>
                <w:szCs w:val="24"/>
              </w:rPr>
              <w:instrText xml:space="preserve"> PAGEREF _Toc221201955 \h </w:instrText>
            </w:r>
            <w:r w:rsidRPr="000056B7">
              <w:rPr>
                <w:rFonts w:ascii="Arial" w:hAnsi="Arial" w:cs="Arial"/>
                <w:b/>
                <w:bCs/>
                <w:noProof/>
                <w:webHidden/>
                <w:sz w:val="24"/>
                <w:szCs w:val="24"/>
              </w:rPr>
            </w:r>
            <w:r w:rsidRPr="000056B7">
              <w:rPr>
                <w:rFonts w:ascii="Arial" w:hAnsi="Arial" w:cs="Arial"/>
                <w:b/>
                <w:bCs/>
                <w:noProof/>
                <w:webHidden/>
                <w:sz w:val="24"/>
                <w:szCs w:val="24"/>
              </w:rPr>
              <w:fldChar w:fldCharType="separate"/>
            </w:r>
            <w:r w:rsidRPr="000056B7">
              <w:rPr>
                <w:rFonts w:ascii="Arial" w:hAnsi="Arial" w:cs="Arial"/>
                <w:b/>
                <w:bCs/>
                <w:noProof/>
                <w:webHidden/>
                <w:sz w:val="24"/>
                <w:szCs w:val="24"/>
              </w:rPr>
              <w:t>4</w:t>
            </w:r>
            <w:r w:rsidRPr="000056B7">
              <w:rPr>
                <w:rFonts w:ascii="Arial" w:hAnsi="Arial" w:cs="Arial"/>
                <w:b/>
                <w:bCs/>
                <w:noProof/>
                <w:webHidden/>
                <w:sz w:val="24"/>
                <w:szCs w:val="24"/>
              </w:rPr>
              <w:fldChar w:fldCharType="end"/>
            </w:r>
          </w:hyperlink>
        </w:p>
        <w:p w14:paraId="4D8B5F45" w14:textId="77777777" w:rsidR="00DB0773" w:rsidRPr="000056B7" w:rsidRDefault="00DB0773" w:rsidP="00DB0773">
          <w:pPr>
            <w:pStyle w:val="TOC1"/>
            <w:tabs>
              <w:tab w:val="right" w:leader="dot" w:pos="9350"/>
            </w:tabs>
            <w:rPr>
              <w:rFonts w:ascii="Arial" w:hAnsi="Arial" w:cs="Arial"/>
              <w:b/>
              <w:bCs/>
              <w:noProof/>
              <w:kern w:val="2"/>
              <w:sz w:val="24"/>
              <w:szCs w:val="24"/>
              <w:lang w:val="en-GB" w:eastAsia="en-GB" w:bidi="hi-IN"/>
              <w14:ligatures w14:val="standardContextual"/>
            </w:rPr>
          </w:pPr>
          <w:hyperlink w:anchor="_Toc221201956" w:history="1">
            <w:r w:rsidRPr="000056B7">
              <w:rPr>
                <w:rStyle w:val="Hyperlink"/>
                <w:rFonts w:ascii="Arial" w:hAnsi="Arial" w:cs="Arial"/>
                <w:b/>
                <w:bCs/>
                <w:noProof/>
                <w:color w:val="auto"/>
                <w:sz w:val="24"/>
                <w:szCs w:val="24"/>
              </w:rPr>
              <w:t>2. Literature Review</w:t>
            </w:r>
            <w:r w:rsidRPr="000056B7">
              <w:rPr>
                <w:rFonts w:ascii="Arial" w:hAnsi="Arial" w:cs="Arial"/>
                <w:b/>
                <w:bCs/>
                <w:noProof/>
                <w:webHidden/>
                <w:sz w:val="24"/>
                <w:szCs w:val="24"/>
              </w:rPr>
              <w:tab/>
            </w:r>
            <w:r w:rsidRPr="000056B7">
              <w:rPr>
                <w:rFonts w:ascii="Arial" w:hAnsi="Arial" w:cs="Arial"/>
                <w:b/>
                <w:bCs/>
                <w:noProof/>
                <w:webHidden/>
                <w:sz w:val="24"/>
                <w:szCs w:val="24"/>
              </w:rPr>
              <w:fldChar w:fldCharType="begin"/>
            </w:r>
            <w:r w:rsidRPr="000056B7">
              <w:rPr>
                <w:rFonts w:ascii="Arial" w:hAnsi="Arial" w:cs="Arial"/>
                <w:b/>
                <w:bCs/>
                <w:noProof/>
                <w:webHidden/>
                <w:sz w:val="24"/>
                <w:szCs w:val="24"/>
              </w:rPr>
              <w:instrText xml:space="preserve"> PAGEREF _Toc221201956 \h </w:instrText>
            </w:r>
            <w:r w:rsidRPr="000056B7">
              <w:rPr>
                <w:rFonts w:ascii="Arial" w:hAnsi="Arial" w:cs="Arial"/>
                <w:b/>
                <w:bCs/>
                <w:noProof/>
                <w:webHidden/>
                <w:sz w:val="24"/>
                <w:szCs w:val="24"/>
              </w:rPr>
            </w:r>
            <w:r w:rsidRPr="000056B7">
              <w:rPr>
                <w:rFonts w:ascii="Arial" w:hAnsi="Arial" w:cs="Arial"/>
                <w:b/>
                <w:bCs/>
                <w:noProof/>
                <w:webHidden/>
                <w:sz w:val="24"/>
                <w:szCs w:val="24"/>
              </w:rPr>
              <w:fldChar w:fldCharType="separate"/>
            </w:r>
            <w:r w:rsidRPr="000056B7">
              <w:rPr>
                <w:rFonts w:ascii="Arial" w:hAnsi="Arial" w:cs="Arial"/>
                <w:b/>
                <w:bCs/>
                <w:noProof/>
                <w:webHidden/>
                <w:sz w:val="24"/>
                <w:szCs w:val="24"/>
              </w:rPr>
              <w:t>6</w:t>
            </w:r>
            <w:r w:rsidRPr="000056B7">
              <w:rPr>
                <w:rFonts w:ascii="Arial" w:hAnsi="Arial" w:cs="Arial"/>
                <w:b/>
                <w:bCs/>
                <w:noProof/>
                <w:webHidden/>
                <w:sz w:val="24"/>
                <w:szCs w:val="24"/>
              </w:rPr>
              <w:fldChar w:fldCharType="end"/>
            </w:r>
          </w:hyperlink>
        </w:p>
        <w:p w14:paraId="76D2B421" w14:textId="77777777" w:rsidR="00DB0773" w:rsidRPr="000056B7" w:rsidRDefault="00DB0773" w:rsidP="00DB0773">
          <w:pPr>
            <w:pStyle w:val="TOC1"/>
            <w:tabs>
              <w:tab w:val="right" w:leader="dot" w:pos="9350"/>
            </w:tabs>
            <w:rPr>
              <w:rFonts w:ascii="Arial" w:hAnsi="Arial" w:cs="Arial"/>
              <w:b/>
              <w:bCs/>
              <w:noProof/>
              <w:kern w:val="2"/>
              <w:sz w:val="24"/>
              <w:szCs w:val="24"/>
              <w:lang w:val="en-GB" w:eastAsia="en-GB" w:bidi="hi-IN"/>
              <w14:ligatures w14:val="standardContextual"/>
            </w:rPr>
          </w:pPr>
          <w:hyperlink w:anchor="_Toc221201957" w:history="1">
            <w:r w:rsidRPr="000056B7">
              <w:rPr>
                <w:rStyle w:val="Hyperlink"/>
                <w:rFonts w:ascii="Arial" w:hAnsi="Arial" w:cs="Arial"/>
                <w:b/>
                <w:bCs/>
                <w:noProof/>
                <w:color w:val="auto"/>
                <w:sz w:val="24"/>
                <w:szCs w:val="24"/>
              </w:rPr>
              <w:t>3 Methodology</w:t>
            </w:r>
            <w:r w:rsidRPr="000056B7">
              <w:rPr>
                <w:rFonts w:ascii="Arial" w:hAnsi="Arial" w:cs="Arial"/>
                <w:b/>
                <w:bCs/>
                <w:noProof/>
                <w:webHidden/>
                <w:sz w:val="24"/>
                <w:szCs w:val="24"/>
              </w:rPr>
              <w:tab/>
            </w:r>
            <w:r w:rsidRPr="000056B7">
              <w:rPr>
                <w:rFonts w:ascii="Arial" w:hAnsi="Arial" w:cs="Arial"/>
                <w:b/>
                <w:bCs/>
                <w:noProof/>
                <w:webHidden/>
                <w:sz w:val="24"/>
                <w:szCs w:val="24"/>
              </w:rPr>
              <w:fldChar w:fldCharType="begin"/>
            </w:r>
            <w:r w:rsidRPr="000056B7">
              <w:rPr>
                <w:rFonts w:ascii="Arial" w:hAnsi="Arial" w:cs="Arial"/>
                <w:b/>
                <w:bCs/>
                <w:noProof/>
                <w:webHidden/>
                <w:sz w:val="24"/>
                <w:szCs w:val="24"/>
              </w:rPr>
              <w:instrText xml:space="preserve"> PAGEREF _Toc221201957 \h </w:instrText>
            </w:r>
            <w:r w:rsidRPr="000056B7">
              <w:rPr>
                <w:rFonts w:ascii="Arial" w:hAnsi="Arial" w:cs="Arial"/>
                <w:b/>
                <w:bCs/>
                <w:noProof/>
                <w:webHidden/>
                <w:sz w:val="24"/>
                <w:szCs w:val="24"/>
              </w:rPr>
            </w:r>
            <w:r w:rsidRPr="000056B7">
              <w:rPr>
                <w:rFonts w:ascii="Arial" w:hAnsi="Arial" w:cs="Arial"/>
                <w:b/>
                <w:bCs/>
                <w:noProof/>
                <w:webHidden/>
                <w:sz w:val="24"/>
                <w:szCs w:val="24"/>
              </w:rPr>
              <w:fldChar w:fldCharType="separate"/>
            </w:r>
            <w:r w:rsidRPr="000056B7">
              <w:rPr>
                <w:rFonts w:ascii="Arial" w:hAnsi="Arial" w:cs="Arial"/>
                <w:b/>
                <w:bCs/>
                <w:noProof/>
                <w:webHidden/>
                <w:sz w:val="24"/>
                <w:szCs w:val="24"/>
              </w:rPr>
              <w:t>11</w:t>
            </w:r>
            <w:r w:rsidRPr="000056B7">
              <w:rPr>
                <w:rFonts w:ascii="Arial" w:hAnsi="Arial" w:cs="Arial"/>
                <w:b/>
                <w:bCs/>
                <w:noProof/>
                <w:webHidden/>
                <w:sz w:val="24"/>
                <w:szCs w:val="24"/>
              </w:rPr>
              <w:fldChar w:fldCharType="end"/>
            </w:r>
          </w:hyperlink>
        </w:p>
        <w:p w14:paraId="0C553C92" w14:textId="77777777" w:rsidR="00DB0773" w:rsidRPr="000056B7" w:rsidRDefault="00DB0773" w:rsidP="00DB0773">
          <w:pPr>
            <w:pStyle w:val="TOC1"/>
            <w:tabs>
              <w:tab w:val="right" w:leader="dot" w:pos="9350"/>
            </w:tabs>
            <w:rPr>
              <w:rFonts w:ascii="Arial" w:hAnsi="Arial" w:cs="Arial"/>
              <w:b/>
              <w:bCs/>
              <w:noProof/>
              <w:kern w:val="2"/>
              <w:sz w:val="24"/>
              <w:szCs w:val="24"/>
              <w:lang w:val="en-GB" w:eastAsia="en-GB" w:bidi="hi-IN"/>
              <w14:ligatures w14:val="standardContextual"/>
            </w:rPr>
          </w:pPr>
          <w:hyperlink w:anchor="_Toc221201958" w:history="1">
            <w:r w:rsidRPr="000056B7">
              <w:rPr>
                <w:rStyle w:val="Hyperlink"/>
                <w:rFonts w:ascii="Arial" w:hAnsi="Arial" w:cs="Arial"/>
                <w:b/>
                <w:bCs/>
                <w:noProof/>
                <w:color w:val="auto"/>
                <w:sz w:val="24"/>
                <w:szCs w:val="24"/>
              </w:rPr>
              <w:t>4 Finding</w:t>
            </w:r>
            <w:r w:rsidRPr="000056B7">
              <w:rPr>
                <w:rFonts w:ascii="Arial" w:hAnsi="Arial" w:cs="Arial"/>
                <w:b/>
                <w:bCs/>
                <w:noProof/>
                <w:webHidden/>
                <w:sz w:val="24"/>
                <w:szCs w:val="24"/>
              </w:rPr>
              <w:tab/>
            </w:r>
            <w:r w:rsidRPr="000056B7">
              <w:rPr>
                <w:rFonts w:ascii="Arial" w:hAnsi="Arial" w:cs="Arial"/>
                <w:b/>
                <w:bCs/>
                <w:noProof/>
                <w:webHidden/>
                <w:sz w:val="24"/>
                <w:szCs w:val="24"/>
              </w:rPr>
              <w:fldChar w:fldCharType="begin"/>
            </w:r>
            <w:r w:rsidRPr="000056B7">
              <w:rPr>
                <w:rFonts w:ascii="Arial" w:hAnsi="Arial" w:cs="Arial"/>
                <w:b/>
                <w:bCs/>
                <w:noProof/>
                <w:webHidden/>
                <w:sz w:val="24"/>
                <w:szCs w:val="24"/>
              </w:rPr>
              <w:instrText xml:space="preserve"> PAGEREF _Toc221201958 \h </w:instrText>
            </w:r>
            <w:r w:rsidRPr="000056B7">
              <w:rPr>
                <w:rFonts w:ascii="Arial" w:hAnsi="Arial" w:cs="Arial"/>
                <w:b/>
                <w:bCs/>
                <w:noProof/>
                <w:webHidden/>
                <w:sz w:val="24"/>
                <w:szCs w:val="24"/>
              </w:rPr>
            </w:r>
            <w:r w:rsidRPr="000056B7">
              <w:rPr>
                <w:rFonts w:ascii="Arial" w:hAnsi="Arial" w:cs="Arial"/>
                <w:b/>
                <w:bCs/>
                <w:noProof/>
                <w:webHidden/>
                <w:sz w:val="24"/>
                <w:szCs w:val="24"/>
              </w:rPr>
              <w:fldChar w:fldCharType="separate"/>
            </w:r>
            <w:r w:rsidRPr="000056B7">
              <w:rPr>
                <w:rFonts w:ascii="Arial" w:hAnsi="Arial" w:cs="Arial"/>
                <w:b/>
                <w:bCs/>
                <w:noProof/>
                <w:webHidden/>
                <w:sz w:val="24"/>
                <w:szCs w:val="24"/>
              </w:rPr>
              <w:t>15</w:t>
            </w:r>
            <w:r w:rsidRPr="000056B7">
              <w:rPr>
                <w:rFonts w:ascii="Arial" w:hAnsi="Arial" w:cs="Arial"/>
                <w:b/>
                <w:bCs/>
                <w:noProof/>
                <w:webHidden/>
                <w:sz w:val="24"/>
                <w:szCs w:val="24"/>
              </w:rPr>
              <w:fldChar w:fldCharType="end"/>
            </w:r>
          </w:hyperlink>
        </w:p>
        <w:p w14:paraId="3D0153C7" w14:textId="77777777" w:rsidR="00DB0773" w:rsidRPr="000056B7" w:rsidRDefault="00DB0773" w:rsidP="00DB0773">
          <w:pPr>
            <w:pStyle w:val="TOC1"/>
            <w:tabs>
              <w:tab w:val="right" w:leader="dot" w:pos="9350"/>
            </w:tabs>
            <w:rPr>
              <w:rFonts w:ascii="Arial" w:hAnsi="Arial" w:cs="Arial"/>
              <w:b/>
              <w:bCs/>
              <w:noProof/>
              <w:kern w:val="2"/>
              <w:sz w:val="24"/>
              <w:szCs w:val="24"/>
              <w:lang w:val="en-GB" w:eastAsia="en-GB" w:bidi="hi-IN"/>
              <w14:ligatures w14:val="standardContextual"/>
            </w:rPr>
          </w:pPr>
          <w:hyperlink w:anchor="_Toc221201959" w:history="1">
            <w:r w:rsidRPr="000056B7">
              <w:rPr>
                <w:rStyle w:val="Hyperlink"/>
                <w:rFonts w:ascii="Arial" w:hAnsi="Arial" w:cs="Arial"/>
                <w:b/>
                <w:bCs/>
                <w:noProof/>
                <w:color w:val="auto"/>
                <w:sz w:val="24"/>
                <w:szCs w:val="24"/>
              </w:rPr>
              <w:t>5. Discussion</w:t>
            </w:r>
            <w:r w:rsidRPr="000056B7">
              <w:rPr>
                <w:rFonts w:ascii="Arial" w:hAnsi="Arial" w:cs="Arial"/>
                <w:b/>
                <w:bCs/>
                <w:noProof/>
                <w:webHidden/>
                <w:sz w:val="24"/>
                <w:szCs w:val="24"/>
              </w:rPr>
              <w:tab/>
            </w:r>
            <w:r w:rsidRPr="000056B7">
              <w:rPr>
                <w:rFonts w:ascii="Arial" w:hAnsi="Arial" w:cs="Arial"/>
                <w:b/>
                <w:bCs/>
                <w:noProof/>
                <w:webHidden/>
                <w:sz w:val="24"/>
                <w:szCs w:val="24"/>
              </w:rPr>
              <w:fldChar w:fldCharType="begin"/>
            </w:r>
            <w:r w:rsidRPr="000056B7">
              <w:rPr>
                <w:rFonts w:ascii="Arial" w:hAnsi="Arial" w:cs="Arial"/>
                <w:b/>
                <w:bCs/>
                <w:noProof/>
                <w:webHidden/>
                <w:sz w:val="24"/>
                <w:szCs w:val="24"/>
              </w:rPr>
              <w:instrText xml:space="preserve"> PAGEREF _Toc221201959 \h </w:instrText>
            </w:r>
            <w:r w:rsidRPr="000056B7">
              <w:rPr>
                <w:rFonts w:ascii="Arial" w:hAnsi="Arial" w:cs="Arial"/>
                <w:b/>
                <w:bCs/>
                <w:noProof/>
                <w:webHidden/>
                <w:sz w:val="24"/>
                <w:szCs w:val="24"/>
              </w:rPr>
            </w:r>
            <w:r w:rsidRPr="000056B7">
              <w:rPr>
                <w:rFonts w:ascii="Arial" w:hAnsi="Arial" w:cs="Arial"/>
                <w:b/>
                <w:bCs/>
                <w:noProof/>
                <w:webHidden/>
                <w:sz w:val="24"/>
                <w:szCs w:val="24"/>
              </w:rPr>
              <w:fldChar w:fldCharType="separate"/>
            </w:r>
            <w:r w:rsidRPr="000056B7">
              <w:rPr>
                <w:rFonts w:ascii="Arial" w:hAnsi="Arial" w:cs="Arial"/>
                <w:b/>
                <w:bCs/>
                <w:noProof/>
                <w:webHidden/>
                <w:sz w:val="24"/>
                <w:szCs w:val="24"/>
              </w:rPr>
              <w:t>17</w:t>
            </w:r>
            <w:r w:rsidRPr="000056B7">
              <w:rPr>
                <w:rFonts w:ascii="Arial" w:hAnsi="Arial" w:cs="Arial"/>
                <w:b/>
                <w:bCs/>
                <w:noProof/>
                <w:webHidden/>
                <w:sz w:val="24"/>
                <w:szCs w:val="24"/>
              </w:rPr>
              <w:fldChar w:fldCharType="end"/>
            </w:r>
          </w:hyperlink>
        </w:p>
        <w:p w14:paraId="76F7CF9B" w14:textId="77777777" w:rsidR="00DB0773" w:rsidRPr="000056B7" w:rsidRDefault="00DB0773" w:rsidP="00DB0773">
          <w:pPr>
            <w:pStyle w:val="TOC1"/>
            <w:tabs>
              <w:tab w:val="right" w:leader="dot" w:pos="9350"/>
            </w:tabs>
            <w:rPr>
              <w:rFonts w:ascii="Arial" w:hAnsi="Arial" w:cs="Arial"/>
              <w:b/>
              <w:bCs/>
              <w:noProof/>
              <w:kern w:val="2"/>
              <w:sz w:val="24"/>
              <w:szCs w:val="24"/>
              <w:lang w:val="en-GB" w:eastAsia="en-GB" w:bidi="hi-IN"/>
              <w14:ligatures w14:val="standardContextual"/>
            </w:rPr>
          </w:pPr>
          <w:hyperlink w:anchor="_Toc221201960" w:history="1">
            <w:r w:rsidRPr="000056B7">
              <w:rPr>
                <w:rStyle w:val="Hyperlink"/>
                <w:rFonts w:ascii="Arial" w:hAnsi="Arial" w:cs="Arial"/>
                <w:b/>
                <w:bCs/>
                <w:noProof/>
                <w:color w:val="auto"/>
                <w:sz w:val="24"/>
                <w:szCs w:val="24"/>
              </w:rPr>
              <w:t>6. Conclusion</w:t>
            </w:r>
            <w:r w:rsidRPr="000056B7">
              <w:rPr>
                <w:rFonts w:ascii="Arial" w:hAnsi="Arial" w:cs="Arial"/>
                <w:b/>
                <w:bCs/>
                <w:noProof/>
                <w:webHidden/>
                <w:sz w:val="24"/>
                <w:szCs w:val="24"/>
              </w:rPr>
              <w:tab/>
            </w:r>
            <w:r w:rsidRPr="000056B7">
              <w:rPr>
                <w:rFonts w:ascii="Arial" w:hAnsi="Arial" w:cs="Arial"/>
                <w:b/>
                <w:bCs/>
                <w:noProof/>
                <w:webHidden/>
                <w:sz w:val="24"/>
                <w:szCs w:val="24"/>
              </w:rPr>
              <w:fldChar w:fldCharType="begin"/>
            </w:r>
            <w:r w:rsidRPr="000056B7">
              <w:rPr>
                <w:rFonts w:ascii="Arial" w:hAnsi="Arial" w:cs="Arial"/>
                <w:b/>
                <w:bCs/>
                <w:noProof/>
                <w:webHidden/>
                <w:sz w:val="24"/>
                <w:szCs w:val="24"/>
              </w:rPr>
              <w:instrText xml:space="preserve"> PAGEREF _Toc221201960 \h </w:instrText>
            </w:r>
            <w:r w:rsidRPr="000056B7">
              <w:rPr>
                <w:rFonts w:ascii="Arial" w:hAnsi="Arial" w:cs="Arial"/>
                <w:b/>
                <w:bCs/>
                <w:noProof/>
                <w:webHidden/>
                <w:sz w:val="24"/>
                <w:szCs w:val="24"/>
              </w:rPr>
            </w:r>
            <w:r w:rsidRPr="000056B7">
              <w:rPr>
                <w:rFonts w:ascii="Arial" w:hAnsi="Arial" w:cs="Arial"/>
                <w:b/>
                <w:bCs/>
                <w:noProof/>
                <w:webHidden/>
                <w:sz w:val="24"/>
                <w:szCs w:val="24"/>
              </w:rPr>
              <w:fldChar w:fldCharType="separate"/>
            </w:r>
            <w:r w:rsidRPr="000056B7">
              <w:rPr>
                <w:rFonts w:ascii="Arial" w:hAnsi="Arial" w:cs="Arial"/>
                <w:b/>
                <w:bCs/>
                <w:noProof/>
                <w:webHidden/>
                <w:sz w:val="24"/>
                <w:szCs w:val="24"/>
              </w:rPr>
              <w:t>19</w:t>
            </w:r>
            <w:r w:rsidRPr="000056B7">
              <w:rPr>
                <w:rFonts w:ascii="Arial" w:hAnsi="Arial" w:cs="Arial"/>
                <w:b/>
                <w:bCs/>
                <w:noProof/>
                <w:webHidden/>
                <w:sz w:val="24"/>
                <w:szCs w:val="24"/>
              </w:rPr>
              <w:fldChar w:fldCharType="end"/>
            </w:r>
          </w:hyperlink>
        </w:p>
        <w:p w14:paraId="1BE4771B" w14:textId="77777777" w:rsidR="00DB0773" w:rsidRPr="000056B7" w:rsidRDefault="00DB0773" w:rsidP="00DB0773">
          <w:pPr>
            <w:pStyle w:val="TOC1"/>
            <w:tabs>
              <w:tab w:val="right" w:leader="dot" w:pos="9350"/>
            </w:tabs>
            <w:rPr>
              <w:rFonts w:ascii="Arial" w:hAnsi="Arial" w:cs="Arial"/>
              <w:b/>
              <w:bCs/>
              <w:noProof/>
              <w:kern w:val="2"/>
              <w:sz w:val="24"/>
              <w:szCs w:val="24"/>
              <w:lang w:val="en-GB" w:eastAsia="en-GB" w:bidi="hi-IN"/>
              <w14:ligatures w14:val="standardContextual"/>
            </w:rPr>
          </w:pPr>
          <w:hyperlink w:anchor="_Toc221201961" w:history="1">
            <w:r w:rsidRPr="000056B7">
              <w:rPr>
                <w:rStyle w:val="Hyperlink"/>
                <w:rFonts w:ascii="Arial" w:hAnsi="Arial" w:cs="Arial"/>
                <w:b/>
                <w:bCs/>
                <w:noProof/>
                <w:color w:val="auto"/>
                <w:sz w:val="24"/>
                <w:szCs w:val="24"/>
              </w:rPr>
              <w:t>Reference List</w:t>
            </w:r>
            <w:r w:rsidRPr="000056B7">
              <w:rPr>
                <w:rFonts w:ascii="Arial" w:hAnsi="Arial" w:cs="Arial"/>
                <w:b/>
                <w:bCs/>
                <w:noProof/>
                <w:webHidden/>
                <w:sz w:val="24"/>
                <w:szCs w:val="24"/>
              </w:rPr>
              <w:tab/>
            </w:r>
            <w:r w:rsidRPr="000056B7">
              <w:rPr>
                <w:rFonts w:ascii="Arial" w:hAnsi="Arial" w:cs="Arial"/>
                <w:b/>
                <w:bCs/>
                <w:noProof/>
                <w:webHidden/>
                <w:sz w:val="24"/>
                <w:szCs w:val="24"/>
              </w:rPr>
              <w:fldChar w:fldCharType="begin"/>
            </w:r>
            <w:r w:rsidRPr="000056B7">
              <w:rPr>
                <w:rFonts w:ascii="Arial" w:hAnsi="Arial" w:cs="Arial"/>
                <w:b/>
                <w:bCs/>
                <w:noProof/>
                <w:webHidden/>
                <w:sz w:val="24"/>
                <w:szCs w:val="24"/>
              </w:rPr>
              <w:instrText xml:space="preserve"> PAGEREF _Toc221201961 \h </w:instrText>
            </w:r>
            <w:r w:rsidRPr="000056B7">
              <w:rPr>
                <w:rFonts w:ascii="Arial" w:hAnsi="Arial" w:cs="Arial"/>
                <w:b/>
                <w:bCs/>
                <w:noProof/>
                <w:webHidden/>
                <w:sz w:val="24"/>
                <w:szCs w:val="24"/>
              </w:rPr>
            </w:r>
            <w:r w:rsidRPr="000056B7">
              <w:rPr>
                <w:rFonts w:ascii="Arial" w:hAnsi="Arial" w:cs="Arial"/>
                <w:b/>
                <w:bCs/>
                <w:noProof/>
                <w:webHidden/>
                <w:sz w:val="24"/>
                <w:szCs w:val="24"/>
              </w:rPr>
              <w:fldChar w:fldCharType="separate"/>
            </w:r>
            <w:r w:rsidRPr="000056B7">
              <w:rPr>
                <w:rFonts w:ascii="Arial" w:hAnsi="Arial" w:cs="Arial"/>
                <w:b/>
                <w:bCs/>
                <w:noProof/>
                <w:webHidden/>
                <w:sz w:val="24"/>
                <w:szCs w:val="24"/>
              </w:rPr>
              <w:t>20</w:t>
            </w:r>
            <w:r w:rsidRPr="000056B7">
              <w:rPr>
                <w:rFonts w:ascii="Arial" w:hAnsi="Arial" w:cs="Arial"/>
                <w:b/>
                <w:bCs/>
                <w:noProof/>
                <w:webHidden/>
                <w:sz w:val="24"/>
                <w:szCs w:val="24"/>
              </w:rPr>
              <w:fldChar w:fldCharType="end"/>
            </w:r>
          </w:hyperlink>
        </w:p>
        <w:p w14:paraId="26B9FBC9" w14:textId="77777777" w:rsidR="00DB0773" w:rsidRPr="00825F73" w:rsidRDefault="00DB0773" w:rsidP="00DB0773">
          <w:pPr>
            <w:spacing w:line="480" w:lineRule="auto"/>
            <w:rPr>
              <w:rFonts w:ascii="Arial" w:hAnsi="Arial" w:cs="Arial"/>
              <w:szCs w:val="24"/>
            </w:rPr>
          </w:pPr>
          <w:r w:rsidRPr="000056B7">
            <w:rPr>
              <w:rFonts w:ascii="Arial" w:hAnsi="Arial" w:cs="Arial"/>
              <w:b/>
              <w:bCs/>
              <w:noProof/>
              <w:szCs w:val="24"/>
            </w:rPr>
            <w:fldChar w:fldCharType="end"/>
          </w:r>
        </w:p>
      </w:sdtContent>
    </w:sdt>
    <w:p w14:paraId="47FD119B" w14:textId="77777777" w:rsidR="00DB0773" w:rsidRPr="00825F73" w:rsidRDefault="00DB0773" w:rsidP="00DB0773">
      <w:pPr>
        <w:spacing w:line="480" w:lineRule="auto"/>
        <w:rPr>
          <w:rFonts w:ascii="Arial" w:hAnsi="Arial" w:cs="Arial"/>
          <w:szCs w:val="24"/>
        </w:rPr>
      </w:pPr>
    </w:p>
    <w:p w14:paraId="52993B01" w14:textId="77777777" w:rsidR="00DB0773" w:rsidRPr="00825F73" w:rsidRDefault="00DB0773" w:rsidP="00DB0773">
      <w:pPr>
        <w:spacing w:line="480" w:lineRule="auto"/>
        <w:rPr>
          <w:rFonts w:ascii="Arial" w:hAnsi="Arial" w:cs="Arial"/>
          <w:szCs w:val="24"/>
        </w:rPr>
      </w:pPr>
    </w:p>
    <w:p w14:paraId="5B796B14" w14:textId="77777777" w:rsidR="00DB0773" w:rsidRPr="00825F73" w:rsidRDefault="00DB0773" w:rsidP="00DB0773">
      <w:pPr>
        <w:spacing w:line="480" w:lineRule="auto"/>
        <w:rPr>
          <w:rFonts w:ascii="Arial" w:hAnsi="Arial" w:cs="Arial"/>
          <w:szCs w:val="24"/>
        </w:rPr>
      </w:pPr>
      <w:r w:rsidRPr="00825F73">
        <w:rPr>
          <w:rFonts w:ascii="Arial" w:hAnsi="Arial" w:cs="Arial"/>
          <w:szCs w:val="24"/>
        </w:rPr>
        <w:br w:type="page"/>
      </w:r>
    </w:p>
    <w:p w14:paraId="5C0DD6AD" w14:textId="77777777" w:rsidR="00DB0773" w:rsidRPr="00825F73" w:rsidRDefault="00DB0773" w:rsidP="00DB0773">
      <w:pPr>
        <w:spacing w:line="480" w:lineRule="auto"/>
        <w:rPr>
          <w:rFonts w:ascii="Arial" w:hAnsi="Arial" w:cs="Arial"/>
          <w:szCs w:val="24"/>
        </w:rPr>
      </w:pPr>
      <w:bookmarkStart w:id="1" w:name="_Toc221201955"/>
      <w:r w:rsidRPr="00825F73">
        <w:rPr>
          <w:rStyle w:val="Heading1Char"/>
          <w:rFonts w:ascii="Arial" w:hAnsi="Arial" w:cs="Arial"/>
          <w:b/>
          <w:bCs/>
          <w:color w:val="auto"/>
          <w:sz w:val="24"/>
          <w:szCs w:val="24"/>
        </w:rPr>
        <w:lastRenderedPageBreak/>
        <w:t>1.Introduction</w:t>
      </w:r>
      <w:bookmarkEnd w:id="1"/>
      <w:r w:rsidRPr="00825F73">
        <w:rPr>
          <w:rStyle w:val="Heading1Char"/>
          <w:rFonts w:ascii="Arial" w:hAnsi="Arial" w:cs="Arial"/>
          <w:color w:val="auto"/>
          <w:sz w:val="24"/>
          <w:szCs w:val="24"/>
        </w:rPr>
        <w:t xml:space="preserve"> </w:t>
      </w:r>
    </w:p>
    <w:p w14:paraId="0417676E" w14:textId="77777777" w:rsidR="00722A27" w:rsidRPr="00722A27" w:rsidRDefault="00722A27" w:rsidP="00722A27">
      <w:pPr>
        <w:spacing w:line="480" w:lineRule="auto"/>
        <w:rPr>
          <w:rFonts w:ascii="Arial" w:hAnsi="Arial" w:cs="Arial"/>
          <w:szCs w:val="24"/>
        </w:rPr>
      </w:pPr>
      <w:bookmarkStart w:id="2" w:name="_Toc221201956"/>
      <w:r w:rsidRPr="00722A27">
        <w:rPr>
          <w:rFonts w:ascii="Arial" w:hAnsi="Arial" w:cs="Arial"/>
          <w:szCs w:val="24"/>
        </w:rPr>
        <w:t>The tourism industry is a major contributor to global economic activity and employment, connecting consumers with a diverse range of service providers, including airlines, hotels, tour operators, cruise companies, and online travel agencies. Unlike many traditional consumer markets, tourism transactions typically involve advance payment for services that will be delivered in the future, often in foreign destinations. This temporal and geographical separation between purchase and consumption significantly increases consumer exposure to risk (Baker &amp; Cameron, 2008). Consequently, consumer protection laws have become a central regulatory framework within the tourism sector.</w:t>
      </w:r>
    </w:p>
    <w:p w14:paraId="2461F4FD" w14:textId="77777777" w:rsidR="00DB0773" w:rsidRDefault="00DB0773" w:rsidP="00DB0773">
      <w:pPr>
        <w:spacing w:line="480" w:lineRule="auto"/>
        <w:rPr>
          <w:rFonts w:ascii="Arial" w:hAnsi="Arial" w:cs="Arial"/>
          <w:szCs w:val="24"/>
        </w:rPr>
      </w:pPr>
    </w:p>
    <w:p w14:paraId="7E63284A" w14:textId="77777777" w:rsidR="00722A27" w:rsidRDefault="00722A27" w:rsidP="00DB0773">
      <w:pPr>
        <w:spacing w:line="480" w:lineRule="auto"/>
        <w:rPr>
          <w:rFonts w:ascii="Arial" w:hAnsi="Arial" w:cs="Arial"/>
          <w:szCs w:val="24"/>
        </w:rPr>
      </w:pPr>
    </w:p>
    <w:p w14:paraId="4FF5D138" w14:textId="77777777" w:rsidR="00722A27" w:rsidRDefault="00722A27" w:rsidP="00DB0773">
      <w:pPr>
        <w:spacing w:line="480" w:lineRule="auto"/>
        <w:rPr>
          <w:rFonts w:ascii="Arial" w:hAnsi="Arial" w:cs="Arial"/>
          <w:szCs w:val="24"/>
        </w:rPr>
      </w:pPr>
    </w:p>
    <w:p w14:paraId="4CE88941" w14:textId="77777777" w:rsidR="00722A27" w:rsidRDefault="00722A27" w:rsidP="00DB0773">
      <w:pPr>
        <w:spacing w:line="480" w:lineRule="auto"/>
        <w:rPr>
          <w:rFonts w:ascii="Arial" w:hAnsi="Arial" w:cs="Arial"/>
          <w:szCs w:val="24"/>
        </w:rPr>
      </w:pPr>
    </w:p>
    <w:p w14:paraId="11509884" w14:textId="77777777" w:rsidR="00722A27" w:rsidRDefault="00722A27" w:rsidP="00DB0773">
      <w:pPr>
        <w:spacing w:line="480" w:lineRule="auto"/>
        <w:rPr>
          <w:rFonts w:ascii="Arial" w:hAnsi="Arial" w:cs="Arial"/>
          <w:szCs w:val="24"/>
        </w:rPr>
      </w:pPr>
    </w:p>
    <w:p w14:paraId="4B93D323" w14:textId="77777777" w:rsidR="00722A27" w:rsidRDefault="00722A27" w:rsidP="00DB0773">
      <w:pPr>
        <w:spacing w:line="480" w:lineRule="auto"/>
        <w:rPr>
          <w:rFonts w:ascii="Arial" w:hAnsi="Arial" w:cs="Arial"/>
          <w:szCs w:val="24"/>
        </w:rPr>
      </w:pPr>
    </w:p>
    <w:p w14:paraId="0810D145" w14:textId="77777777" w:rsidR="00722A27" w:rsidRDefault="00722A27" w:rsidP="00DB0773">
      <w:pPr>
        <w:spacing w:line="480" w:lineRule="auto"/>
        <w:rPr>
          <w:rFonts w:ascii="Arial" w:hAnsi="Arial" w:cs="Arial"/>
          <w:szCs w:val="24"/>
        </w:rPr>
      </w:pPr>
    </w:p>
    <w:p w14:paraId="0BAB961D" w14:textId="77777777" w:rsidR="00722A27" w:rsidRDefault="00722A27" w:rsidP="00DB0773">
      <w:pPr>
        <w:spacing w:line="480" w:lineRule="auto"/>
        <w:rPr>
          <w:rFonts w:ascii="Arial" w:hAnsi="Arial" w:cs="Arial"/>
          <w:szCs w:val="24"/>
        </w:rPr>
      </w:pPr>
    </w:p>
    <w:p w14:paraId="3AB548BB" w14:textId="77777777" w:rsidR="00722A27" w:rsidRDefault="00722A27" w:rsidP="00DB0773">
      <w:pPr>
        <w:spacing w:line="480" w:lineRule="auto"/>
        <w:rPr>
          <w:rFonts w:ascii="Arial" w:hAnsi="Arial" w:cs="Arial"/>
          <w:szCs w:val="24"/>
        </w:rPr>
      </w:pPr>
    </w:p>
    <w:p w14:paraId="2FA6B398" w14:textId="77777777" w:rsidR="00722A27" w:rsidRPr="00D349AA" w:rsidRDefault="00722A27" w:rsidP="00DB0773">
      <w:pPr>
        <w:spacing w:line="480" w:lineRule="auto"/>
        <w:rPr>
          <w:rFonts w:ascii="Arial" w:hAnsi="Arial" w:cs="Arial"/>
          <w:szCs w:val="24"/>
        </w:rPr>
      </w:pPr>
    </w:p>
    <w:p w14:paraId="77968C5A" w14:textId="77777777" w:rsidR="00722A27" w:rsidRPr="00722A27" w:rsidRDefault="00DB0773" w:rsidP="00722A27">
      <w:pPr>
        <w:spacing w:line="480" w:lineRule="auto"/>
        <w:rPr>
          <w:rFonts w:ascii="Arial" w:hAnsi="Arial" w:cs="Arial"/>
          <w:szCs w:val="24"/>
        </w:rPr>
      </w:pPr>
      <w:r w:rsidRPr="00825F73">
        <w:rPr>
          <w:rStyle w:val="Heading1Char"/>
          <w:rFonts w:ascii="Arial" w:hAnsi="Arial" w:cs="Arial"/>
          <w:b/>
          <w:bCs/>
          <w:color w:val="auto"/>
          <w:sz w:val="24"/>
          <w:szCs w:val="24"/>
        </w:rPr>
        <w:lastRenderedPageBreak/>
        <w:t>2. Literature Review</w:t>
      </w:r>
      <w:bookmarkEnd w:id="2"/>
      <w:r w:rsidRPr="00825F73">
        <w:rPr>
          <w:rFonts w:ascii="Arial" w:hAnsi="Arial" w:cs="Arial"/>
          <w:szCs w:val="24"/>
        </w:rPr>
        <w:t xml:space="preserve"> </w:t>
      </w:r>
      <w:r w:rsidRPr="00825F73">
        <w:rPr>
          <w:rFonts w:ascii="Arial" w:hAnsi="Arial" w:cs="Arial"/>
          <w:szCs w:val="24"/>
        </w:rPr>
        <w:br/>
      </w:r>
      <w:bookmarkStart w:id="3" w:name="_Toc221201957"/>
      <w:r w:rsidR="00722A27" w:rsidRPr="00722A27">
        <w:rPr>
          <w:rFonts w:ascii="Arial" w:hAnsi="Arial" w:cs="Arial"/>
          <w:szCs w:val="24"/>
        </w:rPr>
        <w:t xml:space="preserve">Consumer protection within the tourism industry has emerged as a critical area of academic and policy discussion due to the sector’s inherent complexity and the heightened vulnerability of </w:t>
      </w:r>
      <w:proofErr w:type="spellStart"/>
      <w:r w:rsidR="00722A27" w:rsidRPr="00722A27">
        <w:rPr>
          <w:rFonts w:ascii="Arial" w:hAnsi="Arial" w:cs="Arial"/>
          <w:szCs w:val="24"/>
        </w:rPr>
        <w:t>travelers</w:t>
      </w:r>
      <w:proofErr w:type="spellEnd"/>
      <w:r w:rsidR="00722A27" w:rsidRPr="00722A27">
        <w:rPr>
          <w:rFonts w:ascii="Arial" w:hAnsi="Arial" w:cs="Arial"/>
          <w:szCs w:val="24"/>
        </w:rPr>
        <w:t>. Tourism differs significantly from conventional consumer markets because services are purchased before consumption, often across national borders, and are highly dependent on information provided by service suppliers. Scholars consistently argue that these features expose tourists to greater risks of misinformation, unfair practices, and limited access to remedies, thereby necessitating strong consumer protection frameworks (Hannam et al., 2014).</w:t>
      </w:r>
    </w:p>
    <w:p w14:paraId="65935500" w14:textId="77777777" w:rsidR="00722A27" w:rsidRPr="00722A27" w:rsidRDefault="00722A27" w:rsidP="00722A27">
      <w:pPr>
        <w:spacing w:line="480" w:lineRule="auto"/>
        <w:rPr>
          <w:rFonts w:ascii="Arial" w:hAnsi="Arial" w:cs="Arial"/>
          <w:b/>
          <w:bCs/>
          <w:szCs w:val="24"/>
        </w:rPr>
      </w:pPr>
      <w:r w:rsidRPr="00722A27">
        <w:rPr>
          <w:rFonts w:ascii="Arial" w:hAnsi="Arial" w:cs="Arial"/>
          <w:b/>
          <w:bCs/>
          <w:szCs w:val="24"/>
        </w:rPr>
        <w:t>Conceptualising Consumer Protection in Tourism</w:t>
      </w:r>
    </w:p>
    <w:p w14:paraId="6030C806"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Consumer protection law is generally understood as a regulatory mechanism designed to ensure fairness, transparency, and safety in market transactions. In tourism, this framework plays a corrective role by addressing market failures that arise from unequal bargaining power and information asymmetry (Howells et al., 2018). Tourism consumers often engage with large corporations or digital platforms through standard-form contracts, leaving little opportunity to negotiate terms or fully understand legal implications. As a result, traditional contract law principles are frequently insufficient to protect tourist interests.</w:t>
      </w:r>
    </w:p>
    <w:p w14:paraId="4A768504"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 xml:space="preserve">Academic literature emphasises that consumer protection in tourism extends beyond contractual enforcement. Statutory consumer protection rules impose mandatory obligations on businesses, preventing them from excluding liability through contractual clauses. This shift from voluntary to mandatory regulation reflects recognition that </w:t>
      </w:r>
      <w:r w:rsidRPr="00722A27">
        <w:rPr>
          <w:rFonts w:ascii="Arial" w:hAnsi="Arial" w:cs="Arial"/>
          <w:szCs w:val="24"/>
        </w:rPr>
        <w:lastRenderedPageBreak/>
        <w:t>tourism consumers require enhanced safeguards due to the experiential and intangible nature of tourism services (</w:t>
      </w:r>
      <w:proofErr w:type="spellStart"/>
      <w:r w:rsidRPr="00722A27">
        <w:rPr>
          <w:rFonts w:ascii="Arial" w:hAnsi="Arial" w:cs="Arial"/>
          <w:szCs w:val="24"/>
        </w:rPr>
        <w:t>Micklitz</w:t>
      </w:r>
      <w:proofErr w:type="spellEnd"/>
      <w:r w:rsidRPr="00722A27">
        <w:rPr>
          <w:rFonts w:ascii="Arial" w:hAnsi="Arial" w:cs="Arial"/>
          <w:szCs w:val="24"/>
        </w:rPr>
        <w:t>, 2015).</w:t>
      </w:r>
    </w:p>
    <w:p w14:paraId="3FD9C771" w14:textId="77777777" w:rsidR="00722A27" w:rsidRPr="00722A27" w:rsidRDefault="00722A27" w:rsidP="00722A27">
      <w:pPr>
        <w:spacing w:line="480" w:lineRule="auto"/>
        <w:rPr>
          <w:rFonts w:ascii="Arial" w:hAnsi="Arial" w:cs="Arial"/>
          <w:b/>
          <w:bCs/>
          <w:szCs w:val="24"/>
        </w:rPr>
      </w:pPr>
      <w:r w:rsidRPr="00722A27">
        <w:rPr>
          <w:rFonts w:ascii="Arial" w:hAnsi="Arial" w:cs="Arial"/>
          <w:b/>
          <w:bCs/>
          <w:szCs w:val="24"/>
        </w:rPr>
        <w:t>Tourist Vulnerability and Risk Exposure</w:t>
      </w:r>
    </w:p>
    <w:p w14:paraId="20C4FD7D"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A recurring theme in tourism literature is the concept of tourist vulnerability. Travelers are often unfamiliar with destinations, local regulations, and cultural norms, which limits their ability to assess risks and assert rights effectively. Studies suggest that vulnerability is intensified in international tourism, where language barriers and jurisdictional complexities further disadvantage consumers (Wilks &amp; Pendergast, 2017).</w:t>
      </w:r>
    </w:p>
    <w:p w14:paraId="403D6A2B"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Information asymmetry is a major contributor to tourist vulnerability. Tourism decisions are heavily influenced by marketing images, online descriptions, and user-generated content. While digital platforms have increased information availability, scholars note that they also enable selective disclosure and exaggeration of service quality (</w:t>
      </w:r>
      <w:proofErr w:type="spellStart"/>
      <w:r w:rsidRPr="00722A27">
        <w:rPr>
          <w:rFonts w:ascii="Arial" w:hAnsi="Arial" w:cs="Arial"/>
          <w:szCs w:val="24"/>
        </w:rPr>
        <w:t>Neuhofer</w:t>
      </w:r>
      <w:proofErr w:type="spellEnd"/>
      <w:r w:rsidRPr="00722A27">
        <w:rPr>
          <w:rFonts w:ascii="Arial" w:hAnsi="Arial" w:cs="Arial"/>
          <w:szCs w:val="24"/>
        </w:rPr>
        <w:t xml:space="preserve"> et al., 2015). Consumer protection laws aim to mitigate these risks by requiring accurate information disclosure and prohibiting misleading practices.</w:t>
      </w:r>
    </w:p>
    <w:p w14:paraId="0F1ED196" w14:textId="77777777" w:rsidR="00722A27" w:rsidRPr="00722A27" w:rsidRDefault="00722A27" w:rsidP="00722A27">
      <w:pPr>
        <w:spacing w:line="480" w:lineRule="auto"/>
        <w:rPr>
          <w:rFonts w:ascii="Arial" w:hAnsi="Arial" w:cs="Arial"/>
          <w:b/>
          <w:bCs/>
          <w:szCs w:val="24"/>
        </w:rPr>
      </w:pPr>
      <w:r w:rsidRPr="00722A27">
        <w:rPr>
          <w:rFonts w:ascii="Arial" w:hAnsi="Arial" w:cs="Arial"/>
          <w:b/>
          <w:bCs/>
          <w:szCs w:val="24"/>
        </w:rPr>
        <w:t>Unfair Commercial Practices in Tourism</w:t>
      </w:r>
    </w:p>
    <w:p w14:paraId="2C5B126D"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The regulation of unfair commercial practices is a central focus of tourism consumer protection scholarship. Unfair practices include misleading advertising, deceptive pricing, hidden fees, and aggressive sales tactics. Empirical studies indicate that pricing-related complaints are among the most frequent issues faced by tourism consumers, particularly in online booking environments (Baker &amp; Cameron, 2008).</w:t>
      </w:r>
    </w:p>
    <w:p w14:paraId="3CDEBC82"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 xml:space="preserve">Digitalisation has significantly complicated the regulation of unfair practices. Dynamic pricing, bundled services, and optional add-ons often obscure the true cost of tourism </w:t>
      </w:r>
      <w:r w:rsidRPr="00722A27">
        <w:rPr>
          <w:rFonts w:ascii="Arial" w:hAnsi="Arial" w:cs="Arial"/>
          <w:szCs w:val="24"/>
        </w:rPr>
        <w:lastRenderedPageBreak/>
        <w:t>products. Scholars argue that consumer protection laws must evolve to address these practices by strengthening transparency requirements and regulating digital marketing strategies (</w:t>
      </w:r>
      <w:proofErr w:type="spellStart"/>
      <w:r w:rsidRPr="00722A27">
        <w:rPr>
          <w:rFonts w:ascii="Arial" w:hAnsi="Arial" w:cs="Arial"/>
          <w:szCs w:val="24"/>
        </w:rPr>
        <w:t>Neuhofer</w:t>
      </w:r>
      <w:proofErr w:type="spellEnd"/>
      <w:r w:rsidRPr="00722A27">
        <w:rPr>
          <w:rFonts w:ascii="Arial" w:hAnsi="Arial" w:cs="Arial"/>
          <w:szCs w:val="24"/>
        </w:rPr>
        <w:t xml:space="preserve"> et al., 2015). This regulatory focus reflects broader efforts to protect informed consumer choice in digital markets.</w:t>
      </w:r>
    </w:p>
    <w:p w14:paraId="47F2AA0F" w14:textId="77777777" w:rsidR="00722A27" w:rsidRPr="00722A27" w:rsidRDefault="00722A27" w:rsidP="00722A27">
      <w:pPr>
        <w:spacing w:line="480" w:lineRule="auto"/>
        <w:rPr>
          <w:rFonts w:ascii="Arial" w:hAnsi="Arial" w:cs="Arial"/>
          <w:b/>
          <w:bCs/>
          <w:szCs w:val="24"/>
        </w:rPr>
      </w:pPr>
      <w:r w:rsidRPr="00722A27">
        <w:rPr>
          <w:rFonts w:ascii="Arial" w:hAnsi="Arial" w:cs="Arial"/>
          <w:b/>
          <w:bCs/>
          <w:szCs w:val="24"/>
        </w:rPr>
        <w:t>Package Travel and Consumer Protection</w:t>
      </w:r>
    </w:p>
    <w:p w14:paraId="4372CB54"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Package travel regulation represents one of the most advanced areas of consumer protection in tourism. The literature highlights that package travel laws were introduced to address the complexity of multi-component travel arrangements involving transport, accommodation, and ancillary services. By assigning responsibility to a single organiser, these regulations simplify consumer claims and ensure accountability (Page &amp; Connell, 2020).</w:t>
      </w:r>
    </w:p>
    <w:p w14:paraId="25EF331A"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Researchers argue that organiser liability is essential for effective consumer protection, as tourists would otherwise face significant challenges in pursuing claims against multiple suppliers across jurisdictions. Package travel laws also provide additional safeguards such as insolvency protection, refunds, and assistance during disruptions. Comparative studies suggest that although regulatory approaches vary globally, the principle of organiser responsibility remains a cornerstone of tourism consumer protection (Howells et al., 2018).</w:t>
      </w:r>
    </w:p>
    <w:p w14:paraId="64884143" w14:textId="77777777" w:rsidR="00722A27" w:rsidRPr="00722A27" w:rsidRDefault="00722A27" w:rsidP="00722A27">
      <w:pPr>
        <w:spacing w:line="480" w:lineRule="auto"/>
        <w:rPr>
          <w:rFonts w:ascii="Arial" w:hAnsi="Arial" w:cs="Arial"/>
          <w:b/>
          <w:bCs/>
          <w:szCs w:val="24"/>
        </w:rPr>
      </w:pPr>
      <w:r w:rsidRPr="00722A27">
        <w:rPr>
          <w:rFonts w:ascii="Arial" w:hAnsi="Arial" w:cs="Arial"/>
          <w:b/>
          <w:bCs/>
          <w:szCs w:val="24"/>
        </w:rPr>
        <w:t>Safety, Quality, and Consumer Welfare</w:t>
      </w:r>
    </w:p>
    <w:p w14:paraId="5A3C98DB"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 xml:space="preserve">Safety and service quality are fundamental dimensions of consumer protection in tourism. Tourism activities often involve transportation, accommodation, and leisure experiences that carry physical and psychological risks. Scholars argue that consumer </w:t>
      </w:r>
      <w:r w:rsidRPr="00722A27">
        <w:rPr>
          <w:rFonts w:ascii="Arial" w:hAnsi="Arial" w:cs="Arial"/>
          <w:szCs w:val="24"/>
        </w:rPr>
        <w:lastRenderedPageBreak/>
        <w:t>protection laws complement industry-specific safety regulations by imposing minimum standards of care that cannot be excluded through contract (Hall et al., 2015).</w:t>
      </w:r>
    </w:p>
    <w:p w14:paraId="61C0EA84"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Research on adventure tourism and emerging accommodation models indicates that regulatory frameworks have struggled to keep pace with innovation. In such contexts, consumer protection laws play a crucial role in filling regulatory gaps and ensuring that basic safety and quality standards are maintained. The literature suggests that statutory safety obligations enhance consumer trust and contribute to destination sustainability.</w:t>
      </w:r>
    </w:p>
    <w:p w14:paraId="40F1A571" w14:textId="77777777" w:rsidR="00722A27" w:rsidRPr="00722A27" w:rsidRDefault="00722A27" w:rsidP="00722A27">
      <w:pPr>
        <w:spacing w:line="480" w:lineRule="auto"/>
        <w:rPr>
          <w:rFonts w:ascii="Arial" w:hAnsi="Arial" w:cs="Arial"/>
          <w:b/>
          <w:bCs/>
          <w:szCs w:val="24"/>
        </w:rPr>
      </w:pPr>
      <w:r w:rsidRPr="00722A27">
        <w:rPr>
          <w:rFonts w:ascii="Arial" w:hAnsi="Arial" w:cs="Arial"/>
          <w:b/>
          <w:bCs/>
          <w:szCs w:val="24"/>
        </w:rPr>
        <w:t>Obligations of Tourism Service Providers</w:t>
      </w:r>
    </w:p>
    <w:p w14:paraId="1164B193"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Academic research places considerable emphasis on the responsibilities of tourism service providers under consumer protection regimes. These responsibilities include truthful advertising, transparent pricing, fair contractual terms, and effective complaint-handling mechanisms. Studies indicate that compliance with consumer protection laws has become a key component of corporate governance and risk management within tourism businesses (OECD, 2021).</w:t>
      </w:r>
    </w:p>
    <w:p w14:paraId="5EFD1FDB"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Failure to meet these obligations can result in regulatory sanctions, financial penalties, and reputational damage. Scholars argue that this deterrent effect encourages ethical conduct and reduces the incidence of consumer disputes. Additionally, consumer protection laws increasingly require service providers to monitor third-party suppliers, reflecting the interconnected nature of tourism supply chains.</w:t>
      </w:r>
    </w:p>
    <w:p w14:paraId="2FBBEB07" w14:textId="77777777" w:rsidR="00722A27" w:rsidRPr="00722A27" w:rsidRDefault="00722A27" w:rsidP="00722A27">
      <w:pPr>
        <w:spacing w:line="480" w:lineRule="auto"/>
        <w:rPr>
          <w:rFonts w:ascii="Arial" w:hAnsi="Arial" w:cs="Arial"/>
          <w:b/>
          <w:bCs/>
          <w:szCs w:val="24"/>
        </w:rPr>
      </w:pPr>
      <w:r w:rsidRPr="00722A27">
        <w:rPr>
          <w:rFonts w:ascii="Arial" w:hAnsi="Arial" w:cs="Arial"/>
          <w:b/>
          <w:bCs/>
          <w:szCs w:val="24"/>
        </w:rPr>
        <w:t>Consumer Redress and Dispute Resolution</w:t>
      </w:r>
    </w:p>
    <w:p w14:paraId="5734368C"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 xml:space="preserve">Effective redress mechanisms are essential to the practical enforcement of consumer protection laws. The literature identifies multiple avenues for resolving tourism disputes, </w:t>
      </w:r>
      <w:r w:rsidRPr="00722A27">
        <w:rPr>
          <w:rFonts w:ascii="Arial" w:hAnsi="Arial" w:cs="Arial"/>
          <w:szCs w:val="24"/>
        </w:rPr>
        <w:lastRenderedPageBreak/>
        <w:t>including courts, regulatory authorities, and alternative dispute resolution (ADR) mechanisms. ADR is often promoted as a cost-effective and efficient method for resolving tourism disputes, particularly in cross-border contexts (Spencer, 2020).</w:t>
      </w:r>
    </w:p>
    <w:p w14:paraId="091D6BE2"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However, academic critiques highlight concerns regarding transparency, accessibility, and procedural fairness in ADR systems. Mandatory ADR clauses may disadvantage tourists if they restrict access to judicial remedies or require dispute resolution in unfamiliar legal systems. This has led to calls for stronger regulatory oversight to ensure that ADR supports, rather than undermines, consumer protection objectives.</w:t>
      </w:r>
    </w:p>
    <w:p w14:paraId="48C07A78" w14:textId="77777777" w:rsidR="00722A27" w:rsidRPr="00722A27" w:rsidRDefault="00722A27" w:rsidP="00722A27">
      <w:pPr>
        <w:spacing w:line="480" w:lineRule="auto"/>
        <w:rPr>
          <w:rFonts w:ascii="Arial" w:hAnsi="Arial" w:cs="Arial"/>
          <w:b/>
          <w:bCs/>
          <w:szCs w:val="24"/>
        </w:rPr>
      </w:pPr>
      <w:r w:rsidRPr="00722A27">
        <w:rPr>
          <w:rFonts w:ascii="Arial" w:hAnsi="Arial" w:cs="Arial"/>
          <w:b/>
          <w:bCs/>
          <w:szCs w:val="24"/>
        </w:rPr>
        <w:t>Critical Evaluation and Research Gaps</w:t>
      </w:r>
    </w:p>
    <w:p w14:paraId="1B271E5E"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Despite extensive scholarship, several gaps remain in the literature on consumer protection in tourism. Much of the existing research focuses on developed economies, with limited attention to developing destinations where regulatory enforcement may be weaker. Additionally, rapid digital transformation continues to challenge traditional consumer protection frameworks, particularly in relation to platform-based tourism services and data-driven pricing strategies.</w:t>
      </w:r>
    </w:p>
    <w:p w14:paraId="46C4CEA5" w14:textId="77777777" w:rsidR="00722A27" w:rsidRPr="00722A27" w:rsidRDefault="00722A27" w:rsidP="00722A27">
      <w:pPr>
        <w:spacing w:line="480" w:lineRule="auto"/>
        <w:rPr>
          <w:rFonts w:ascii="Arial" w:hAnsi="Arial" w:cs="Arial"/>
          <w:szCs w:val="24"/>
        </w:rPr>
      </w:pPr>
      <w:r w:rsidRPr="00722A27">
        <w:rPr>
          <w:rFonts w:ascii="Arial" w:hAnsi="Arial" w:cs="Arial"/>
          <w:szCs w:val="24"/>
        </w:rPr>
        <w:t>Overall, the literature confirms that consumer protection laws are essential for addressing structural vulnerabilities in tourism markets. At the same time, it highlights the need for continuous legal adaptation, international cooperation, and stronger enforcement mechanisms to ensure effective consumer protection in an evolving tourism landscape.</w:t>
      </w:r>
    </w:p>
    <w:p w14:paraId="3F881E45" w14:textId="07386942" w:rsidR="00DB0773" w:rsidRPr="00825F73" w:rsidRDefault="00DB0773" w:rsidP="00722A27">
      <w:pPr>
        <w:spacing w:line="480" w:lineRule="auto"/>
        <w:rPr>
          <w:rStyle w:val="Heading1Char"/>
          <w:rFonts w:ascii="Arial" w:hAnsi="Arial" w:cs="Arial"/>
          <w:b/>
          <w:bCs/>
          <w:color w:val="auto"/>
          <w:sz w:val="24"/>
          <w:szCs w:val="24"/>
        </w:rPr>
      </w:pPr>
    </w:p>
    <w:p w14:paraId="63FE0EBD" w14:textId="77777777" w:rsidR="00DB0773" w:rsidRPr="00825F73" w:rsidRDefault="00DB0773" w:rsidP="00DB0773">
      <w:pPr>
        <w:spacing w:line="480" w:lineRule="auto"/>
        <w:rPr>
          <w:rStyle w:val="Heading1Char"/>
          <w:rFonts w:ascii="Arial" w:hAnsi="Arial" w:cs="Arial"/>
          <w:b/>
          <w:bCs/>
          <w:color w:val="auto"/>
          <w:sz w:val="24"/>
          <w:szCs w:val="24"/>
        </w:rPr>
      </w:pPr>
    </w:p>
    <w:p w14:paraId="2488420D" w14:textId="77777777" w:rsidR="00DB0773" w:rsidRPr="00825F73" w:rsidRDefault="00DB0773" w:rsidP="00DB0773">
      <w:pPr>
        <w:spacing w:line="480" w:lineRule="auto"/>
        <w:rPr>
          <w:rFonts w:ascii="Arial" w:hAnsi="Arial" w:cs="Arial"/>
          <w:szCs w:val="24"/>
        </w:rPr>
      </w:pPr>
      <w:r w:rsidRPr="00825F73">
        <w:rPr>
          <w:rStyle w:val="Heading1Char"/>
          <w:rFonts w:ascii="Arial" w:hAnsi="Arial" w:cs="Arial"/>
          <w:b/>
          <w:bCs/>
          <w:color w:val="auto"/>
          <w:sz w:val="24"/>
          <w:szCs w:val="24"/>
        </w:rPr>
        <w:lastRenderedPageBreak/>
        <w:t>3 Methodology</w:t>
      </w:r>
      <w:bookmarkEnd w:id="3"/>
      <w:r w:rsidRPr="00825F73">
        <w:rPr>
          <w:rFonts w:ascii="Arial" w:hAnsi="Arial" w:cs="Arial"/>
          <w:b/>
          <w:bCs/>
          <w:szCs w:val="24"/>
        </w:rPr>
        <w:t xml:space="preserve"> </w:t>
      </w:r>
      <w:r w:rsidRPr="00825F73">
        <w:rPr>
          <w:rFonts w:ascii="Arial" w:hAnsi="Arial" w:cs="Arial"/>
          <w:szCs w:val="24"/>
        </w:rPr>
        <w:br/>
        <w:t xml:space="preserve">This study adopts a </w:t>
      </w:r>
      <w:r w:rsidRPr="00825F73">
        <w:rPr>
          <w:rFonts w:ascii="Arial" w:hAnsi="Arial" w:cs="Arial"/>
          <w:b/>
          <w:bCs/>
          <w:szCs w:val="24"/>
        </w:rPr>
        <w:t>qualitative doctrinal research methodology</w:t>
      </w:r>
      <w:r w:rsidRPr="00825F73">
        <w:rPr>
          <w:rFonts w:ascii="Arial" w:hAnsi="Arial" w:cs="Arial"/>
          <w:szCs w:val="24"/>
        </w:rPr>
        <w:t xml:space="preserve"> to examine the role of consumer protection laws in the tourism industry. Doctrinal research is widely used in legal and regulatory studies as it focuses on the systematic analysis of legislation, judicial interpretations, policy documents, and academic scholarship. Given that the aim of this assignment is to evaluate legal frameworks protecting tourists rather than to measure consumer behaviour empirically, a doctrinal approach is considered the most appropriate research strategy (Howells et al., 2018).</w:t>
      </w:r>
    </w:p>
    <w:p w14:paraId="1A5ABAF3" w14:textId="77777777" w:rsidR="00DB0773" w:rsidRPr="008125F0" w:rsidRDefault="00DB0773" w:rsidP="00DB0773">
      <w:pPr>
        <w:spacing w:line="480" w:lineRule="auto"/>
        <w:rPr>
          <w:rFonts w:ascii="Arial" w:hAnsi="Arial" w:cs="Arial"/>
          <w:b/>
          <w:bCs/>
          <w:szCs w:val="24"/>
        </w:rPr>
      </w:pPr>
      <w:r w:rsidRPr="008125F0">
        <w:rPr>
          <w:rFonts w:ascii="Arial" w:hAnsi="Arial" w:cs="Arial"/>
          <w:b/>
          <w:bCs/>
          <w:szCs w:val="24"/>
        </w:rPr>
        <w:t>Research Design</w:t>
      </w:r>
    </w:p>
    <w:p w14:paraId="25C2C808"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The research follows a </w:t>
      </w:r>
      <w:r w:rsidRPr="008125F0">
        <w:rPr>
          <w:rFonts w:ascii="Arial" w:hAnsi="Arial" w:cs="Arial"/>
          <w:b/>
          <w:bCs/>
          <w:szCs w:val="24"/>
        </w:rPr>
        <w:t>descriptive and analytical design</w:t>
      </w:r>
      <w:r w:rsidRPr="008125F0">
        <w:rPr>
          <w:rFonts w:ascii="Arial" w:hAnsi="Arial" w:cs="Arial"/>
          <w:szCs w:val="24"/>
        </w:rPr>
        <w:t xml:space="preserve">. The descriptive component outlines key consumer protection laws applicable to tourism, including regulations addressing unfair commercial practices, misleading advertising, package travel arrangements, service safety, and consumer redress mechanisms. The analytical component critically assesses how these laws function in practice to protect </w:t>
      </w:r>
      <w:proofErr w:type="spellStart"/>
      <w:r w:rsidRPr="008125F0">
        <w:rPr>
          <w:rFonts w:ascii="Arial" w:hAnsi="Arial" w:cs="Arial"/>
          <w:szCs w:val="24"/>
        </w:rPr>
        <w:t>travelers</w:t>
      </w:r>
      <w:proofErr w:type="spellEnd"/>
      <w:r w:rsidRPr="008125F0">
        <w:rPr>
          <w:rFonts w:ascii="Arial" w:hAnsi="Arial" w:cs="Arial"/>
          <w:szCs w:val="24"/>
        </w:rPr>
        <w:t xml:space="preserve"> and regulate the conduct of tourism service providers. This design allows the study to connect legal theory with practical regulatory outcomes in tourism markets.</w:t>
      </w:r>
    </w:p>
    <w:p w14:paraId="3C80A6E2" w14:textId="77777777" w:rsidR="00DB0773" w:rsidRDefault="00DB0773" w:rsidP="00DB0773">
      <w:pPr>
        <w:spacing w:line="480" w:lineRule="auto"/>
        <w:rPr>
          <w:rFonts w:ascii="Arial" w:hAnsi="Arial" w:cs="Arial"/>
          <w:szCs w:val="24"/>
        </w:rPr>
      </w:pPr>
      <w:r w:rsidRPr="008125F0">
        <w:rPr>
          <w:rFonts w:ascii="Arial" w:hAnsi="Arial" w:cs="Arial"/>
          <w:szCs w:val="24"/>
        </w:rPr>
        <w:t xml:space="preserve">The analytical focus is particularly relevant in tourism, where consumer protection operates across multiple legal domains, including contract law, regulatory law, and public policy. By adopting this approach, the study </w:t>
      </w:r>
      <w:proofErr w:type="gramStart"/>
      <w:r w:rsidRPr="008125F0">
        <w:rPr>
          <w:rFonts w:ascii="Arial" w:hAnsi="Arial" w:cs="Arial"/>
          <w:szCs w:val="24"/>
        </w:rPr>
        <w:t>is able to</w:t>
      </w:r>
      <w:proofErr w:type="gramEnd"/>
      <w:r w:rsidRPr="008125F0">
        <w:rPr>
          <w:rFonts w:ascii="Arial" w:hAnsi="Arial" w:cs="Arial"/>
          <w:szCs w:val="24"/>
        </w:rPr>
        <w:t xml:space="preserve"> identify recurring legal issues and assess the effectiveness of existing consumer protection mechanisms in addressing tourist vulnerability (</w:t>
      </w:r>
      <w:proofErr w:type="spellStart"/>
      <w:r w:rsidRPr="008125F0">
        <w:rPr>
          <w:rFonts w:ascii="Arial" w:hAnsi="Arial" w:cs="Arial"/>
          <w:szCs w:val="24"/>
        </w:rPr>
        <w:t>Micklitz</w:t>
      </w:r>
      <w:proofErr w:type="spellEnd"/>
      <w:r w:rsidRPr="008125F0">
        <w:rPr>
          <w:rFonts w:ascii="Arial" w:hAnsi="Arial" w:cs="Arial"/>
          <w:szCs w:val="24"/>
        </w:rPr>
        <w:t>, 2015).</w:t>
      </w:r>
    </w:p>
    <w:p w14:paraId="4BF14E16" w14:textId="77777777" w:rsidR="004F735A" w:rsidRPr="008125F0" w:rsidRDefault="004F735A" w:rsidP="00DB0773">
      <w:pPr>
        <w:spacing w:line="480" w:lineRule="auto"/>
        <w:rPr>
          <w:rFonts w:ascii="Arial" w:hAnsi="Arial" w:cs="Arial"/>
          <w:szCs w:val="24"/>
        </w:rPr>
      </w:pPr>
    </w:p>
    <w:p w14:paraId="2E8F0CFC" w14:textId="77777777" w:rsidR="00DB0773" w:rsidRPr="008125F0" w:rsidRDefault="00DB0773" w:rsidP="00DB0773">
      <w:pPr>
        <w:spacing w:line="480" w:lineRule="auto"/>
        <w:rPr>
          <w:rFonts w:ascii="Arial" w:hAnsi="Arial" w:cs="Arial"/>
          <w:b/>
          <w:bCs/>
          <w:szCs w:val="24"/>
        </w:rPr>
      </w:pPr>
      <w:r w:rsidRPr="008125F0">
        <w:rPr>
          <w:rFonts w:ascii="Arial" w:hAnsi="Arial" w:cs="Arial"/>
          <w:b/>
          <w:bCs/>
          <w:szCs w:val="24"/>
        </w:rPr>
        <w:lastRenderedPageBreak/>
        <w:t>Sources of Data</w:t>
      </w:r>
    </w:p>
    <w:p w14:paraId="40F1F411"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The study relies exclusively on </w:t>
      </w:r>
      <w:r w:rsidRPr="008125F0">
        <w:rPr>
          <w:rFonts w:ascii="Arial" w:hAnsi="Arial" w:cs="Arial"/>
          <w:b/>
          <w:bCs/>
          <w:szCs w:val="24"/>
        </w:rPr>
        <w:t>secondary data sources</w:t>
      </w:r>
      <w:r w:rsidRPr="008125F0">
        <w:rPr>
          <w:rFonts w:ascii="Arial" w:hAnsi="Arial" w:cs="Arial"/>
          <w:szCs w:val="24"/>
        </w:rPr>
        <w:t>, which are considered authoritative for doctrinal legal research. These sources include:</w:t>
      </w:r>
    </w:p>
    <w:p w14:paraId="1D2D05D2" w14:textId="77777777" w:rsidR="00DB0773" w:rsidRPr="008125F0" w:rsidRDefault="00DB0773" w:rsidP="00DB0773">
      <w:pPr>
        <w:numPr>
          <w:ilvl w:val="0"/>
          <w:numId w:val="1"/>
        </w:numPr>
        <w:spacing w:line="480" w:lineRule="auto"/>
        <w:rPr>
          <w:rFonts w:ascii="Arial" w:hAnsi="Arial" w:cs="Arial"/>
          <w:szCs w:val="24"/>
        </w:rPr>
      </w:pPr>
      <w:r w:rsidRPr="008125F0">
        <w:rPr>
          <w:rFonts w:ascii="Arial" w:hAnsi="Arial" w:cs="Arial"/>
          <w:szCs w:val="24"/>
        </w:rPr>
        <w:t>Peer-reviewed academic journal articles on consumer law and tourism regulation</w:t>
      </w:r>
    </w:p>
    <w:p w14:paraId="6345145E" w14:textId="77777777" w:rsidR="00DB0773" w:rsidRPr="008125F0" w:rsidRDefault="00DB0773" w:rsidP="00DB0773">
      <w:pPr>
        <w:numPr>
          <w:ilvl w:val="0"/>
          <w:numId w:val="1"/>
        </w:numPr>
        <w:spacing w:line="480" w:lineRule="auto"/>
        <w:rPr>
          <w:rFonts w:ascii="Arial" w:hAnsi="Arial" w:cs="Arial"/>
          <w:szCs w:val="24"/>
        </w:rPr>
      </w:pPr>
      <w:r w:rsidRPr="008125F0">
        <w:rPr>
          <w:rFonts w:ascii="Arial" w:hAnsi="Arial" w:cs="Arial"/>
          <w:szCs w:val="24"/>
        </w:rPr>
        <w:t>Scholarly books and edited volumes addressing consumer protection and tourism policy</w:t>
      </w:r>
    </w:p>
    <w:p w14:paraId="6C2B3423" w14:textId="77777777" w:rsidR="00DB0773" w:rsidRPr="008125F0" w:rsidRDefault="00DB0773" w:rsidP="00DB0773">
      <w:pPr>
        <w:numPr>
          <w:ilvl w:val="0"/>
          <w:numId w:val="1"/>
        </w:numPr>
        <w:spacing w:line="480" w:lineRule="auto"/>
        <w:rPr>
          <w:rFonts w:ascii="Arial" w:hAnsi="Arial" w:cs="Arial"/>
          <w:szCs w:val="24"/>
        </w:rPr>
      </w:pPr>
      <w:r w:rsidRPr="008125F0">
        <w:rPr>
          <w:rFonts w:ascii="Arial" w:hAnsi="Arial" w:cs="Arial"/>
          <w:szCs w:val="24"/>
        </w:rPr>
        <w:t>International and regional regulatory instruments governing tourism and consumer rights</w:t>
      </w:r>
    </w:p>
    <w:p w14:paraId="507C0253" w14:textId="77777777" w:rsidR="00DB0773" w:rsidRPr="008125F0" w:rsidRDefault="00DB0773" w:rsidP="00DB0773">
      <w:pPr>
        <w:numPr>
          <w:ilvl w:val="0"/>
          <w:numId w:val="1"/>
        </w:numPr>
        <w:spacing w:line="480" w:lineRule="auto"/>
        <w:rPr>
          <w:rFonts w:ascii="Arial" w:hAnsi="Arial" w:cs="Arial"/>
          <w:szCs w:val="24"/>
        </w:rPr>
      </w:pPr>
      <w:r w:rsidRPr="008125F0">
        <w:rPr>
          <w:rFonts w:ascii="Arial" w:hAnsi="Arial" w:cs="Arial"/>
          <w:szCs w:val="24"/>
        </w:rPr>
        <w:t>Reports and guidelines issued by organisations such as the OECD and UNWTO</w:t>
      </w:r>
    </w:p>
    <w:p w14:paraId="4071FB4D" w14:textId="77777777" w:rsidR="00DB0773" w:rsidRPr="008125F0" w:rsidRDefault="00DB0773" w:rsidP="00DB0773">
      <w:pPr>
        <w:numPr>
          <w:ilvl w:val="0"/>
          <w:numId w:val="1"/>
        </w:numPr>
        <w:spacing w:line="480" w:lineRule="auto"/>
        <w:rPr>
          <w:rFonts w:ascii="Arial" w:hAnsi="Arial" w:cs="Arial"/>
          <w:szCs w:val="24"/>
        </w:rPr>
      </w:pPr>
      <w:r w:rsidRPr="008125F0">
        <w:rPr>
          <w:rFonts w:ascii="Arial" w:hAnsi="Arial" w:cs="Arial"/>
          <w:szCs w:val="24"/>
        </w:rPr>
        <w:t>Documented tourism dispute cases and regulatory enforcement examples</w:t>
      </w:r>
    </w:p>
    <w:p w14:paraId="6FC287F2"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These materials provide both theoretical perspectives and practical insights into how consumer protection laws are applied within tourism contexts. Emphasis is placed on contemporary sources that address digital tourism markets and evolving regulatory challenges (Sigala, 2018).</w:t>
      </w:r>
    </w:p>
    <w:p w14:paraId="14E639FD" w14:textId="77777777" w:rsidR="00DB0773" w:rsidRPr="008125F0" w:rsidRDefault="00DB0773" w:rsidP="00DB0773">
      <w:pPr>
        <w:spacing w:line="480" w:lineRule="auto"/>
        <w:rPr>
          <w:rFonts w:ascii="Arial" w:hAnsi="Arial" w:cs="Arial"/>
          <w:b/>
          <w:bCs/>
          <w:szCs w:val="24"/>
        </w:rPr>
      </w:pPr>
      <w:r w:rsidRPr="008125F0">
        <w:rPr>
          <w:rFonts w:ascii="Arial" w:hAnsi="Arial" w:cs="Arial"/>
          <w:b/>
          <w:bCs/>
          <w:szCs w:val="24"/>
        </w:rPr>
        <w:t>Analytical Framework</w:t>
      </w:r>
    </w:p>
    <w:p w14:paraId="5F4B681D"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Data were analysed using </w:t>
      </w:r>
      <w:r w:rsidRPr="008125F0">
        <w:rPr>
          <w:rFonts w:ascii="Arial" w:hAnsi="Arial" w:cs="Arial"/>
          <w:b/>
          <w:bCs/>
          <w:szCs w:val="24"/>
        </w:rPr>
        <w:t>thematic legal analysis</w:t>
      </w:r>
      <w:r w:rsidRPr="008125F0">
        <w:rPr>
          <w:rFonts w:ascii="Arial" w:hAnsi="Arial" w:cs="Arial"/>
          <w:szCs w:val="24"/>
        </w:rPr>
        <w:t xml:space="preserve">, a method that involves identifying and examining recurring legal themes across the literature. Key themes analysed in this study include </w:t>
      </w:r>
      <w:proofErr w:type="spellStart"/>
      <w:r w:rsidRPr="008125F0">
        <w:rPr>
          <w:rFonts w:ascii="Arial" w:hAnsi="Arial" w:cs="Arial"/>
          <w:szCs w:val="24"/>
        </w:rPr>
        <w:t>traveler</w:t>
      </w:r>
      <w:proofErr w:type="spellEnd"/>
      <w:r w:rsidRPr="008125F0">
        <w:rPr>
          <w:rFonts w:ascii="Arial" w:hAnsi="Arial" w:cs="Arial"/>
          <w:szCs w:val="24"/>
        </w:rPr>
        <w:t xml:space="preserve"> vulnerability, transparency and information disclosure, unfair commercial practices, service safety obligations, provider accountability, and consumer redress mechanisms. Each theme was explored in relation to different tourism contexts, such as package holidays, online bookings, and accommodation services.</w:t>
      </w:r>
    </w:p>
    <w:p w14:paraId="6AE60C21" w14:textId="77777777" w:rsidR="00DB0773" w:rsidRPr="008125F0" w:rsidRDefault="00DB0773" w:rsidP="00DB0773">
      <w:pPr>
        <w:spacing w:line="480" w:lineRule="auto"/>
        <w:rPr>
          <w:rFonts w:ascii="Arial" w:hAnsi="Arial" w:cs="Arial"/>
          <w:szCs w:val="24"/>
        </w:rPr>
      </w:pPr>
      <w:r w:rsidRPr="008125F0">
        <w:rPr>
          <w:rFonts w:ascii="Arial" w:hAnsi="Arial" w:cs="Arial"/>
          <w:szCs w:val="24"/>
        </w:rPr>
        <w:lastRenderedPageBreak/>
        <w:t xml:space="preserve">A </w:t>
      </w:r>
      <w:r w:rsidRPr="008125F0">
        <w:rPr>
          <w:rFonts w:ascii="Arial" w:hAnsi="Arial" w:cs="Arial"/>
          <w:b/>
          <w:bCs/>
          <w:szCs w:val="24"/>
        </w:rPr>
        <w:t>comparative perspective</w:t>
      </w:r>
      <w:r w:rsidRPr="008125F0">
        <w:rPr>
          <w:rFonts w:ascii="Arial" w:hAnsi="Arial" w:cs="Arial"/>
          <w:szCs w:val="24"/>
        </w:rPr>
        <w:t xml:space="preserve"> was also applied to highlight differences and similarities in consumer protection approaches across jurisdictions. This is particularly important in tourism research due to the cross-border nature of travel and the diversity of legal systems governing tourism services (Lohmann &amp; Netto, 2016).</w:t>
      </w:r>
    </w:p>
    <w:p w14:paraId="166C47E6" w14:textId="77777777" w:rsidR="00DB0773" w:rsidRPr="008125F0" w:rsidRDefault="00DB0773" w:rsidP="00DB0773">
      <w:pPr>
        <w:spacing w:line="480" w:lineRule="auto"/>
        <w:rPr>
          <w:rFonts w:ascii="Arial" w:hAnsi="Arial" w:cs="Arial"/>
          <w:b/>
          <w:bCs/>
          <w:szCs w:val="24"/>
        </w:rPr>
      </w:pPr>
      <w:r w:rsidRPr="008125F0">
        <w:rPr>
          <w:rFonts w:ascii="Arial" w:hAnsi="Arial" w:cs="Arial"/>
          <w:b/>
          <w:bCs/>
          <w:szCs w:val="24"/>
        </w:rPr>
        <w:t>Ethical Considerations</w:t>
      </w:r>
    </w:p>
    <w:p w14:paraId="530F0A69"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As the study is based solely on secondary data, no ethical concerns relating to human participants arise. Academic integrity has been maintained by accurately citing all sources and avoiding misrepresentation of legal principles. The analysis remains objective by acknowledging differing scholarly viewpoints and regulatory approaches where relevant.</w:t>
      </w:r>
    </w:p>
    <w:p w14:paraId="030F3F68" w14:textId="77777777" w:rsidR="00DB0773" w:rsidRPr="008125F0" w:rsidRDefault="00DB0773" w:rsidP="00DB0773">
      <w:pPr>
        <w:spacing w:line="480" w:lineRule="auto"/>
        <w:rPr>
          <w:rFonts w:ascii="Arial" w:hAnsi="Arial" w:cs="Arial"/>
          <w:b/>
          <w:bCs/>
          <w:szCs w:val="24"/>
        </w:rPr>
      </w:pPr>
      <w:r w:rsidRPr="008125F0">
        <w:rPr>
          <w:rFonts w:ascii="Arial" w:hAnsi="Arial" w:cs="Arial"/>
          <w:b/>
          <w:bCs/>
          <w:szCs w:val="24"/>
        </w:rPr>
        <w:t>Limitations of the Methodology</w:t>
      </w:r>
    </w:p>
    <w:p w14:paraId="7B00236A"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Despite its strengths, this methodology has limitations. The reliance on secondary sources means that the study does not capture tourists’ personal experiences or service providers’ operational perspectives. Additionally, variations in enforcement across jurisdictions may limit the generalisability of findings. However, these limitations do not undermine the validity of the study, as its primary aim is to provide a legal and regulatory analysis rather than empirical measurement.</w:t>
      </w:r>
    </w:p>
    <w:p w14:paraId="6FFDC47C" w14:textId="3C6256BD" w:rsidR="00DB0773" w:rsidRPr="004F735A" w:rsidRDefault="00DB0773" w:rsidP="00DB0773">
      <w:pPr>
        <w:spacing w:line="480" w:lineRule="auto"/>
        <w:rPr>
          <w:rStyle w:val="Heading1Char"/>
          <w:rFonts w:ascii="Arial" w:eastAsiaTheme="minorHAnsi" w:hAnsi="Arial" w:cs="Arial"/>
          <w:color w:val="auto"/>
          <w:sz w:val="24"/>
          <w:szCs w:val="24"/>
        </w:rPr>
      </w:pPr>
      <w:r w:rsidRPr="008125F0">
        <w:rPr>
          <w:rFonts w:ascii="Arial" w:hAnsi="Arial" w:cs="Arial"/>
          <w:szCs w:val="24"/>
        </w:rPr>
        <w:t xml:space="preserve">Overall, the chosen methodology provides a rigorous framework for evaluating consumer protection laws in the tourism industry and supports a comprehensive analysis of </w:t>
      </w:r>
      <w:proofErr w:type="spellStart"/>
      <w:r w:rsidRPr="008125F0">
        <w:rPr>
          <w:rFonts w:ascii="Arial" w:hAnsi="Arial" w:cs="Arial"/>
          <w:szCs w:val="24"/>
        </w:rPr>
        <w:t>travelers’</w:t>
      </w:r>
      <w:proofErr w:type="spellEnd"/>
      <w:r w:rsidRPr="008125F0">
        <w:rPr>
          <w:rFonts w:ascii="Arial" w:hAnsi="Arial" w:cs="Arial"/>
          <w:szCs w:val="24"/>
        </w:rPr>
        <w:t xml:space="preserve"> rights and provider obligations.</w:t>
      </w:r>
    </w:p>
    <w:p w14:paraId="7567CDD1" w14:textId="77777777" w:rsidR="00DB0773" w:rsidRPr="00825F73" w:rsidRDefault="00DB0773" w:rsidP="00DB0773">
      <w:pPr>
        <w:spacing w:line="480" w:lineRule="auto"/>
        <w:rPr>
          <w:rStyle w:val="Heading1Char"/>
          <w:rFonts w:ascii="Arial" w:hAnsi="Arial" w:cs="Arial"/>
          <w:b/>
          <w:bCs/>
          <w:color w:val="auto"/>
          <w:sz w:val="24"/>
          <w:szCs w:val="24"/>
        </w:rPr>
      </w:pPr>
    </w:p>
    <w:p w14:paraId="2A4FC609" w14:textId="77777777" w:rsidR="00DB0773" w:rsidRPr="00825F73" w:rsidRDefault="00DB0773" w:rsidP="00DB0773">
      <w:pPr>
        <w:spacing w:line="480" w:lineRule="auto"/>
        <w:rPr>
          <w:rStyle w:val="Heading1Char"/>
          <w:rFonts w:ascii="Arial" w:hAnsi="Arial" w:cs="Arial"/>
          <w:b/>
          <w:bCs/>
          <w:color w:val="auto"/>
          <w:sz w:val="24"/>
          <w:szCs w:val="24"/>
        </w:rPr>
      </w:pPr>
      <w:bookmarkStart w:id="4" w:name="_Toc221201958"/>
      <w:r w:rsidRPr="00825F73">
        <w:rPr>
          <w:rStyle w:val="Heading1Char"/>
          <w:rFonts w:ascii="Arial" w:hAnsi="Arial" w:cs="Arial"/>
          <w:b/>
          <w:bCs/>
          <w:color w:val="auto"/>
          <w:sz w:val="24"/>
          <w:szCs w:val="24"/>
        </w:rPr>
        <w:lastRenderedPageBreak/>
        <w:t>4 Finding</w:t>
      </w:r>
      <w:bookmarkEnd w:id="4"/>
    </w:p>
    <w:p w14:paraId="678593D3" w14:textId="77777777" w:rsidR="004F735A" w:rsidRPr="004F735A" w:rsidRDefault="004F735A" w:rsidP="004F735A">
      <w:pPr>
        <w:spacing w:line="480" w:lineRule="auto"/>
        <w:rPr>
          <w:rFonts w:ascii="Arial" w:hAnsi="Arial" w:cs="Arial"/>
          <w:szCs w:val="24"/>
        </w:rPr>
      </w:pPr>
      <w:r w:rsidRPr="004F735A">
        <w:rPr>
          <w:rFonts w:ascii="Arial" w:hAnsi="Arial" w:cs="Arial"/>
          <w:szCs w:val="24"/>
        </w:rPr>
        <w:t xml:space="preserve">The analysis of legal frameworks, policy reports and academic literature shows that consumer protection laws are playing a decisive role in resolving the inherent risks and inequalities present within the tourism industry. One of the most evident of these is that tourism consumers are particularly vulnerable as consumers in other sectors. This lack of knowledge has emerged mainly because of advance payment requirements in certain settings, trust in promotional information, and inadequate opportunities to negotiate the terms of a given contract. Consumer protection laws directly respond to these challenges as they set mandatory standards that limit the unfair business practices and to protect the interest of the </w:t>
      </w:r>
      <w:proofErr w:type="spellStart"/>
      <w:r w:rsidRPr="004F735A">
        <w:rPr>
          <w:rFonts w:ascii="Arial" w:hAnsi="Arial" w:cs="Arial"/>
          <w:szCs w:val="24"/>
        </w:rPr>
        <w:t>travelers</w:t>
      </w:r>
      <w:proofErr w:type="spellEnd"/>
      <w:r w:rsidRPr="004F735A">
        <w:rPr>
          <w:rFonts w:ascii="Arial" w:hAnsi="Arial" w:cs="Arial"/>
          <w:szCs w:val="24"/>
        </w:rPr>
        <w:t xml:space="preserve"> (Howells et al, 2018).</w:t>
      </w:r>
    </w:p>
    <w:p w14:paraId="0A84F4ED" w14:textId="77777777" w:rsidR="004F735A" w:rsidRPr="004F735A" w:rsidRDefault="004F735A" w:rsidP="004F735A">
      <w:pPr>
        <w:spacing w:line="480" w:lineRule="auto"/>
        <w:rPr>
          <w:rFonts w:ascii="Arial" w:hAnsi="Arial" w:cs="Arial"/>
          <w:szCs w:val="24"/>
        </w:rPr>
      </w:pPr>
    </w:p>
    <w:p w14:paraId="29B4D176" w14:textId="77777777" w:rsidR="004F735A" w:rsidRPr="004F735A" w:rsidRDefault="004F735A" w:rsidP="004F735A">
      <w:pPr>
        <w:spacing w:line="480" w:lineRule="auto"/>
        <w:rPr>
          <w:rFonts w:ascii="Arial" w:hAnsi="Arial" w:cs="Arial"/>
          <w:szCs w:val="24"/>
        </w:rPr>
      </w:pPr>
      <w:r w:rsidRPr="004F735A">
        <w:rPr>
          <w:rFonts w:ascii="Arial" w:hAnsi="Arial" w:cs="Arial"/>
          <w:szCs w:val="24"/>
        </w:rPr>
        <w:t xml:space="preserve">According to one finding, it is the enlargement of the statutory rights of travellers. Consumer protection legislation which ensures that tourists are afforded enforceable rights to accurate information, fair prices and fair contractual conditions. These statutory rights have often trumped contractual clauses that try to limit liability and/or impose disproportionate obligations on consumers. The results show that legal intervention of this nature has a significant effect on decreasing the power imbalance between service providers of tourism services and the </w:t>
      </w:r>
      <w:proofErr w:type="spellStart"/>
      <w:r w:rsidRPr="004F735A">
        <w:rPr>
          <w:rFonts w:ascii="Arial" w:hAnsi="Arial" w:cs="Arial"/>
          <w:szCs w:val="24"/>
        </w:rPr>
        <w:t>travelers</w:t>
      </w:r>
      <w:proofErr w:type="spellEnd"/>
      <w:r w:rsidRPr="004F735A">
        <w:rPr>
          <w:rFonts w:ascii="Arial" w:hAnsi="Arial" w:cs="Arial"/>
          <w:szCs w:val="24"/>
        </w:rPr>
        <w:t>, especially in the case of mass tourism and online booking (</w:t>
      </w:r>
      <w:proofErr w:type="spellStart"/>
      <w:r w:rsidRPr="004F735A">
        <w:rPr>
          <w:rFonts w:ascii="Arial" w:hAnsi="Arial" w:cs="Arial"/>
          <w:szCs w:val="24"/>
        </w:rPr>
        <w:t>Micklitz</w:t>
      </w:r>
      <w:proofErr w:type="spellEnd"/>
      <w:r w:rsidRPr="004F735A">
        <w:rPr>
          <w:rFonts w:ascii="Arial" w:hAnsi="Arial" w:cs="Arial"/>
          <w:szCs w:val="24"/>
        </w:rPr>
        <w:t>, 2015).</w:t>
      </w:r>
    </w:p>
    <w:p w14:paraId="18D45989" w14:textId="77777777" w:rsidR="004F735A" w:rsidRPr="004F735A" w:rsidRDefault="004F735A" w:rsidP="004F735A">
      <w:pPr>
        <w:spacing w:line="480" w:lineRule="auto"/>
        <w:rPr>
          <w:rFonts w:ascii="Arial" w:hAnsi="Arial" w:cs="Arial"/>
          <w:szCs w:val="24"/>
        </w:rPr>
      </w:pPr>
    </w:p>
    <w:p w14:paraId="257BA30E" w14:textId="77777777" w:rsidR="004F735A" w:rsidRPr="004F735A" w:rsidRDefault="004F735A" w:rsidP="004F735A">
      <w:pPr>
        <w:spacing w:line="480" w:lineRule="auto"/>
        <w:rPr>
          <w:rFonts w:ascii="Arial" w:hAnsi="Arial" w:cs="Arial"/>
          <w:szCs w:val="24"/>
        </w:rPr>
      </w:pPr>
      <w:r w:rsidRPr="004F735A">
        <w:rPr>
          <w:rFonts w:ascii="Arial" w:hAnsi="Arial" w:cs="Arial"/>
          <w:szCs w:val="24"/>
        </w:rPr>
        <w:t xml:space="preserve">Another significant fact is </w:t>
      </w:r>
      <w:proofErr w:type="gramStart"/>
      <w:r w:rsidRPr="004F735A">
        <w:rPr>
          <w:rFonts w:ascii="Arial" w:hAnsi="Arial" w:cs="Arial"/>
          <w:szCs w:val="24"/>
        </w:rPr>
        <w:t>in the area of</w:t>
      </w:r>
      <w:proofErr w:type="gramEnd"/>
      <w:r w:rsidRPr="004F735A">
        <w:rPr>
          <w:rFonts w:ascii="Arial" w:hAnsi="Arial" w:cs="Arial"/>
          <w:szCs w:val="24"/>
        </w:rPr>
        <w:t xml:space="preserve"> regulating misleading advertisements and pricing. The literature consistently identifies deceptive marketing, hidden charges and </w:t>
      </w:r>
      <w:r w:rsidRPr="004F735A">
        <w:rPr>
          <w:rFonts w:ascii="Arial" w:hAnsi="Arial" w:cs="Arial"/>
          <w:szCs w:val="24"/>
        </w:rPr>
        <w:lastRenderedPageBreak/>
        <w:t>unclear cancellation policies as major sources of consumer dissatisfaction in tourism markets. Consumer protection laws are increasingly being applied to misleading omissions, such as failure to disclose mandatory fees or service restrictions, classifying them as unlawful. This is part of a regulatory focus on transparency and enabling consumers to make informed choices, particularly in the digital tourism context where information is often plentiful (</w:t>
      </w:r>
      <w:proofErr w:type="spellStart"/>
      <w:r w:rsidRPr="004F735A">
        <w:rPr>
          <w:rFonts w:ascii="Arial" w:hAnsi="Arial" w:cs="Arial"/>
          <w:szCs w:val="24"/>
        </w:rPr>
        <w:t>Neuhofer</w:t>
      </w:r>
      <w:proofErr w:type="spellEnd"/>
      <w:r w:rsidRPr="004F735A">
        <w:rPr>
          <w:rFonts w:ascii="Arial" w:hAnsi="Arial" w:cs="Arial"/>
          <w:szCs w:val="24"/>
        </w:rPr>
        <w:t xml:space="preserve"> et al., 2015).</w:t>
      </w:r>
    </w:p>
    <w:p w14:paraId="132B121A" w14:textId="77777777" w:rsidR="004F735A" w:rsidRPr="004F735A" w:rsidRDefault="004F735A" w:rsidP="004F735A">
      <w:pPr>
        <w:spacing w:line="480" w:lineRule="auto"/>
        <w:rPr>
          <w:rFonts w:ascii="Arial" w:hAnsi="Arial" w:cs="Arial"/>
          <w:szCs w:val="24"/>
        </w:rPr>
      </w:pPr>
    </w:p>
    <w:p w14:paraId="766223E4" w14:textId="77777777" w:rsidR="004F735A" w:rsidRPr="004F735A" w:rsidRDefault="004F735A" w:rsidP="004F735A">
      <w:pPr>
        <w:spacing w:line="480" w:lineRule="auto"/>
        <w:rPr>
          <w:rFonts w:ascii="Arial" w:hAnsi="Arial" w:cs="Arial"/>
          <w:szCs w:val="24"/>
        </w:rPr>
      </w:pPr>
      <w:r w:rsidRPr="004F735A">
        <w:rPr>
          <w:rFonts w:ascii="Arial" w:hAnsi="Arial" w:cs="Arial"/>
          <w:szCs w:val="24"/>
        </w:rPr>
        <w:t>The findings are another indication of the importance of package travel regulation in strengthening consumer protection. Package travel laws make complicated travel arrangements easier by making a single organiser responsible for the performance of all the services included in the package travel arrangement. This legal organization minimizes uncertainty for the consumer who may otherwise have problems following claims against several suppliers and in several jurisdictions. Evidence from policy analysis suggests that package travel frameworks have improved access to refunds, compensation and assistance through travel disruptions (Page &amp; Connell, 2020).</w:t>
      </w:r>
    </w:p>
    <w:p w14:paraId="2E07E7BA" w14:textId="77777777" w:rsidR="004F735A" w:rsidRPr="004F735A" w:rsidRDefault="004F735A" w:rsidP="004F735A">
      <w:pPr>
        <w:spacing w:line="480" w:lineRule="auto"/>
        <w:rPr>
          <w:rFonts w:ascii="Arial" w:hAnsi="Arial" w:cs="Arial"/>
          <w:szCs w:val="24"/>
        </w:rPr>
      </w:pPr>
    </w:p>
    <w:p w14:paraId="005194D4" w14:textId="77777777" w:rsidR="004F735A" w:rsidRPr="004F735A" w:rsidRDefault="004F735A" w:rsidP="004F735A">
      <w:pPr>
        <w:spacing w:line="480" w:lineRule="auto"/>
        <w:rPr>
          <w:rFonts w:ascii="Arial" w:hAnsi="Arial" w:cs="Arial"/>
          <w:szCs w:val="24"/>
        </w:rPr>
      </w:pPr>
      <w:r w:rsidRPr="004F735A">
        <w:rPr>
          <w:rFonts w:ascii="Arial" w:hAnsi="Arial" w:cs="Arial"/>
          <w:szCs w:val="24"/>
        </w:rPr>
        <w:t xml:space="preserve">Safety and the quality of service </w:t>
      </w:r>
      <w:proofErr w:type="gramStart"/>
      <w:r w:rsidRPr="004F735A">
        <w:rPr>
          <w:rFonts w:ascii="Arial" w:hAnsi="Arial" w:cs="Arial"/>
          <w:szCs w:val="24"/>
        </w:rPr>
        <w:t>becomes</w:t>
      </w:r>
      <w:proofErr w:type="gramEnd"/>
      <w:r w:rsidRPr="004F735A">
        <w:rPr>
          <w:rFonts w:ascii="Arial" w:hAnsi="Arial" w:cs="Arial"/>
          <w:szCs w:val="24"/>
        </w:rPr>
        <w:t xml:space="preserve"> another crucial aspect of consumer protection in tourism. Tourism services often involve transportation and accommodation and recreational activities that entail physical and psychological risks. The analysis shows that the consumer protection laws complement sector-specific safety regulations because they impose minimum standards of care and quality that cannot be excluded by contract. This has been especially true for unfamiliar areas of tourism development, </w:t>
      </w:r>
      <w:r w:rsidRPr="004F735A">
        <w:rPr>
          <w:rFonts w:ascii="Arial" w:hAnsi="Arial" w:cs="Arial"/>
          <w:szCs w:val="24"/>
        </w:rPr>
        <w:lastRenderedPageBreak/>
        <w:t>such as adventure tourism and peer-to-peer accommodation, where it has been difficult for regulatory oversight to keep up with rapid market innovation (Hall et al., 2015).</w:t>
      </w:r>
    </w:p>
    <w:p w14:paraId="54C73CB7" w14:textId="77777777" w:rsidR="004F735A" w:rsidRPr="004F735A" w:rsidRDefault="004F735A" w:rsidP="004F735A">
      <w:pPr>
        <w:spacing w:line="480" w:lineRule="auto"/>
        <w:rPr>
          <w:rFonts w:ascii="Arial" w:hAnsi="Arial" w:cs="Arial"/>
          <w:szCs w:val="24"/>
        </w:rPr>
      </w:pPr>
    </w:p>
    <w:p w14:paraId="7A711F0E" w14:textId="77777777" w:rsidR="004F735A" w:rsidRPr="004F735A" w:rsidRDefault="004F735A" w:rsidP="004F735A">
      <w:pPr>
        <w:spacing w:line="480" w:lineRule="auto"/>
        <w:rPr>
          <w:rFonts w:ascii="Arial" w:hAnsi="Arial" w:cs="Arial"/>
          <w:szCs w:val="24"/>
        </w:rPr>
      </w:pPr>
      <w:r w:rsidRPr="004F735A">
        <w:rPr>
          <w:rFonts w:ascii="Arial" w:hAnsi="Arial" w:cs="Arial"/>
          <w:szCs w:val="24"/>
        </w:rPr>
        <w:t xml:space="preserve">The findings also suggest that consumer protection laws create additional duties for tourism service providers to comply with. Businesses are required to provide for true advertising, clear pricing, fair terms in contracts, and ways in which a customer can complain. Failure to comply with these obligations can lead to enforcement action, financial penalties and reputational damage. This is a deterrent effect that motivates ethical </w:t>
      </w:r>
      <w:proofErr w:type="spellStart"/>
      <w:r w:rsidRPr="004F735A">
        <w:rPr>
          <w:rFonts w:ascii="Arial" w:hAnsi="Arial" w:cs="Arial"/>
          <w:szCs w:val="24"/>
        </w:rPr>
        <w:t>behavior</w:t>
      </w:r>
      <w:proofErr w:type="spellEnd"/>
      <w:r w:rsidRPr="004F735A">
        <w:rPr>
          <w:rFonts w:ascii="Arial" w:hAnsi="Arial" w:cs="Arial"/>
          <w:szCs w:val="24"/>
        </w:rPr>
        <w:t xml:space="preserve"> and increases the service standard across the tourism industry (OECD, 2021).</w:t>
      </w:r>
    </w:p>
    <w:p w14:paraId="60C15DDC" w14:textId="77777777" w:rsidR="004F735A" w:rsidRPr="004F735A" w:rsidRDefault="004F735A" w:rsidP="004F735A">
      <w:pPr>
        <w:spacing w:line="480" w:lineRule="auto"/>
        <w:rPr>
          <w:rFonts w:ascii="Arial" w:hAnsi="Arial" w:cs="Arial"/>
          <w:szCs w:val="24"/>
        </w:rPr>
      </w:pPr>
    </w:p>
    <w:p w14:paraId="753AB1D6" w14:textId="77777777" w:rsidR="004F735A" w:rsidRPr="004F735A" w:rsidRDefault="004F735A" w:rsidP="004F735A">
      <w:pPr>
        <w:spacing w:line="480" w:lineRule="auto"/>
        <w:rPr>
          <w:rFonts w:ascii="Arial" w:hAnsi="Arial" w:cs="Arial"/>
          <w:szCs w:val="24"/>
        </w:rPr>
      </w:pPr>
      <w:r w:rsidRPr="004F735A">
        <w:rPr>
          <w:rFonts w:ascii="Arial" w:hAnsi="Arial" w:cs="Arial"/>
          <w:szCs w:val="24"/>
        </w:rPr>
        <w:t xml:space="preserve">Finally, the analysis identifies the increasing importance of consumer redress mechanisms, especially alternative dispute resolution (ADR). ADR mechanisms are widely championed as efficient, cost-effective mechanisms for resolving tourism disputes, particularly where there is a cross-border component to a tourism dispute. But the results do show remaining issues in terms of accessibility, consumer awareness, and procedural fairness. Mandatory ADR clause sophistication for travellers may present </w:t>
      </w:r>
      <w:proofErr w:type="gramStart"/>
      <w:r w:rsidRPr="004F735A">
        <w:rPr>
          <w:rFonts w:ascii="Arial" w:hAnsi="Arial" w:cs="Arial"/>
          <w:szCs w:val="24"/>
        </w:rPr>
        <w:t>an</w:t>
      </w:r>
      <w:proofErr w:type="gramEnd"/>
      <w:r w:rsidRPr="004F735A">
        <w:rPr>
          <w:rFonts w:ascii="Arial" w:hAnsi="Arial" w:cs="Arial"/>
          <w:szCs w:val="24"/>
        </w:rPr>
        <w:t xml:space="preserve"> disadvantage for travellers as restrictions to access to courts or imposition of unfamiliar displacement resolution procedures.</w:t>
      </w:r>
    </w:p>
    <w:p w14:paraId="67C554AD" w14:textId="77777777" w:rsidR="004F735A" w:rsidRPr="004F735A" w:rsidRDefault="004F735A" w:rsidP="004F735A">
      <w:pPr>
        <w:spacing w:line="480" w:lineRule="auto"/>
        <w:rPr>
          <w:rFonts w:ascii="Arial" w:hAnsi="Arial" w:cs="Arial"/>
          <w:szCs w:val="24"/>
        </w:rPr>
      </w:pPr>
    </w:p>
    <w:p w14:paraId="35D5B143" w14:textId="184E6D75" w:rsidR="00DB0773" w:rsidRPr="00825F73" w:rsidRDefault="004F735A" w:rsidP="004F735A">
      <w:pPr>
        <w:spacing w:line="480" w:lineRule="auto"/>
        <w:rPr>
          <w:rStyle w:val="Heading1Char"/>
          <w:rFonts w:ascii="Arial" w:hAnsi="Arial" w:cs="Arial"/>
          <w:b/>
          <w:bCs/>
          <w:color w:val="auto"/>
          <w:sz w:val="24"/>
          <w:szCs w:val="24"/>
        </w:rPr>
      </w:pPr>
      <w:r w:rsidRPr="004F735A">
        <w:rPr>
          <w:rFonts w:ascii="Arial" w:hAnsi="Arial" w:cs="Arial"/>
          <w:szCs w:val="24"/>
        </w:rPr>
        <w:t xml:space="preserve">All in all, the results support the claim that consumer protection laws play a key role in managing the structure risks inherent in tourism transactions. By improving </w:t>
      </w:r>
      <w:r w:rsidRPr="004F735A">
        <w:rPr>
          <w:rFonts w:ascii="Arial" w:hAnsi="Arial" w:cs="Arial"/>
          <w:szCs w:val="24"/>
        </w:rPr>
        <w:lastRenderedPageBreak/>
        <w:t xml:space="preserve">transparency, enforcing safety and quality standards, and creating effective channels for redress, these laws build </w:t>
      </w:r>
      <w:proofErr w:type="spellStart"/>
      <w:r w:rsidRPr="004F735A">
        <w:rPr>
          <w:rFonts w:ascii="Arial" w:hAnsi="Arial" w:cs="Arial"/>
          <w:szCs w:val="24"/>
        </w:rPr>
        <w:t>traveler</w:t>
      </w:r>
      <w:proofErr w:type="spellEnd"/>
      <w:r w:rsidRPr="004F735A">
        <w:rPr>
          <w:rFonts w:ascii="Arial" w:hAnsi="Arial" w:cs="Arial"/>
          <w:szCs w:val="24"/>
        </w:rPr>
        <w:t xml:space="preserve"> confidence and help to create fair and sustainable tourism markets.</w:t>
      </w:r>
    </w:p>
    <w:p w14:paraId="61FE166D" w14:textId="77777777" w:rsidR="00DB0773" w:rsidRPr="00825F73" w:rsidRDefault="00DB0773" w:rsidP="00DB0773">
      <w:pPr>
        <w:spacing w:line="480" w:lineRule="auto"/>
        <w:rPr>
          <w:rStyle w:val="Heading1Char"/>
          <w:rFonts w:ascii="Arial" w:hAnsi="Arial" w:cs="Arial"/>
          <w:b/>
          <w:bCs/>
          <w:color w:val="auto"/>
          <w:sz w:val="24"/>
          <w:szCs w:val="24"/>
        </w:rPr>
      </w:pPr>
    </w:p>
    <w:p w14:paraId="6BAF518D" w14:textId="77777777" w:rsidR="00DB0773" w:rsidRPr="00825F73" w:rsidRDefault="00DB0773" w:rsidP="00DB0773">
      <w:pPr>
        <w:spacing w:line="480" w:lineRule="auto"/>
        <w:rPr>
          <w:rStyle w:val="Heading1Char"/>
          <w:rFonts w:ascii="Arial" w:hAnsi="Arial" w:cs="Arial"/>
          <w:b/>
          <w:bCs/>
          <w:color w:val="auto"/>
          <w:sz w:val="24"/>
          <w:szCs w:val="24"/>
        </w:rPr>
      </w:pPr>
    </w:p>
    <w:p w14:paraId="3FD87506" w14:textId="77777777" w:rsidR="00DB0773" w:rsidRPr="00825F73" w:rsidRDefault="00DB0773" w:rsidP="00DB0773">
      <w:pPr>
        <w:spacing w:line="480" w:lineRule="auto"/>
        <w:rPr>
          <w:rStyle w:val="Heading1Char"/>
          <w:rFonts w:ascii="Arial" w:hAnsi="Arial" w:cs="Arial"/>
          <w:b/>
          <w:bCs/>
          <w:color w:val="auto"/>
          <w:sz w:val="24"/>
          <w:szCs w:val="24"/>
        </w:rPr>
      </w:pPr>
    </w:p>
    <w:p w14:paraId="6E0E491C" w14:textId="77777777" w:rsidR="00DB0773" w:rsidRPr="00825F73" w:rsidRDefault="00DB0773" w:rsidP="00DB0773">
      <w:pPr>
        <w:spacing w:line="480" w:lineRule="auto"/>
        <w:rPr>
          <w:rStyle w:val="Heading1Char"/>
          <w:rFonts w:ascii="Arial" w:hAnsi="Arial" w:cs="Arial"/>
          <w:b/>
          <w:bCs/>
          <w:color w:val="auto"/>
          <w:sz w:val="24"/>
          <w:szCs w:val="24"/>
        </w:rPr>
      </w:pPr>
    </w:p>
    <w:p w14:paraId="3517A086" w14:textId="77777777" w:rsidR="00DB0773" w:rsidRPr="00825F73" w:rsidRDefault="00DB0773" w:rsidP="00DB0773">
      <w:pPr>
        <w:spacing w:line="480" w:lineRule="auto"/>
        <w:rPr>
          <w:rStyle w:val="Heading1Char"/>
          <w:rFonts w:ascii="Arial" w:hAnsi="Arial" w:cs="Arial"/>
          <w:b/>
          <w:bCs/>
          <w:color w:val="auto"/>
          <w:sz w:val="24"/>
          <w:szCs w:val="24"/>
        </w:rPr>
      </w:pPr>
    </w:p>
    <w:p w14:paraId="6675F724" w14:textId="77777777" w:rsidR="00DB0773" w:rsidRPr="00825F73" w:rsidRDefault="00DB0773" w:rsidP="00DB0773">
      <w:pPr>
        <w:spacing w:line="480" w:lineRule="auto"/>
        <w:rPr>
          <w:rStyle w:val="Heading1Char"/>
          <w:rFonts w:ascii="Arial" w:hAnsi="Arial" w:cs="Arial"/>
          <w:b/>
          <w:bCs/>
          <w:color w:val="auto"/>
          <w:sz w:val="24"/>
          <w:szCs w:val="24"/>
        </w:rPr>
      </w:pPr>
    </w:p>
    <w:p w14:paraId="5696FE56" w14:textId="77777777" w:rsidR="00DB0773" w:rsidRPr="00825F73" w:rsidRDefault="00DB0773" w:rsidP="00DB0773">
      <w:pPr>
        <w:spacing w:line="480" w:lineRule="auto"/>
        <w:rPr>
          <w:rStyle w:val="Heading1Char"/>
          <w:rFonts w:ascii="Arial" w:hAnsi="Arial" w:cs="Arial"/>
          <w:b/>
          <w:bCs/>
          <w:color w:val="auto"/>
          <w:sz w:val="24"/>
          <w:szCs w:val="24"/>
        </w:rPr>
      </w:pPr>
    </w:p>
    <w:p w14:paraId="79A81669" w14:textId="77777777" w:rsidR="00DB0773" w:rsidRPr="00825F73" w:rsidRDefault="00DB0773" w:rsidP="00DB0773">
      <w:pPr>
        <w:spacing w:line="480" w:lineRule="auto"/>
        <w:rPr>
          <w:rStyle w:val="Heading1Char"/>
          <w:rFonts w:ascii="Arial" w:hAnsi="Arial" w:cs="Arial"/>
          <w:b/>
          <w:bCs/>
          <w:color w:val="auto"/>
          <w:sz w:val="24"/>
          <w:szCs w:val="24"/>
        </w:rPr>
      </w:pPr>
    </w:p>
    <w:p w14:paraId="4070ACEF" w14:textId="77777777" w:rsidR="00DB0773" w:rsidRPr="00825F73" w:rsidRDefault="00DB0773" w:rsidP="00DB0773">
      <w:pPr>
        <w:spacing w:line="480" w:lineRule="auto"/>
        <w:rPr>
          <w:rStyle w:val="Heading1Char"/>
          <w:rFonts w:ascii="Arial" w:hAnsi="Arial" w:cs="Arial"/>
          <w:b/>
          <w:bCs/>
          <w:color w:val="auto"/>
          <w:sz w:val="24"/>
          <w:szCs w:val="24"/>
        </w:rPr>
      </w:pPr>
    </w:p>
    <w:p w14:paraId="3DA73127" w14:textId="77777777" w:rsidR="00DB0773" w:rsidRPr="00825F73" w:rsidRDefault="00DB0773" w:rsidP="00DB0773">
      <w:pPr>
        <w:spacing w:line="480" w:lineRule="auto"/>
        <w:rPr>
          <w:rStyle w:val="Heading1Char"/>
          <w:rFonts w:ascii="Arial" w:hAnsi="Arial" w:cs="Arial"/>
          <w:b/>
          <w:bCs/>
          <w:color w:val="auto"/>
          <w:sz w:val="24"/>
          <w:szCs w:val="24"/>
        </w:rPr>
      </w:pPr>
    </w:p>
    <w:p w14:paraId="52158753" w14:textId="77777777" w:rsidR="00DB0773" w:rsidRDefault="00DB0773" w:rsidP="00DB0773">
      <w:pPr>
        <w:spacing w:line="480" w:lineRule="auto"/>
        <w:rPr>
          <w:rStyle w:val="Heading1Char"/>
          <w:rFonts w:ascii="Arial" w:hAnsi="Arial" w:cs="Arial"/>
          <w:b/>
          <w:bCs/>
          <w:color w:val="auto"/>
          <w:sz w:val="24"/>
          <w:szCs w:val="24"/>
        </w:rPr>
      </w:pPr>
    </w:p>
    <w:p w14:paraId="41610E54" w14:textId="77777777" w:rsidR="004F735A" w:rsidRDefault="004F735A" w:rsidP="00DB0773">
      <w:pPr>
        <w:spacing w:line="480" w:lineRule="auto"/>
        <w:rPr>
          <w:rStyle w:val="Heading1Char"/>
          <w:rFonts w:ascii="Arial" w:hAnsi="Arial" w:cs="Arial"/>
          <w:b/>
          <w:bCs/>
          <w:color w:val="auto"/>
          <w:sz w:val="24"/>
          <w:szCs w:val="24"/>
        </w:rPr>
      </w:pPr>
    </w:p>
    <w:p w14:paraId="29D2739A" w14:textId="77777777" w:rsidR="004F735A" w:rsidRDefault="004F735A" w:rsidP="00DB0773">
      <w:pPr>
        <w:spacing w:line="480" w:lineRule="auto"/>
        <w:rPr>
          <w:rStyle w:val="Heading1Char"/>
          <w:rFonts w:ascii="Arial" w:hAnsi="Arial" w:cs="Arial"/>
          <w:b/>
          <w:bCs/>
          <w:color w:val="auto"/>
          <w:sz w:val="24"/>
          <w:szCs w:val="24"/>
        </w:rPr>
      </w:pPr>
    </w:p>
    <w:p w14:paraId="4B339B1A" w14:textId="77777777" w:rsidR="004F735A" w:rsidRPr="00825F73" w:rsidRDefault="004F735A" w:rsidP="00DB0773">
      <w:pPr>
        <w:spacing w:line="480" w:lineRule="auto"/>
        <w:rPr>
          <w:rStyle w:val="Heading1Char"/>
          <w:rFonts w:ascii="Arial" w:hAnsi="Arial" w:cs="Arial"/>
          <w:b/>
          <w:bCs/>
          <w:color w:val="auto"/>
          <w:sz w:val="24"/>
          <w:szCs w:val="24"/>
        </w:rPr>
      </w:pPr>
    </w:p>
    <w:p w14:paraId="1EF5530C" w14:textId="77777777" w:rsidR="00DB0773" w:rsidRPr="00825F73" w:rsidRDefault="00DB0773" w:rsidP="00DB0773">
      <w:pPr>
        <w:spacing w:line="480" w:lineRule="auto"/>
        <w:rPr>
          <w:rStyle w:val="Heading1Char"/>
          <w:rFonts w:ascii="Arial" w:hAnsi="Arial" w:cs="Arial"/>
          <w:b/>
          <w:bCs/>
          <w:color w:val="auto"/>
          <w:sz w:val="24"/>
          <w:szCs w:val="24"/>
        </w:rPr>
      </w:pPr>
    </w:p>
    <w:p w14:paraId="447FA94F" w14:textId="77777777" w:rsidR="00DB0773" w:rsidRPr="00825F73" w:rsidRDefault="00DB0773" w:rsidP="00DB0773">
      <w:pPr>
        <w:spacing w:line="480" w:lineRule="auto"/>
        <w:rPr>
          <w:rFonts w:ascii="Arial" w:hAnsi="Arial" w:cs="Arial"/>
          <w:szCs w:val="24"/>
        </w:rPr>
      </w:pPr>
      <w:bookmarkStart w:id="5" w:name="_Toc221201959"/>
      <w:r w:rsidRPr="00825F73">
        <w:rPr>
          <w:rStyle w:val="Heading1Char"/>
          <w:rFonts w:ascii="Arial" w:hAnsi="Arial" w:cs="Arial"/>
          <w:b/>
          <w:bCs/>
          <w:color w:val="auto"/>
          <w:sz w:val="24"/>
          <w:szCs w:val="24"/>
        </w:rPr>
        <w:lastRenderedPageBreak/>
        <w:t>5. Discussion</w:t>
      </w:r>
      <w:bookmarkEnd w:id="5"/>
      <w:r w:rsidRPr="00825F73">
        <w:rPr>
          <w:rFonts w:ascii="Arial" w:hAnsi="Arial" w:cs="Arial"/>
          <w:szCs w:val="24"/>
        </w:rPr>
        <w:t xml:space="preserve"> </w:t>
      </w:r>
      <w:r w:rsidRPr="00825F73">
        <w:rPr>
          <w:rFonts w:ascii="Arial" w:hAnsi="Arial" w:cs="Arial"/>
          <w:szCs w:val="24"/>
        </w:rPr>
        <w:br/>
        <w:t xml:space="preserve">The findings of this study confirm that consumer protection laws are essential to addressing the structural weaknesses inherent in tourism markets. Tourism transactions differ fundamentally from many other consumer activities because </w:t>
      </w:r>
      <w:proofErr w:type="spellStart"/>
      <w:r w:rsidRPr="00825F73">
        <w:rPr>
          <w:rFonts w:ascii="Arial" w:hAnsi="Arial" w:cs="Arial"/>
          <w:szCs w:val="24"/>
        </w:rPr>
        <w:t>travelers</w:t>
      </w:r>
      <w:proofErr w:type="spellEnd"/>
      <w:r w:rsidRPr="00825F73">
        <w:rPr>
          <w:rFonts w:ascii="Arial" w:hAnsi="Arial" w:cs="Arial"/>
          <w:szCs w:val="24"/>
        </w:rPr>
        <w:t xml:space="preserve"> must often make advance payments, rely on promotional information, and consume services in unfamiliar or foreign environments. These conditions create persistent power imbalances that justify stronger regulatory intervention beyond traditional contract law (Howells et al., 2018). The discussion below critically evaluates how consumer protection laws respond to these challenges and the implications for both </w:t>
      </w:r>
      <w:proofErr w:type="spellStart"/>
      <w:r w:rsidRPr="00825F73">
        <w:rPr>
          <w:rFonts w:ascii="Arial" w:hAnsi="Arial" w:cs="Arial"/>
          <w:szCs w:val="24"/>
        </w:rPr>
        <w:t>travelers</w:t>
      </w:r>
      <w:proofErr w:type="spellEnd"/>
      <w:r w:rsidRPr="00825F73">
        <w:rPr>
          <w:rFonts w:ascii="Arial" w:hAnsi="Arial" w:cs="Arial"/>
          <w:szCs w:val="24"/>
        </w:rPr>
        <w:t xml:space="preserve"> and tourism service providers.</w:t>
      </w:r>
    </w:p>
    <w:p w14:paraId="708F0D25"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One of the most significant issues highlighted by the findings is tourist vulnerability caused by information asymmetry. Tourism consumers typically depend on marketing materials, digital platforms, and intermediaries when making travel decisions. While digitalisation has expanded access to information, it has also increased the risk of misleading representations and opaque pricing structures. The regulatory focus on transparency and truthful advertising reflects recognition that informed consumer choice cannot exist without clear and accurate information (Santos &amp; Basso, 2019). Consumer protection laws therefore play a crucial role in shifting responsibility onto tourism businesses to disclose material information proactively.</w:t>
      </w:r>
    </w:p>
    <w:p w14:paraId="3AF82F4A"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The discussion of package travel regulation illustrates how sector-specific consumer protection frameworks can enhance legal certainty. By assigning responsibility to a single organiser, package travel laws simplify dispute resolution and reduce the burden placed on </w:t>
      </w:r>
      <w:proofErr w:type="spellStart"/>
      <w:r w:rsidRPr="008125F0">
        <w:rPr>
          <w:rFonts w:ascii="Arial" w:hAnsi="Arial" w:cs="Arial"/>
          <w:szCs w:val="24"/>
        </w:rPr>
        <w:t>travelers</w:t>
      </w:r>
      <w:proofErr w:type="spellEnd"/>
      <w:r w:rsidRPr="008125F0">
        <w:rPr>
          <w:rFonts w:ascii="Arial" w:hAnsi="Arial" w:cs="Arial"/>
          <w:szCs w:val="24"/>
        </w:rPr>
        <w:t xml:space="preserve"> to pursue claims against multiple suppliers. This approach aligns </w:t>
      </w:r>
      <w:r w:rsidRPr="008125F0">
        <w:rPr>
          <w:rFonts w:ascii="Arial" w:hAnsi="Arial" w:cs="Arial"/>
          <w:szCs w:val="24"/>
        </w:rPr>
        <w:lastRenderedPageBreak/>
        <w:t>with broader consumer protection objectives of accessibility and enforceability of rights (Lohmann &amp; Netto, 2016). However, the discussion also recognises potential drawbacks, including increased compliance costs for organisers and smaller tourism enterprises, suggesting the need for proportional enforcement and regulatory guidance.</w:t>
      </w:r>
    </w:p>
    <w:p w14:paraId="5E3B049F"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Safety and service quality obligations emerge as another critical dimension of consumer protection. The findings show that consumer protection laws complement health and safety regulations by preventing tourism operators from excluding liability through contractual clauses. This is particularly important in high-risk tourism activities and emerging business models, where regulatory oversight may </w:t>
      </w:r>
      <w:proofErr w:type="gramStart"/>
      <w:r w:rsidRPr="008125F0">
        <w:rPr>
          <w:rFonts w:ascii="Arial" w:hAnsi="Arial" w:cs="Arial"/>
          <w:szCs w:val="24"/>
        </w:rPr>
        <w:t>lag behind</w:t>
      </w:r>
      <w:proofErr w:type="gramEnd"/>
      <w:r w:rsidRPr="008125F0">
        <w:rPr>
          <w:rFonts w:ascii="Arial" w:hAnsi="Arial" w:cs="Arial"/>
          <w:szCs w:val="24"/>
        </w:rPr>
        <w:t xml:space="preserve"> market innovation (</w:t>
      </w:r>
      <w:proofErr w:type="spellStart"/>
      <w:r w:rsidRPr="008125F0">
        <w:rPr>
          <w:rFonts w:ascii="Arial" w:hAnsi="Arial" w:cs="Arial"/>
          <w:szCs w:val="24"/>
        </w:rPr>
        <w:t>Pizam</w:t>
      </w:r>
      <w:proofErr w:type="spellEnd"/>
      <w:r w:rsidRPr="008125F0">
        <w:rPr>
          <w:rFonts w:ascii="Arial" w:hAnsi="Arial" w:cs="Arial"/>
          <w:szCs w:val="24"/>
        </w:rPr>
        <w:t xml:space="preserve"> &amp; Mansfeld, 2016). From a policy perspective, statutory safety obligations serve a preventive function, reducing the likelihood of harm before disputes arise.</w:t>
      </w:r>
    </w:p>
    <w:p w14:paraId="192D2054"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The expanding compliance responsibilities imposed on tourism service providers reflect a shift toward proactive consumer protection. Businesses are increasingly required to implement internal compliance systems, monitor third-party suppliers, and maintain accessible complaint-handling mechanisms. While these obligations enhance accountability and ethical conduct, the discussion highlights </w:t>
      </w:r>
      <w:proofErr w:type="gramStart"/>
      <w:r w:rsidRPr="008125F0">
        <w:rPr>
          <w:rFonts w:ascii="Arial" w:hAnsi="Arial" w:cs="Arial"/>
          <w:szCs w:val="24"/>
        </w:rPr>
        <w:t>concerns</w:t>
      </w:r>
      <w:proofErr w:type="gramEnd"/>
      <w:r w:rsidRPr="008125F0">
        <w:rPr>
          <w:rFonts w:ascii="Arial" w:hAnsi="Arial" w:cs="Arial"/>
          <w:szCs w:val="24"/>
        </w:rPr>
        <w:t xml:space="preserve"> regarding uneven enforcement across jurisdictions. Inconsistent regulatory capacity may undermine consumer confidence, particularly in international tourism contexts, supporting calls for greater international coordination (</w:t>
      </w:r>
      <w:proofErr w:type="spellStart"/>
      <w:r w:rsidRPr="008125F0">
        <w:rPr>
          <w:rFonts w:ascii="Arial" w:hAnsi="Arial" w:cs="Arial"/>
          <w:szCs w:val="24"/>
        </w:rPr>
        <w:t>Micklitz</w:t>
      </w:r>
      <w:proofErr w:type="spellEnd"/>
      <w:r w:rsidRPr="008125F0">
        <w:rPr>
          <w:rFonts w:ascii="Arial" w:hAnsi="Arial" w:cs="Arial"/>
          <w:szCs w:val="24"/>
        </w:rPr>
        <w:t>, 2015).</w:t>
      </w:r>
    </w:p>
    <w:p w14:paraId="733E04D0"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The growing reliance on alternative dispute resolution (ADR) mechanisms also warrants critical evaluation. Although ADR offers efficiency and cost-effectiveness, particularly in cross-border disputes, concerns remain regarding transparency, consumer awareness, </w:t>
      </w:r>
      <w:r w:rsidRPr="008125F0">
        <w:rPr>
          <w:rFonts w:ascii="Arial" w:hAnsi="Arial" w:cs="Arial"/>
          <w:szCs w:val="24"/>
        </w:rPr>
        <w:lastRenderedPageBreak/>
        <w:t xml:space="preserve">and procedural fairness. Mandatory ADR clauses may disadvantage </w:t>
      </w:r>
      <w:proofErr w:type="spellStart"/>
      <w:r w:rsidRPr="008125F0">
        <w:rPr>
          <w:rFonts w:ascii="Arial" w:hAnsi="Arial" w:cs="Arial"/>
          <w:szCs w:val="24"/>
        </w:rPr>
        <w:t>travelers</w:t>
      </w:r>
      <w:proofErr w:type="spellEnd"/>
      <w:r w:rsidRPr="008125F0">
        <w:rPr>
          <w:rFonts w:ascii="Arial" w:hAnsi="Arial" w:cs="Arial"/>
          <w:szCs w:val="24"/>
        </w:rPr>
        <w:t xml:space="preserve"> if they restrict access to courts or impose unfamiliar processes (Spencer, 2020). The discussion therefore suggests that ADR should complement, rather than replace, judicial remedies and should be subject to regulatory safeguards.</w:t>
      </w:r>
    </w:p>
    <w:p w14:paraId="2D4B98A6"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Overall, the discussion demonstrates that consumer protection laws function as both </w:t>
      </w:r>
      <w:r w:rsidRPr="008125F0">
        <w:rPr>
          <w:rFonts w:ascii="Arial" w:hAnsi="Arial" w:cs="Arial"/>
          <w:b/>
          <w:bCs/>
          <w:szCs w:val="24"/>
        </w:rPr>
        <w:t>preventive and corrective mechanisms</w:t>
      </w:r>
      <w:r w:rsidRPr="008125F0">
        <w:rPr>
          <w:rFonts w:ascii="Arial" w:hAnsi="Arial" w:cs="Arial"/>
          <w:szCs w:val="24"/>
        </w:rPr>
        <w:t xml:space="preserve"> in the tourism industry. They influence business behaviour, promote transparency and safety, and provide effective remedies when disputes arise. As tourism continues to evolve through digitalisation and global uncertainty, adaptive and well-enforced consumer protection frameworks will remain vital to maintaining </w:t>
      </w:r>
      <w:proofErr w:type="spellStart"/>
      <w:r w:rsidRPr="008125F0">
        <w:rPr>
          <w:rFonts w:ascii="Arial" w:hAnsi="Arial" w:cs="Arial"/>
          <w:szCs w:val="24"/>
        </w:rPr>
        <w:t>traveler</w:t>
      </w:r>
      <w:proofErr w:type="spellEnd"/>
      <w:r w:rsidRPr="008125F0">
        <w:rPr>
          <w:rFonts w:ascii="Arial" w:hAnsi="Arial" w:cs="Arial"/>
          <w:szCs w:val="24"/>
        </w:rPr>
        <w:t xml:space="preserve"> trust and sustainable tourism development.</w:t>
      </w:r>
    </w:p>
    <w:p w14:paraId="482BE029" w14:textId="77777777" w:rsidR="00DB0773" w:rsidRPr="00825F73" w:rsidRDefault="00DB0773" w:rsidP="00DB0773">
      <w:pPr>
        <w:spacing w:line="480" w:lineRule="auto"/>
        <w:rPr>
          <w:rFonts w:ascii="Arial" w:hAnsi="Arial" w:cs="Arial"/>
          <w:szCs w:val="24"/>
        </w:rPr>
      </w:pPr>
    </w:p>
    <w:p w14:paraId="56436627" w14:textId="77777777" w:rsidR="00DB0773" w:rsidRPr="00825F73" w:rsidRDefault="00DB0773" w:rsidP="00DB0773">
      <w:pPr>
        <w:spacing w:line="480" w:lineRule="auto"/>
        <w:rPr>
          <w:rFonts w:ascii="Arial" w:hAnsi="Arial" w:cs="Arial"/>
          <w:szCs w:val="24"/>
        </w:rPr>
      </w:pPr>
    </w:p>
    <w:p w14:paraId="72B2B72A" w14:textId="77777777" w:rsidR="00DB0773" w:rsidRPr="00825F73" w:rsidRDefault="00DB0773" w:rsidP="00DB0773">
      <w:pPr>
        <w:spacing w:line="480" w:lineRule="auto"/>
        <w:rPr>
          <w:rFonts w:ascii="Arial" w:hAnsi="Arial" w:cs="Arial"/>
          <w:szCs w:val="24"/>
        </w:rPr>
      </w:pPr>
    </w:p>
    <w:p w14:paraId="4D29ADA9" w14:textId="77777777" w:rsidR="00DB0773" w:rsidRPr="00825F73" w:rsidRDefault="00DB0773" w:rsidP="00DB0773">
      <w:pPr>
        <w:spacing w:line="480" w:lineRule="auto"/>
        <w:rPr>
          <w:rFonts w:ascii="Arial" w:hAnsi="Arial" w:cs="Arial"/>
          <w:szCs w:val="24"/>
        </w:rPr>
      </w:pPr>
    </w:p>
    <w:p w14:paraId="52F7F958" w14:textId="77777777" w:rsidR="00DB0773" w:rsidRPr="00825F73" w:rsidRDefault="00DB0773" w:rsidP="00DB0773">
      <w:pPr>
        <w:spacing w:line="480" w:lineRule="auto"/>
        <w:rPr>
          <w:rFonts w:ascii="Arial" w:hAnsi="Arial" w:cs="Arial"/>
          <w:szCs w:val="24"/>
        </w:rPr>
      </w:pPr>
    </w:p>
    <w:p w14:paraId="0E2593B7" w14:textId="77777777" w:rsidR="00DB0773" w:rsidRPr="00825F73" w:rsidRDefault="00DB0773" w:rsidP="00DB0773">
      <w:pPr>
        <w:spacing w:line="480" w:lineRule="auto"/>
        <w:rPr>
          <w:rFonts w:ascii="Arial" w:hAnsi="Arial" w:cs="Arial"/>
          <w:szCs w:val="24"/>
        </w:rPr>
      </w:pPr>
    </w:p>
    <w:p w14:paraId="52A098CA" w14:textId="77777777" w:rsidR="00DB0773" w:rsidRPr="00825F73" w:rsidRDefault="00DB0773" w:rsidP="00DB0773">
      <w:pPr>
        <w:spacing w:line="480" w:lineRule="auto"/>
        <w:rPr>
          <w:rFonts w:ascii="Arial" w:hAnsi="Arial" w:cs="Arial"/>
          <w:szCs w:val="24"/>
        </w:rPr>
      </w:pPr>
    </w:p>
    <w:p w14:paraId="761257E5" w14:textId="77777777" w:rsidR="00DB0773" w:rsidRPr="00825F73" w:rsidRDefault="00DB0773" w:rsidP="00DB0773">
      <w:pPr>
        <w:spacing w:line="480" w:lineRule="auto"/>
        <w:rPr>
          <w:rFonts w:ascii="Arial" w:hAnsi="Arial" w:cs="Arial"/>
          <w:szCs w:val="24"/>
        </w:rPr>
      </w:pPr>
    </w:p>
    <w:p w14:paraId="31747593" w14:textId="77777777" w:rsidR="00DB0773" w:rsidRPr="00825F73" w:rsidRDefault="00DB0773" w:rsidP="00DB0773">
      <w:pPr>
        <w:spacing w:line="480" w:lineRule="auto"/>
        <w:rPr>
          <w:rFonts w:ascii="Arial" w:hAnsi="Arial" w:cs="Arial"/>
          <w:szCs w:val="24"/>
        </w:rPr>
      </w:pPr>
    </w:p>
    <w:p w14:paraId="5BCF435F" w14:textId="77777777" w:rsidR="00DB0773" w:rsidRPr="00825F73" w:rsidRDefault="00DB0773" w:rsidP="00DB0773">
      <w:pPr>
        <w:spacing w:line="480" w:lineRule="auto"/>
        <w:rPr>
          <w:rFonts w:ascii="Arial" w:hAnsi="Arial" w:cs="Arial"/>
          <w:szCs w:val="24"/>
        </w:rPr>
      </w:pPr>
    </w:p>
    <w:p w14:paraId="39586B7A" w14:textId="77777777" w:rsidR="00DB0773" w:rsidRPr="00825F73" w:rsidRDefault="00DB0773" w:rsidP="00DB0773">
      <w:pPr>
        <w:spacing w:line="480" w:lineRule="auto"/>
        <w:rPr>
          <w:rFonts w:ascii="Arial" w:hAnsi="Arial" w:cs="Arial"/>
          <w:szCs w:val="24"/>
        </w:rPr>
      </w:pPr>
      <w:bookmarkStart w:id="6" w:name="_Toc221201960"/>
      <w:r w:rsidRPr="00825F73">
        <w:rPr>
          <w:rStyle w:val="Heading1Char"/>
          <w:rFonts w:ascii="Arial" w:hAnsi="Arial" w:cs="Arial"/>
          <w:b/>
          <w:bCs/>
          <w:color w:val="auto"/>
          <w:sz w:val="24"/>
          <w:szCs w:val="24"/>
        </w:rPr>
        <w:lastRenderedPageBreak/>
        <w:t>6. Conclusion</w:t>
      </w:r>
      <w:bookmarkEnd w:id="6"/>
      <w:r w:rsidRPr="00825F73">
        <w:rPr>
          <w:rFonts w:ascii="Arial" w:hAnsi="Arial" w:cs="Arial"/>
          <w:b/>
          <w:bCs/>
          <w:szCs w:val="24"/>
        </w:rPr>
        <w:t xml:space="preserve"> </w:t>
      </w:r>
      <w:r w:rsidRPr="00825F73">
        <w:rPr>
          <w:rFonts w:ascii="Arial" w:hAnsi="Arial" w:cs="Arial"/>
          <w:szCs w:val="24"/>
        </w:rPr>
        <w:br/>
      </w:r>
      <w:bookmarkStart w:id="7" w:name="_Toc221201961"/>
      <w:r w:rsidRPr="00825F73">
        <w:rPr>
          <w:rFonts w:ascii="Arial" w:hAnsi="Arial" w:cs="Arial"/>
          <w:szCs w:val="24"/>
        </w:rPr>
        <w:t xml:space="preserve">This assignment has examined the role of consumer protection laws in the tourism industry, demonstrating their critical importance in safeguarding </w:t>
      </w:r>
      <w:proofErr w:type="spellStart"/>
      <w:r w:rsidRPr="00825F73">
        <w:rPr>
          <w:rFonts w:ascii="Arial" w:hAnsi="Arial" w:cs="Arial"/>
          <w:szCs w:val="24"/>
        </w:rPr>
        <w:t>travelers’</w:t>
      </w:r>
      <w:proofErr w:type="spellEnd"/>
      <w:r w:rsidRPr="00825F73">
        <w:rPr>
          <w:rFonts w:ascii="Arial" w:hAnsi="Arial" w:cs="Arial"/>
          <w:szCs w:val="24"/>
        </w:rPr>
        <w:t xml:space="preserve"> rights and ensuring fair market practices. Tourism consumers face heightened risks due to advance payment requirements, reliance on promotional information, and cross-border service delivery. These structural characteristics make traditional contract law insufficient on its own, necessitating robust statutory consumer protection frameworks.</w:t>
      </w:r>
    </w:p>
    <w:p w14:paraId="10200A9B"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The analysis confirms that consumer protection laws play a vital role in addressing misleading advertising, unfair pricing practices, and unsafe tourism services. Regulatory frameworks governing package travel, transparency, and service quality strengthen consumer confidence by assigning clear responsibilities to tourism service providers and ensuring access to effective remedies. In doing so, these laws correct power imbalances between businesses and consumers and promote ethical conduct across the tourism sector.</w:t>
      </w:r>
    </w:p>
    <w:p w14:paraId="38438346"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The discussion further highlights that while enhanced consumer protection imposes greater compliance obligations on tourism businesses, such regulation is essential for long-term market integrity and sustainability. Alternative dispute resolution mechanisms also contribute to efficient redress, provided they are supported by safeguards that ensure fairness and accessibility.</w:t>
      </w:r>
    </w:p>
    <w:p w14:paraId="110FD94B" w14:textId="77777777" w:rsidR="00DB0773" w:rsidRPr="008125F0" w:rsidRDefault="00DB0773" w:rsidP="00DB0773">
      <w:pPr>
        <w:spacing w:line="480" w:lineRule="auto"/>
        <w:rPr>
          <w:rFonts w:ascii="Arial" w:hAnsi="Arial" w:cs="Arial"/>
          <w:szCs w:val="24"/>
        </w:rPr>
      </w:pPr>
      <w:r w:rsidRPr="008125F0">
        <w:rPr>
          <w:rFonts w:ascii="Arial" w:hAnsi="Arial" w:cs="Arial"/>
          <w:szCs w:val="24"/>
        </w:rPr>
        <w:t xml:space="preserve">Overall, consumer protection laws function as both preventive and corrective mechanisms within tourism markets. As tourism continues to evolve through digitalisation and global uncertainty, adaptable and well-enforced consumer protection </w:t>
      </w:r>
      <w:r w:rsidRPr="008125F0">
        <w:rPr>
          <w:rFonts w:ascii="Arial" w:hAnsi="Arial" w:cs="Arial"/>
          <w:szCs w:val="24"/>
        </w:rPr>
        <w:lastRenderedPageBreak/>
        <w:t xml:space="preserve">frameworks will remain fundamental to protecting </w:t>
      </w:r>
      <w:proofErr w:type="spellStart"/>
      <w:r w:rsidRPr="008125F0">
        <w:rPr>
          <w:rFonts w:ascii="Arial" w:hAnsi="Arial" w:cs="Arial"/>
          <w:szCs w:val="24"/>
        </w:rPr>
        <w:t>travelers</w:t>
      </w:r>
      <w:proofErr w:type="spellEnd"/>
      <w:r w:rsidRPr="008125F0">
        <w:rPr>
          <w:rFonts w:ascii="Arial" w:hAnsi="Arial" w:cs="Arial"/>
          <w:szCs w:val="24"/>
        </w:rPr>
        <w:t xml:space="preserve"> and supporting sustainable tourism development.</w:t>
      </w:r>
    </w:p>
    <w:p w14:paraId="280FC2F4" w14:textId="77777777" w:rsidR="00DB0773" w:rsidRDefault="00DB0773" w:rsidP="00DB0773">
      <w:pPr>
        <w:spacing w:line="480" w:lineRule="auto"/>
        <w:rPr>
          <w:rFonts w:ascii="Arial" w:hAnsi="Arial" w:cs="Arial"/>
          <w:b/>
          <w:bCs/>
          <w:szCs w:val="24"/>
        </w:rPr>
      </w:pPr>
    </w:p>
    <w:p w14:paraId="1E0792F2" w14:textId="77777777" w:rsidR="000056B7" w:rsidRDefault="000056B7" w:rsidP="00DB0773">
      <w:pPr>
        <w:spacing w:line="480" w:lineRule="auto"/>
        <w:rPr>
          <w:rFonts w:ascii="Arial" w:hAnsi="Arial" w:cs="Arial"/>
          <w:b/>
          <w:bCs/>
          <w:szCs w:val="24"/>
        </w:rPr>
      </w:pPr>
    </w:p>
    <w:p w14:paraId="59ACE69A" w14:textId="77777777" w:rsidR="000056B7" w:rsidRDefault="000056B7" w:rsidP="00DB0773">
      <w:pPr>
        <w:spacing w:line="480" w:lineRule="auto"/>
        <w:rPr>
          <w:rFonts w:ascii="Arial" w:hAnsi="Arial" w:cs="Arial"/>
          <w:b/>
          <w:bCs/>
          <w:szCs w:val="24"/>
        </w:rPr>
      </w:pPr>
    </w:p>
    <w:p w14:paraId="76E30972" w14:textId="77777777" w:rsidR="000056B7" w:rsidRDefault="000056B7" w:rsidP="00DB0773">
      <w:pPr>
        <w:spacing w:line="480" w:lineRule="auto"/>
        <w:rPr>
          <w:rFonts w:ascii="Arial" w:hAnsi="Arial" w:cs="Arial"/>
          <w:b/>
          <w:bCs/>
          <w:szCs w:val="24"/>
        </w:rPr>
      </w:pPr>
    </w:p>
    <w:p w14:paraId="1648917B" w14:textId="77777777" w:rsidR="000056B7" w:rsidRDefault="000056B7" w:rsidP="00DB0773">
      <w:pPr>
        <w:spacing w:line="480" w:lineRule="auto"/>
        <w:rPr>
          <w:rFonts w:ascii="Arial" w:hAnsi="Arial" w:cs="Arial"/>
          <w:b/>
          <w:bCs/>
          <w:szCs w:val="24"/>
        </w:rPr>
      </w:pPr>
    </w:p>
    <w:p w14:paraId="559D67C1" w14:textId="77777777" w:rsidR="000056B7" w:rsidRDefault="000056B7" w:rsidP="00DB0773">
      <w:pPr>
        <w:spacing w:line="480" w:lineRule="auto"/>
        <w:rPr>
          <w:rFonts w:ascii="Arial" w:hAnsi="Arial" w:cs="Arial"/>
          <w:b/>
          <w:bCs/>
          <w:szCs w:val="24"/>
        </w:rPr>
      </w:pPr>
    </w:p>
    <w:p w14:paraId="7605B23D" w14:textId="77777777" w:rsidR="000056B7" w:rsidRDefault="000056B7" w:rsidP="00DB0773">
      <w:pPr>
        <w:spacing w:line="480" w:lineRule="auto"/>
        <w:rPr>
          <w:rFonts w:ascii="Arial" w:hAnsi="Arial" w:cs="Arial"/>
          <w:b/>
          <w:bCs/>
          <w:szCs w:val="24"/>
        </w:rPr>
      </w:pPr>
    </w:p>
    <w:p w14:paraId="64A082BA" w14:textId="77777777" w:rsidR="000056B7" w:rsidRDefault="000056B7" w:rsidP="00DB0773">
      <w:pPr>
        <w:spacing w:line="480" w:lineRule="auto"/>
        <w:rPr>
          <w:rFonts w:ascii="Arial" w:hAnsi="Arial" w:cs="Arial"/>
          <w:b/>
          <w:bCs/>
          <w:szCs w:val="24"/>
        </w:rPr>
      </w:pPr>
    </w:p>
    <w:p w14:paraId="04A5B196" w14:textId="77777777" w:rsidR="000056B7" w:rsidRDefault="000056B7" w:rsidP="00DB0773">
      <w:pPr>
        <w:spacing w:line="480" w:lineRule="auto"/>
        <w:rPr>
          <w:rFonts w:ascii="Arial" w:hAnsi="Arial" w:cs="Arial"/>
          <w:b/>
          <w:bCs/>
          <w:szCs w:val="24"/>
        </w:rPr>
      </w:pPr>
    </w:p>
    <w:p w14:paraId="116295A6" w14:textId="77777777" w:rsidR="000056B7" w:rsidRDefault="000056B7" w:rsidP="00DB0773">
      <w:pPr>
        <w:spacing w:line="480" w:lineRule="auto"/>
        <w:rPr>
          <w:rFonts w:ascii="Arial" w:hAnsi="Arial" w:cs="Arial"/>
          <w:b/>
          <w:bCs/>
          <w:szCs w:val="24"/>
        </w:rPr>
      </w:pPr>
    </w:p>
    <w:p w14:paraId="24CBF12D" w14:textId="77777777" w:rsidR="000056B7" w:rsidRDefault="000056B7" w:rsidP="00DB0773">
      <w:pPr>
        <w:spacing w:line="480" w:lineRule="auto"/>
        <w:rPr>
          <w:rFonts w:ascii="Arial" w:hAnsi="Arial" w:cs="Arial"/>
          <w:b/>
          <w:bCs/>
          <w:szCs w:val="24"/>
        </w:rPr>
      </w:pPr>
    </w:p>
    <w:p w14:paraId="1A151F0C" w14:textId="77777777" w:rsidR="000056B7" w:rsidRDefault="000056B7" w:rsidP="00DB0773">
      <w:pPr>
        <w:spacing w:line="480" w:lineRule="auto"/>
        <w:rPr>
          <w:rFonts w:ascii="Arial" w:hAnsi="Arial" w:cs="Arial"/>
          <w:b/>
          <w:bCs/>
          <w:szCs w:val="24"/>
        </w:rPr>
      </w:pPr>
    </w:p>
    <w:p w14:paraId="4D837238" w14:textId="77777777" w:rsidR="000056B7" w:rsidRDefault="000056B7" w:rsidP="00DB0773">
      <w:pPr>
        <w:spacing w:line="480" w:lineRule="auto"/>
        <w:rPr>
          <w:rFonts w:ascii="Arial" w:hAnsi="Arial" w:cs="Arial"/>
          <w:b/>
          <w:bCs/>
          <w:szCs w:val="24"/>
        </w:rPr>
      </w:pPr>
    </w:p>
    <w:p w14:paraId="0EFEDD82" w14:textId="77777777" w:rsidR="000056B7" w:rsidRDefault="000056B7" w:rsidP="00DB0773">
      <w:pPr>
        <w:spacing w:line="480" w:lineRule="auto"/>
        <w:rPr>
          <w:rFonts w:ascii="Arial" w:hAnsi="Arial" w:cs="Arial"/>
          <w:b/>
          <w:bCs/>
          <w:szCs w:val="24"/>
        </w:rPr>
      </w:pPr>
    </w:p>
    <w:p w14:paraId="3A2CB997" w14:textId="77777777" w:rsidR="000056B7" w:rsidRDefault="000056B7" w:rsidP="00DB0773">
      <w:pPr>
        <w:spacing w:line="480" w:lineRule="auto"/>
        <w:rPr>
          <w:rFonts w:ascii="Arial" w:hAnsi="Arial" w:cs="Arial"/>
          <w:b/>
          <w:bCs/>
          <w:szCs w:val="24"/>
        </w:rPr>
      </w:pPr>
    </w:p>
    <w:p w14:paraId="752C4213" w14:textId="77777777" w:rsidR="000056B7" w:rsidRDefault="000056B7" w:rsidP="00DB0773">
      <w:pPr>
        <w:spacing w:line="480" w:lineRule="auto"/>
        <w:rPr>
          <w:rFonts w:ascii="Arial" w:hAnsi="Arial" w:cs="Arial"/>
          <w:b/>
          <w:bCs/>
          <w:szCs w:val="24"/>
        </w:rPr>
      </w:pPr>
    </w:p>
    <w:p w14:paraId="308EB214" w14:textId="77777777" w:rsidR="000056B7" w:rsidRPr="00825F73" w:rsidRDefault="000056B7" w:rsidP="00DB0773">
      <w:pPr>
        <w:spacing w:line="480" w:lineRule="auto"/>
        <w:rPr>
          <w:rFonts w:ascii="Arial" w:hAnsi="Arial" w:cs="Arial"/>
          <w:b/>
          <w:bCs/>
          <w:szCs w:val="24"/>
        </w:rPr>
      </w:pPr>
    </w:p>
    <w:p w14:paraId="7FB6C0A9" w14:textId="77777777" w:rsidR="00DB0773" w:rsidRPr="00825F73" w:rsidRDefault="00DB0773" w:rsidP="00DB0773">
      <w:pPr>
        <w:spacing w:line="480" w:lineRule="auto"/>
        <w:rPr>
          <w:rFonts w:ascii="Arial" w:hAnsi="Arial" w:cs="Arial"/>
          <w:b/>
          <w:bCs/>
          <w:szCs w:val="24"/>
        </w:rPr>
      </w:pPr>
      <w:r w:rsidRPr="00825F73">
        <w:rPr>
          <w:rFonts w:ascii="Arial" w:hAnsi="Arial" w:cs="Arial"/>
          <w:b/>
          <w:bCs/>
          <w:szCs w:val="24"/>
        </w:rPr>
        <w:lastRenderedPageBreak/>
        <w:t>Reference List</w:t>
      </w:r>
      <w:bookmarkEnd w:id="7"/>
      <w:r w:rsidRPr="00825F73">
        <w:rPr>
          <w:rFonts w:ascii="Arial" w:hAnsi="Arial" w:cs="Arial"/>
          <w:b/>
          <w:bCs/>
          <w:szCs w:val="24"/>
        </w:rPr>
        <w:t xml:space="preserve"> </w:t>
      </w:r>
    </w:p>
    <w:p w14:paraId="0A11B692"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Baker, M. J., &amp; Cameron, E. (2008). Critical success factors in destination marketing. </w:t>
      </w:r>
      <w:r w:rsidRPr="000056B7">
        <w:rPr>
          <w:rFonts w:ascii="Arial" w:hAnsi="Arial" w:cs="Arial"/>
          <w:i/>
          <w:iCs/>
          <w:szCs w:val="24"/>
        </w:rPr>
        <w:t>Tourism and Hospitality Research, 8</w:t>
      </w:r>
      <w:r w:rsidRPr="000056B7">
        <w:rPr>
          <w:rFonts w:ascii="Arial" w:hAnsi="Arial" w:cs="Arial"/>
          <w:szCs w:val="24"/>
        </w:rPr>
        <w:t>(2), 79–97. https://doi.org/10.1057/thr.2008.9</w:t>
      </w:r>
    </w:p>
    <w:p w14:paraId="6495B104"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Hall, C. M., Timothy, D. J., &amp; Duval, D. T. (2015). </w:t>
      </w:r>
      <w:r w:rsidRPr="000056B7">
        <w:rPr>
          <w:rFonts w:ascii="Arial" w:hAnsi="Arial" w:cs="Arial"/>
          <w:i/>
          <w:iCs/>
          <w:szCs w:val="24"/>
        </w:rPr>
        <w:t>Safety and security in tourism: Relationships, management, and marketing</w:t>
      </w:r>
      <w:r w:rsidRPr="000056B7">
        <w:rPr>
          <w:rFonts w:ascii="Arial" w:hAnsi="Arial" w:cs="Arial"/>
          <w:szCs w:val="24"/>
        </w:rPr>
        <w:t>. Routledge. https://doi.org/10.4324/9781315727629</w:t>
      </w:r>
    </w:p>
    <w:p w14:paraId="5DB4C636"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Hannam, K., Butler, G., &amp; Paris, C. M. (2014). Developments and key issues in tourism mobilities. </w:t>
      </w:r>
      <w:r w:rsidRPr="000056B7">
        <w:rPr>
          <w:rFonts w:ascii="Arial" w:hAnsi="Arial" w:cs="Arial"/>
          <w:i/>
          <w:iCs/>
          <w:szCs w:val="24"/>
        </w:rPr>
        <w:t>Annals of Tourism Research, 44</w:t>
      </w:r>
      <w:r w:rsidRPr="000056B7">
        <w:rPr>
          <w:rFonts w:ascii="Arial" w:hAnsi="Arial" w:cs="Arial"/>
          <w:szCs w:val="24"/>
        </w:rPr>
        <w:t>, 171–185. https://doi.org/10.1016/j.annals.2013.09.010</w:t>
      </w:r>
    </w:p>
    <w:p w14:paraId="7B24E4B3"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Howells, G., Ramsay, I., &amp; Wilhelmsson, T. (2018). </w:t>
      </w:r>
      <w:r w:rsidRPr="000056B7">
        <w:rPr>
          <w:rFonts w:ascii="Arial" w:hAnsi="Arial" w:cs="Arial"/>
          <w:i/>
          <w:iCs/>
          <w:szCs w:val="24"/>
        </w:rPr>
        <w:t>Handbook of research on international consumer law</w:t>
      </w:r>
      <w:r w:rsidRPr="000056B7">
        <w:rPr>
          <w:rFonts w:ascii="Arial" w:hAnsi="Arial" w:cs="Arial"/>
          <w:szCs w:val="24"/>
        </w:rPr>
        <w:t xml:space="preserve"> (2nd ed.). Edward Elgar Publishing. https://doi.org/10.4337/9781785366544</w:t>
      </w:r>
    </w:p>
    <w:p w14:paraId="5166941F"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Micklitz, H.-W. (2015). </w:t>
      </w:r>
      <w:r w:rsidRPr="000056B7">
        <w:rPr>
          <w:rFonts w:ascii="Arial" w:hAnsi="Arial" w:cs="Arial"/>
          <w:i/>
          <w:iCs/>
          <w:szCs w:val="24"/>
        </w:rPr>
        <w:t>The politics of consumer rights</w:t>
      </w:r>
      <w:r w:rsidRPr="000056B7">
        <w:rPr>
          <w:rFonts w:ascii="Arial" w:hAnsi="Arial" w:cs="Arial"/>
          <w:szCs w:val="24"/>
        </w:rPr>
        <w:t>. Cambridge University Press. https://doi.org/10.1017/CBO9781316104306</w:t>
      </w:r>
    </w:p>
    <w:p w14:paraId="674D5515" w14:textId="77777777" w:rsidR="000056B7" w:rsidRPr="000056B7" w:rsidRDefault="000056B7" w:rsidP="000056B7">
      <w:pPr>
        <w:spacing w:line="480" w:lineRule="auto"/>
        <w:rPr>
          <w:rFonts w:ascii="Arial" w:hAnsi="Arial" w:cs="Arial"/>
          <w:szCs w:val="24"/>
        </w:rPr>
      </w:pPr>
      <w:proofErr w:type="spellStart"/>
      <w:r w:rsidRPr="000056B7">
        <w:rPr>
          <w:rFonts w:ascii="Arial" w:hAnsi="Arial" w:cs="Arial"/>
          <w:szCs w:val="24"/>
        </w:rPr>
        <w:t>Neuhofer</w:t>
      </w:r>
      <w:proofErr w:type="spellEnd"/>
      <w:r w:rsidRPr="000056B7">
        <w:rPr>
          <w:rFonts w:ascii="Arial" w:hAnsi="Arial" w:cs="Arial"/>
          <w:szCs w:val="24"/>
        </w:rPr>
        <w:t xml:space="preserve">, B., </w:t>
      </w:r>
      <w:proofErr w:type="spellStart"/>
      <w:r w:rsidRPr="000056B7">
        <w:rPr>
          <w:rFonts w:ascii="Arial" w:hAnsi="Arial" w:cs="Arial"/>
          <w:szCs w:val="24"/>
        </w:rPr>
        <w:t>Buhalis</w:t>
      </w:r>
      <w:proofErr w:type="spellEnd"/>
      <w:r w:rsidRPr="000056B7">
        <w:rPr>
          <w:rFonts w:ascii="Arial" w:hAnsi="Arial" w:cs="Arial"/>
          <w:szCs w:val="24"/>
        </w:rPr>
        <w:t xml:space="preserve">, D., &amp; </w:t>
      </w:r>
      <w:proofErr w:type="spellStart"/>
      <w:r w:rsidRPr="000056B7">
        <w:rPr>
          <w:rFonts w:ascii="Arial" w:hAnsi="Arial" w:cs="Arial"/>
          <w:szCs w:val="24"/>
        </w:rPr>
        <w:t>Ladkin</w:t>
      </w:r>
      <w:proofErr w:type="spellEnd"/>
      <w:r w:rsidRPr="000056B7">
        <w:rPr>
          <w:rFonts w:ascii="Arial" w:hAnsi="Arial" w:cs="Arial"/>
          <w:szCs w:val="24"/>
        </w:rPr>
        <w:t xml:space="preserve">, A. (2015). Smart technologies for personalized experiences. </w:t>
      </w:r>
      <w:r w:rsidRPr="000056B7">
        <w:rPr>
          <w:rFonts w:ascii="Arial" w:hAnsi="Arial" w:cs="Arial"/>
          <w:i/>
          <w:iCs/>
          <w:szCs w:val="24"/>
        </w:rPr>
        <w:t>Tourism Management, 47</w:t>
      </w:r>
      <w:r w:rsidRPr="000056B7">
        <w:rPr>
          <w:rFonts w:ascii="Arial" w:hAnsi="Arial" w:cs="Arial"/>
          <w:szCs w:val="24"/>
        </w:rPr>
        <w:t>, 1–15. https://doi.org/10.1016/j.tourman.2014.09.010</w:t>
      </w:r>
    </w:p>
    <w:p w14:paraId="1CC5EF15"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OECD. (2021). </w:t>
      </w:r>
      <w:r w:rsidRPr="000056B7">
        <w:rPr>
          <w:rFonts w:ascii="Arial" w:hAnsi="Arial" w:cs="Arial"/>
          <w:i/>
          <w:iCs/>
          <w:szCs w:val="24"/>
        </w:rPr>
        <w:t>Consumer policy and fraud: Global developments</w:t>
      </w:r>
      <w:r w:rsidRPr="000056B7">
        <w:rPr>
          <w:rFonts w:ascii="Arial" w:hAnsi="Arial" w:cs="Arial"/>
          <w:szCs w:val="24"/>
        </w:rPr>
        <w:t xml:space="preserve">. Organisation for Economic Co-operation and Development. </w:t>
      </w:r>
      <w:hyperlink r:id="rId6" w:tgtFrame="_new" w:history="1">
        <w:r w:rsidRPr="000056B7">
          <w:rPr>
            <w:rStyle w:val="Hyperlink"/>
            <w:rFonts w:ascii="Arial" w:hAnsi="Arial" w:cs="Arial"/>
            <w:szCs w:val="24"/>
          </w:rPr>
          <w:t>https://www.oecd.org</w:t>
        </w:r>
      </w:hyperlink>
    </w:p>
    <w:p w14:paraId="7071B40B"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Page, S. J., &amp; Connell, J. (2020). </w:t>
      </w:r>
      <w:r w:rsidRPr="000056B7">
        <w:rPr>
          <w:rFonts w:ascii="Arial" w:hAnsi="Arial" w:cs="Arial"/>
          <w:i/>
          <w:iCs/>
          <w:szCs w:val="24"/>
        </w:rPr>
        <w:t>Tourism: A modern synthesis</w:t>
      </w:r>
      <w:r w:rsidRPr="000056B7">
        <w:rPr>
          <w:rFonts w:ascii="Arial" w:hAnsi="Arial" w:cs="Arial"/>
          <w:szCs w:val="24"/>
        </w:rPr>
        <w:t xml:space="preserve"> (5th ed.). Cengage Learning.</w:t>
      </w:r>
    </w:p>
    <w:p w14:paraId="55150BC5" w14:textId="77777777" w:rsidR="000056B7" w:rsidRPr="000056B7" w:rsidRDefault="000056B7" w:rsidP="000056B7">
      <w:pPr>
        <w:spacing w:line="480" w:lineRule="auto"/>
        <w:rPr>
          <w:rFonts w:ascii="Arial" w:hAnsi="Arial" w:cs="Arial"/>
          <w:szCs w:val="24"/>
        </w:rPr>
      </w:pPr>
      <w:r w:rsidRPr="000056B7">
        <w:rPr>
          <w:rFonts w:ascii="Arial" w:hAnsi="Arial" w:cs="Arial"/>
          <w:szCs w:val="24"/>
        </w:rPr>
        <w:lastRenderedPageBreak/>
        <w:t xml:space="preserve">Sigala, M. (2018). Market formation in the sharing economy. </w:t>
      </w:r>
      <w:r w:rsidRPr="000056B7">
        <w:rPr>
          <w:rFonts w:ascii="Arial" w:hAnsi="Arial" w:cs="Arial"/>
          <w:i/>
          <w:iCs/>
          <w:szCs w:val="24"/>
        </w:rPr>
        <w:t>Electronic Markets, 28</w:t>
      </w:r>
      <w:r w:rsidRPr="000056B7">
        <w:rPr>
          <w:rFonts w:ascii="Arial" w:hAnsi="Arial" w:cs="Arial"/>
          <w:szCs w:val="24"/>
        </w:rPr>
        <w:t>(4), 371–379. https://doi.org/10.1007/s12525-018-0301-0</w:t>
      </w:r>
    </w:p>
    <w:p w14:paraId="2371757C"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Spencer, J. (2020). Consumer redress mechanisms in tourism services. </w:t>
      </w:r>
      <w:r w:rsidRPr="000056B7">
        <w:rPr>
          <w:rFonts w:ascii="Arial" w:hAnsi="Arial" w:cs="Arial"/>
          <w:i/>
          <w:iCs/>
          <w:szCs w:val="24"/>
        </w:rPr>
        <w:t>International Journal of Consumer Studies, 44</w:t>
      </w:r>
      <w:r w:rsidRPr="000056B7">
        <w:rPr>
          <w:rFonts w:ascii="Arial" w:hAnsi="Arial" w:cs="Arial"/>
          <w:szCs w:val="24"/>
        </w:rPr>
        <w:t>(3), 247–258. https://doi.org/10.1111/ijcs.12563</w:t>
      </w:r>
    </w:p>
    <w:p w14:paraId="52B4E59F"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Wilks, J., &amp; Pendergast, D. (2017). </w:t>
      </w:r>
      <w:r w:rsidRPr="000056B7">
        <w:rPr>
          <w:rFonts w:ascii="Arial" w:hAnsi="Arial" w:cs="Arial"/>
          <w:i/>
          <w:iCs/>
          <w:szCs w:val="24"/>
        </w:rPr>
        <w:t>Tourism in turbulent times: Towards safe experiences for visitors</w:t>
      </w:r>
      <w:r w:rsidRPr="000056B7">
        <w:rPr>
          <w:rFonts w:ascii="Arial" w:hAnsi="Arial" w:cs="Arial"/>
          <w:szCs w:val="24"/>
        </w:rPr>
        <w:t>. Routledge. https://doi.org/10.4324/9780203786240</w:t>
      </w:r>
    </w:p>
    <w:p w14:paraId="00D9DADC"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Xiang, Z., &amp; </w:t>
      </w:r>
      <w:proofErr w:type="spellStart"/>
      <w:r w:rsidRPr="000056B7">
        <w:rPr>
          <w:rFonts w:ascii="Arial" w:hAnsi="Arial" w:cs="Arial"/>
          <w:szCs w:val="24"/>
        </w:rPr>
        <w:t>Gretzel</w:t>
      </w:r>
      <w:proofErr w:type="spellEnd"/>
      <w:r w:rsidRPr="000056B7">
        <w:rPr>
          <w:rFonts w:ascii="Arial" w:hAnsi="Arial" w:cs="Arial"/>
          <w:szCs w:val="24"/>
        </w:rPr>
        <w:t xml:space="preserve">, U. (2010). Role of social media in online travel information search. </w:t>
      </w:r>
      <w:r w:rsidRPr="000056B7">
        <w:rPr>
          <w:rFonts w:ascii="Arial" w:hAnsi="Arial" w:cs="Arial"/>
          <w:i/>
          <w:iCs/>
          <w:szCs w:val="24"/>
        </w:rPr>
        <w:t>Tourism Management, 31</w:t>
      </w:r>
      <w:r w:rsidRPr="000056B7">
        <w:rPr>
          <w:rFonts w:ascii="Arial" w:hAnsi="Arial" w:cs="Arial"/>
          <w:szCs w:val="24"/>
        </w:rPr>
        <w:t xml:space="preserve">(2), 179–188. </w:t>
      </w:r>
      <w:hyperlink r:id="rId7" w:tgtFrame="_new" w:history="1">
        <w:r w:rsidRPr="000056B7">
          <w:rPr>
            <w:rStyle w:val="Hyperlink"/>
            <w:rFonts w:ascii="Arial" w:hAnsi="Arial" w:cs="Arial"/>
            <w:szCs w:val="24"/>
          </w:rPr>
          <w:t>https://doi.org/10.1016/j.tourman.2009.02.016</w:t>
        </w:r>
      </w:hyperlink>
    </w:p>
    <w:p w14:paraId="40ADD215"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Zhang, M., &amp; Cole, S. (2016). Tourism and consumer vulnerability. </w:t>
      </w:r>
      <w:r w:rsidRPr="000056B7">
        <w:rPr>
          <w:rFonts w:ascii="Arial" w:hAnsi="Arial" w:cs="Arial"/>
          <w:i/>
          <w:iCs/>
          <w:szCs w:val="24"/>
        </w:rPr>
        <w:t>Annals of Tourism Research, 61</w:t>
      </w:r>
      <w:r w:rsidRPr="000056B7">
        <w:rPr>
          <w:rFonts w:ascii="Arial" w:hAnsi="Arial" w:cs="Arial"/>
          <w:szCs w:val="24"/>
        </w:rPr>
        <w:t>, 94–108. https://doi.org/10.1016/j.annals.2016.08.004</w:t>
      </w:r>
    </w:p>
    <w:p w14:paraId="67615741"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European Parliament. (2021). </w:t>
      </w:r>
      <w:r w:rsidRPr="000056B7">
        <w:rPr>
          <w:rFonts w:ascii="Arial" w:hAnsi="Arial" w:cs="Arial"/>
          <w:i/>
          <w:iCs/>
          <w:szCs w:val="24"/>
        </w:rPr>
        <w:t>Consumer rights and protection in tourism services</w:t>
      </w:r>
      <w:r w:rsidRPr="000056B7">
        <w:rPr>
          <w:rFonts w:ascii="Arial" w:hAnsi="Arial" w:cs="Arial"/>
          <w:szCs w:val="24"/>
        </w:rPr>
        <w:t xml:space="preserve">. </w:t>
      </w:r>
      <w:hyperlink r:id="rId8" w:tgtFrame="_new" w:history="1">
        <w:r w:rsidRPr="000056B7">
          <w:rPr>
            <w:rStyle w:val="Hyperlink"/>
            <w:rFonts w:ascii="Arial" w:hAnsi="Arial" w:cs="Arial"/>
            <w:szCs w:val="24"/>
          </w:rPr>
          <w:t>https://www.europarl.europa.eu</w:t>
        </w:r>
      </w:hyperlink>
    </w:p>
    <w:p w14:paraId="1C5D45F0" w14:textId="77777777" w:rsidR="000056B7" w:rsidRPr="000056B7" w:rsidRDefault="000056B7" w:rsidP="000056B7">
      <w:pPr>
        <w:spacing w:line="480" w:lineRule="auto"/>
        <w:rPr>
          <w:rFonts w:ascii="Arial" w:hAnsi="Arial" w:cs="Arial"/>
          <w:szCs w:val="24"/>
        </w:rPr>
      </w:pPr>
      <w:r w:rsidRPr="000056B7">
        <w:rPr>
          <w:rFonts w:ascii="Arial" w:hAnsi="Arial" w:cs="Arial"/>
          <w:szCs w:val="24"/>
        </w:rPr>
        <w:t xml:space="preserve">UN World Tourism Organization. (2021). </w:t>
      </w:r>
      <w:r w:rsidRPr="000056B7">
        <w:rPr>
          <w:rFonts w:ascii="Arial" w:hAnsi="Arial" w:cs="Arial"/>
          <w:i/>
          <w:iCs/>
          <w:szCs w:val="24"/>
        </w:rPr>
        <w:t>International code for the protection of tourists</w:t>
      </w:r>
      <w:r w:rsidRPr="000056B7">
        <w:rPr>
          <w:rFonts w:ascii="Arial" w:hAnsi="Arial" w:cs="Arial"/>
          <w:szCs w:val="24"/>
        </w:rPr>
        <w:t xml:space="preserve">. </w:t>
      </w:r>
      <w:hyperlink r:id="rId9" w:tgtFrame="_new" w:history="1">
        <w:r w:rsidRPr="000056B7">
          <w:rPr>
            <w:rStyle w:val="Hyperlink"/>
            <w:rFonts w:ascii="Arial" w:hAnsi="Arial" w:cs="Arial"/>
            <w:szCs w:val="24"/>
          </w:rPr>
          <w:t>https://www.unwto.org</w:t>
        </w:r>
      </w:hyperlink>
    </w:p>
    <w:p w14:paraId="3EDD112B" w14:textId="79429316" w:rsidR="00DB0773" w:rsidRPr="00DB0773" w:rsidRDefault="00DB0773" w:rsidP="000056B7">
      <w:pPr>
        <w:spacing w:line="480" w:lineRule="auto"/>
        <w:rPr>
          <w:rFonts w:ascii="Arial" w:hAnsi="Arial" w:cs="Arial"/>
          <w:szCs w:val="24"/>
        </w:rPr>
      </w:pPr>
    </w:p>
    <w:sectPr w:rsidR="00DB0773" w:rsidRPr="00DB07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515D8"/>
    <w:multiLevelType w:val="multilevel"/>
    <w:tmpl w:val="49A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2006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773"/>
    <w:rsid w:val="000056B7"/>
    <w:rsid w:val="004F735A"/>
    <w:rsid w:val="00722A27"/>
    <w:rsid w:val="009551BB"/>
    <w:rsid w:val="00DB077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A575"/>
  <w15:chartTrackingRefBased/>
  <w15:docId w15:val="{79DD0C6A-67D1-48B7-8CA1-E0B05A735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773"/>
  </w:style>
  <w:style w:type="paragraph" w:styleId="Heading1">
    <w:name w:val="heading 1"/>
    <w:basedOn w:val="Normal"/>
    <w:next w:val="Normal"/>
    <w:link w:val="Heading1Char"/>
    <w:uiPriority w:val="9"/>
    <w:qFormat/>
    <w:rsid w:val="00DB077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DB077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B077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B07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07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07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07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07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07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77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DB077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B077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B07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07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07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7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7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773"/>
    <w:rPr>
      <w:rFonts w:eastAsiaTheme="majorEastAsia" w:cstheme="majorBidi"/>
      <w:color w:val="272727" w:themeColor="text1" w:themeTint="D8"/>
    </w:rPr>
  </w:style>
  <w:style w:type="paragraph" w:styleId="Title">
    <w:name w:val="Title"/>
    <w:basedOn w:val="Normal"/>
    <w:next w:val="Normal"/>
    <w:link w:val="TitleChar"/>
    <w:uiPriority w:val="10"/>
    <w:qFormat/>
    <w:rsid w:val="00DB077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B077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B077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B077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B0773"/>
    <w:pPr>
      <w:spacing w:before="160"/>
      <w:jc w:val="center"/>
    </w:pPr>
    <w:rPr>
      <w:i/>
      <w:iCs/>
      <w:color w:val="404040" w:themeColor="text1" w:themeTint="BF"/>
    </w:rPr>
  </w:style>
  <w:style w:type="character" w:customStyle="1" w:styleId="QuoteChar">
    <w:name w:val="Quote Char"/>
    <w:basedOn w:val="DefaultParagraphFont"/>
    <w:link w:val="Quote"/>
    <w:uiPriority w:val="29"/>
    <w:rsid w:val="00DB0773"/>
    <w:rPr>
      <w:i/>
      <w:iCs/>
      <w:color w:val="404040" w:themeColor="text1" w:themeTint="BF"/>
    </w:rPr>
  </w:style>
  <w:style w:type="paragraph" w:styleId="ListParagraph">
    <w:name w:val="List Paragraph"/>
    <w:basedOn w:val="Normal"/>
    <w:uiPriority w:val="34"/>
    <w:qFormat/>
    <w:rsid w:val="00DB0773"/>
    <w:pPr>
      <w:ind w:left="720"/>
      <w:contextualSpacing/>
    </w:pPr>
  </w:style>
  <w:style w:type="character" w:styleId="IntenseEmphasis">
    <w:name w:val="Intense Emphasis"/>
    <w:basedOn w:val="DefaultParagraphFont"/>
    <w:uiPriority w:val="21"/>
    <w:qFormat/>
    <w:rsid w:val="00DB0773"/>
    <w:rPr>
      <w:i/>
      <w:iCs/>
      <w:color w:val="0F4761" w:themeColor="accent1" w:themeShade="BF"/>
    </w:rPr>
  </w:style>
  <w:style w:type="paragraph" w:styleId="IntenseQuote">
    <w:name w:val="Intense Quote"/>
    <w:basedOn w:val="Normal"/>
    <w:next w:val="Normal"/>
    <w:link w:val="IntenseQuoteChar"/>
    <w:uiPriority w:val="30"/>
    <w:qFormat/>
    <w:rsid w:val="00DB07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0773"/>
    <w:rPr>
      <w:i/>
      <w:iCs/>
      <w:color w:val="0F4761" w:themeColor="accent1" w:themeShade="BF"/>
    </w:rPr>
  </w:style>
  <w:style w:type="character" w:styleId="IntenseReference">
    <w:name w:val="Intense Reference"/>
    <w:basedOn w:val="DefaultParagraphFont"/>
    <w:uiPriority w:val="32"/>
    <w:qFormat/>
    <w:rsid w:val="00DB0773"/>
    <w:rPr>
      <w:b/>
      <w:bCs/>
      <w:smallCaps/>
      <w:color w:val="0F4761" w:themeColor="accent1" w:themeShade="BF"/>
      <w:spacing w:val="5"/>
    </w:rPr>
  </w:style>
  <w:style w:type="paragraph" w:styleId="TOCHeading">
    <w:name w:val="TOC Heading"/>
    <w:basedOn w:val="Heading1"/>
    <w:next w:val="Normal"/>
    <w:uiPriority w:val="39"/>
    <w:unhideWhenUsed/>
    <w:qFormat/>
    <w:rsid w:val="00DB0773"/>
    <w:pPr>
      <w:spacing w:before="240" w:after="0" w:line="259" w:lineRule="auto"/>
      <w:outlineLvl w:val="9"/>
    </w:pPr>
    <w:rPr>
      <w:kern w:val="0"/>
      <w:sz w:val="32"/>
      <w:szCs w:val="32"/>
      <w:lang w:val="en-US" w:bidi="ar-SA"/>
      <w14:ligatures w14:val="none"/>
    </w:rPr>
  </w:style>
  <w:style w:type="character" w:styleId="Hyperlink">
    <w:name w:val="Hyperlink"/>
    <w:basedOn w:val="DefaultParagraphFont"/>
    <w:uiPriority w:val="99"/>
    <w:unhideWhenUsed/>
    <w:rsid w:val="00DB0773"/>
    <w:rPr>
      <w:color w:val="467886" w:themeColor="hyperlink"/>
      <w:u w:val="single"/>
    </w:rPr>
  </w:style>
  <w:style w:type="paragraph" w:styleId="TOC1">
    <w:name w:val="toc 1"/>
    <w:basedOn w:val="Normal"/>
    <w:next w:val="Normal"/>
    <w:autoRedefine/>
    <w:uiPriority w:val="39"/>
    <w:unhideWhenUsed/>
    <w:rsid w:val="00DB0773"/>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722A27"/>
    <w:rPr>
      <w:rFonts w:ascii="Times New Roman" w:hAnsi="Times New Roman" w:cs="Mangal"/>
    </w:rPr>
  </w:style>
  <w:style w:type="character" w:styleId="UnresolvedMention">
    <w:name w:val="Unresolved Mention"/>
    <w:basedOn w:val="DefaultParagraphFont"/>
    <w:uiPriority w:val="99"/>
    <w:semiHidden/>
    <w:unhideWhenUsed/>
    <w:rsid w:val="00005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parl.europa.eu" TargetMode="External"/><Relationship Id="rId3" Type="http://schemas.openxmlformats.org/officeDocument/2006/relationships/settings" Target="settings.xml"/><Relationship Id="rId7" Type="http://schemas.openxmlformats.org/officeDocument/2006/relationships/hyperlink" Target="https://doi.org/10.1016/j.tourman.2009.02.0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ecd.org"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n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4454</Words>
  <Characters>25391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2026-02-05T14:01:00Z</dcterms:created>
  <dcterms:modified xsi:type="dcterms:W3CDTF">2026-02-05T14:11:00Z</dcterms:modified>
</cp:coreProperties>
</file>