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F3FDA" w:rsidRPr="008F3FDA" w:rsidRDefault="008F3FDA" w:rsidP="008F3FDA">
      <w:pPr>
        <w:jc w:val="both"/>
        <w:rPr>
          <w:rFonts w:ascii="Arial" w:hAnsi="Arial" w:cs="Arial"/>
          <w:sz w:val="24"/>
          <w:szCs w:val="24"/>
          <w:lang w:val="en-US"/>
        </w:rPr>
      </w:pPr>
      <w:r w:rsidRPr="008F3FDA">
        <w:rPr>
          <w:rFonts w:ascii="Arial" w:hAnsi="Arial" w:cs="Arial"/>
          <w:noProof/>
          <w:sz w:val="24"/>
          <w:szCs w:val="24"/>
          <w:lang w:val="en-US"/>
        </w:rPr>
        <w:drawing>
          <wp:anchor distT="0" distB="0" distL="114300" distR="114300" simplePos="0" relativeHeight="251659776" behindDoc="1" locked="0" layoutInCell="1" allowOverlap="1" wp14:anchorId="5626C719" wp14:editId="28B0F98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8F3FDA" w:rsidRPr="008F3FDA" w:rsidRDefault="008F3FDA" w:rsidP="008F3FDA">
      <w:pPr>
        <w:jc w:val="both"/>
        <w:rPr>
          <w:rFonts w:ascii="Arial" w:hAnsi="Arial" w:cs="Arial"/>
          <w:b/>
          <w:bCs/>
          <w:sz w:val="24"/>
          <w:szCs w:val="24"/>
          <w:lang w:val="en-US"/>
        </w:rPr>
      </w:pPr>
      <w:r w:rsidRPr="008F3FDA">
        <w:rPr>
          <w:rFonts w:ascii="Arial" w:hAnsi="Arial" w:cs="Arial"/>
          <w:b/>
          <w:bCs/>
          <w:sz w:val="24"/>
          <w:szCs w:val="24"/>
          <w:lang w:val="en-US"/>
        </w:rPr>
        <w:t>Availability Management in Tourism Course</w:t>
      </w:r>
    </w:p>
    <w:p w:rsidR="008F3FDA" w:rsidRPr="008F3FDA" w:rsidRDefault="008F3FDA" w:rsidP="008F3FDA">
      <w:pPr>
        <w:jc w:val="both"/>
        <w:rPr>
          <w:rFonts w:ascii="Arial" w:hAnsi="Arial" w:cs="Arial"/>
          <w:sz w:val="24"/>
          <w:szCs w:val="24"/>
          <w:lang w:val="en-US"/>
        </w:rPr>
      </w:pPr>
      <w:r w:rsidRPr="008F3FDA">
        <w:rPr>
          <w:rFonts w:ascii="Arial" w:hAnsi="Arial" w:cs="Arial"/>
          <w:sz w:val="24"/>
          <w:szCs w:val="24"/>
          <w:lang w:val="en-US"/>
        </w:rPr>
        <w:t>Assignment 1</w:t>
      </w:r>
    </w:p>
    <w:p w:rsidR="008F3FDA" w:rsidRPr="008F3FDA" w:rsidRDefault="008F3FDA" w:rsidP="008F3FDA">
      <w:pPr>
        <w:jc w:val="both"/>
        <w:rPr>
          <w:rFonts w:ascii="Arial" w:hAnsi="Arial" w:cs="Arial"/>
          <w:sz w:val="24"/>
          <w:szCs w:val="24"/>
          <w:lang w:val="en-US"/>
        </w:rPr>
      </w:pPr>
      <w:r w:rsidRPr="008F3FDA">
        <w:rPr>
          <w:rFonts w:ascii="Arial" w:hAnsi="Arial" w:cs="Arial"/>
          <w:sz w:val="24"/>
          <w:szCs w:val="24"/>
          <w:lang w:val="en-US"/>
        </w:rPr>
        <w:t>04.07.2025</w:t>
      </w:r>
    </w:p>
    <w:p w:rsidR="008F3FDA" w:rsidRPr="008F3FDA" w:rsidRDefault="008F3FDA" w:rsidP="008F3FDA">
      <w:pPr>
        <w:jc w:val="both"/>
        <w:rPr>
          <w:rFonts w:ascii="Arial" w:hAnsi="Arial" w:cs="Arial"/>
          <w:sz w:val="24"/>
          <w:szCs w:val="24"/>
        </w:rPr>
      </w:pPr>
    </w:p>
    <w:p w:rsidR="008F3FDA" w:rsidRPr="008F3FDA" w:rsidRDefault="008F3FDA" w:rsidP="008F3FDA">
      <w:pPr>
        <w:jc w:val="both"/>
        <w:rPr>
          <w:rFonts w:ascii="Arial" w:hAnsi="Arial" w:cs="Arial"/>
          <w:sz w:val="24"/>
          <w:szCs w:val="24"/>
        </w:rPr>
      </w:pPr>
    </w:p>
    <w:p w:rsidR="008F3FDA" w:rsidRPr="008F3FDA" w:rsidRDefault="008F3FDA" w:rsidP="008F3FDA">
      <w:pPr>
        <w:jc w:val="both"/>
        <w:rPr>
          <w:rFonts w:ascii="Arial" w:hAnsi="Arial" w:cs="Arial"/>
          <w:sz w:val="24"/>
          <w:szCs w:val="24"/>
        </w:rPr>
      </w:pPr>
    </w:p>
    <w:p w:rsidR="008F3FDA" w:rsidRPr="008F3FDA" w:rsidRDefault="008F3FDA" w:rsidP="008F3FDA">
      <w:pPr>
        <w:jc w:val="both"/>
        <w:rPr>
          <w:rFonts w:ascii="Arial" w:hAnsi="Arial" w:cs="Arial"/>
          <w:sz w:val="24"/>
          <w:szCs w:val="24"/>
        </w:rPr>
      </w:pPr>
    </w:p>
    <w:p w:rsidR="008F3FDA" w:rsidRPr="008F3FDA" w:rsidRDefault="008F3FDA" w:rsidP="008F3FDA">
      <w:pPr>
        <w:jc w:val="both"/>
        <w:rPr>
          <w:rFonts w:ascii="Arial" w:hAnsi="Arial" w:cs="Arial"/>
          <w:sz w:val="24"/>
          <w:szCs w:val="24"/>
        </w:rPr>
      </w:pPr>
      <w:r w:rsidRPr="008F3FDA">
        <w:rPr>
          <w:rFonts w:ascii="Arial" w:hAnsi="Arial" w:cs="Arial"/>
          <w:b/>
          <w:bCs/>
          <w:sz w:val="24"/>
          <w:szCs w:val="24"/>
        </w:rPr>
        <w:t>The Grand Tour and Its Impact on Tourism Development</w:t>
      </w:r>
    </w:p>
    <w:p w:rsidR="008F3FDA" w:rsidRPr="008F3FDA" w:rsidRDefault="008F3FDA" w:rsidP="008F3FDA">
      <w:pPr>
        <w:jc w:val="both"/>
        <w:rPr>
          <w:rFonts w:ascii="Arial" w:hAnsi="Arial" w:cs="Arial"/>
          <w:sz w:val="24"/>
          <w:szCs w:val="24"/>
        </w:rPr>
      </w:pPr>
      <w:r w:rsidRPr="008F3FDA">
        <w:rPr>
          <w:rFonts w:ascii="Arial" w:hAnsi="Arial" w:cs="Arial"/>
          <w:sz w:val="24"/>
          <w:szCs w:val="24"/>
        </w:rPr>
        <w:t>The Grand Tour was a traditional journey across Europe, primarily undertaken by upper-class young men from Britain and other parts of Western Europe between the 17th and 19th centuries. Its primary purpose was educational and cultural, offering exposure to classical art, architecture, history, and refined social customs. Destinations such as Rome, Florence, Venice, and Paris were considered essential stops (Towner, 1985).</w:t>
      </w:r>
    </w:p>
    <w:p w:rsidR="008F3FDA" w:rsidRPr="008F3FDA" w:rsidRDefault="008F3FDA" w:rsidP="008F3FDA">
      <w:pPr>
        <w:jc w:val="both"/>
        <w:rPr>
          <w:rFonts w:ascii="Arial" w:hAnsi="Arial" w:cs="Arial"/>
          <w:sz w:val="24"/>
          <w:szCs w:val="24"/>
        </w:rPr>
      </w:pPr>
      <w:r w:rsidRPr="008F3FDA">
        <w:rPr>
          <w:rFonts w:ascii="Arial" w:hAnsi="Arial" w:cs="Arial"/>
          <w:sz w:val="24"/>
          <w:szCs w:val="24"/>
        </w:rPr>
        <w:t>A defining feature of the Grand Tour was its role as an extension of formal education. Many participants had completed university studies and undertook the tour to broaden their intellectual and cultural horizons. Accompanied by tutors or guardians, travelers were expected to study languages, observe political institutions, and appreciate fine art and architecture (Black, 1992). The Tour served not only as a journey of learning but also of self-cultivation and social positioning.</w:t>
      </w:r>
    </w:p>
    <w:p w:rsidR="008F3FDA" w:rsidRPr="008F3FDA" w:rsidRDefault="008F3FDA" w:rsidP="008F3FDA">
      <w:pPr>
        <w:jc w:val="both"/>
        <w:rPr>
          <w:rFonts w:ascii="Arial" w:hAnsi="Arial" w:cs="Arial"/>
          <w:sz w:val="24"/>
          <w:szCs w:val="24"/>
        </w:rPr>
      </w:pPr>
      <w:r w:rsidRPr="008F3FDA">
        <w:rPr>
          <w:rFonts w:ascii="Arial" w:hAnsi="Arial" w:cs="Arial"/>
          <w:sz w:val="24"/>
          <w:szCs w:val="24"/>
        </w:rPr>
        <w:t>Exclusivity was another key characteristic. The Grand Tour was almost entirely reserved for aristocratic males, reinforcing its association with wealth, privilege, and elite social status (Brodsky-Porges, 1981). Women rarely participated, and when they did, it was under strict supervision. Travel was slow, expensive, and often dangerous, further restricting access to the upper echelons of society.</w:t>
      </w:r>
    </w:p>
    <w:p w:rsidR="008F3FDA" w:rsidRPr="008F3FDA" w:rsidRDefault="008F3FDA" w:rsidP="008F3FDA">
      <w:pPr>
        <w:jc w:val="both"/>
        <w:rPr>
          <w:rFonts w:ascii="Arial" w:hAnsi="Arial" w:cs="Arial"/>
          <w:sz w:val="24"/>
          <w:szCs w:val="24"/>
        </w:rPr>
      </w:pPr>
      <w:r w:rsidRPr="008F3FDA">
        <w:rPr>
          <w:rFonts w:ascii="Arial" w:hAnsi="Arial" w:cs="Arial"/>
          <w:sz w:val="24"/>
          <w:szCs w:val="24"/>
        </w:rPr>
        <w:t>The Grand Tour had a profound and lasting impact on the development of modern tourism. It was among the first travel movements based on leisure, education, and personal growth, rather than necessity, commerce, or pilgrimage (Seaton, 1996). The structure and intentions behind these journeys helped shape the idea of travel as a cultural and intellectual pursuit. Moreover, the Grand Tour stimulated the demand for guidebooks, interpreters, travel routes, and accommodations, fostering the early growth of tourism infrastructure (Towner, 1985).</w:t>
      </w:r>
    </w:p>
    <w:p w:rsidR="008F3FDA" w:rsidRPr="008F3FDA" w:rsidRDefault="008F3FDA" w:rsidP="008F3FDA">
      <w:pPr>
        <w:jc w:val="both"/>
        <w:rPr>
          <w:rFonts w:ascii="Arial" w:hAnsi="Arial" w:cs="Arial"/>
          <w:sz w:val="24"/>
          <w:szCs w:val="24"/>
        </w:rPr>
      </w:pPr>
      <w:r w:rsidRPr="008F3FDA">
        <w:rPr>
          <w:rFonts w:ascii="Arial" w:hAnsi="Arial" w:cs="Arial"/>
          <w:sz w:val="24"/>
          <w:szCs w:val="24"/>
        </w:rPr>
        <w:t>The Tour also contributed to local economies, especially in Italy and France. Travelers often commissioned portraits, purchased artwork, and collected antiquities, supporting artisans and promoting cultural preservation (Sweet, 2012). The concept of “must-see” sites—such as the ruins of Rome or the canals of Venice—emerged during this era and continues to influence contemporary tourist behavior.</w:t>
      </w:r>
    </w:p>
    <w:p w:rsidR="008F3FDA" w:rsidRPr="008F3FDA" w:rsidRDefault="008F3FDA" w:rsidP="008F3FDA">
      <w:pPr>
        <w:jc w:val="both"/>
        <w:rPr>
          <w:rFonts w:ascii="Arial" w:hAnsi="Arial" w:cs="Arial"/>
          <w:sz w:val="24"/>
          <w:szCs w:val="24"/>
        </w:rPr>
      </w:pPr>
      <w:r w:rsidRPr="008F3FDA">
        <w:rPr>
          <w:rFonts w:ascii="Arial" w:hAnsi="Arial" w:cs="Arial"/>
          <w:sz w:val="24"/>
          <w:szCs w:val="24"/>
        </w:rPr>
        <w:lastRenderedPageBreak/>
        <w:t>In the 19th century, technological developments such as the railway and steamship transformed travel. The Grand Tour's ideals began to trickle down to the growing middle class. Travel companies like Thomas Cook capitalized on this shift, offering guided tours that echoed the routes and cultural goals of the original Grand Tour (Buzard, 1993). This marked the beginning of mass tourism, yet the Tour’s emphasis on culture, education, and prestige remained central.</w:t>
      </w:r>
    </w:p>
    <w:p w:rsidR="008F3FDA" w:rsidRPr="008F3FDA" w:rsidRDefault="008F3FDA" w:rsidP="008F3FDA">
      <w:pPr>
        <w:jc w:val="both"/>
        <w:rPr>
          <w:rFonts w:ascii="Arial" w:hAnsi="Arial" w:cs="Arial"/>
          <w:sz w:val="24"/>
          <w:szCs w:val="24"/>
        </w:rPr>
      </w:pPr>
      <w:r w:rsidRPr="008F3FDA">
        <w:rPr>
          <w:rFonts w:ascii="Arial" w:hAnsi="Arial" w:cs="Arial"/>
          <w:sz w:val="24"/>
          <w:szCs w:val="24"/>
        </w:rPr>
        <w:t>In conclusion, the Grand Tour was a pivotal moment in the history of tourism. It helped redefine travel as a tool for self-improvement and cultural exchange, laying the foundation for modern leisure tourism. Its legacy endures in how we conceptualize travel today—as both an educational experience and a form of cultural consumption.</w:t>
      </w:r>
    </w:p>
    <w:p w:rsidR="008F3FDA" w:rsidRPr="008F3FDA" w:rsidRDefault="00000000" w:rsidP="008F3FDA">
      <w:pPr>
        <w:jc w:val="both"/>
        <w:rPr>
          <w:rFonts w:ascii="Arial" w:hAnsi="Arial" w:cs="Arial"/>
          <w:sz w:val="24"/>
          <w:szCs w:val="24"/>
        </w:rPr>
      </w:pPr>
      <w:r>
        <w:rPr>
          <w:rFonts w:ascii="Arial" w:hAnsi="Arial" w:cs="Arial"/>
          <w:sz w:val="24"/>
          <w:szCs w:val="24"/>
        </w:rPr>
        <w:pict>
          <v:rect id="_x0000_i1025" style="width:0;height:1.5pt" o:hralign="center" o:hrstd="t" o:hr="t" fillcolor="#a0a0a0" stroked="f"/>
        </w:pict>
      </w:r>
    </w:p>
    <w:p w:rsidR="008F3FDA" w:rsidRPr="008F3FDA" w:rsidRDefault="008F3FDA" w:rsidP="008F3FDA">
      <w:pPr>
        <w:jc w:val="both"/>
        <w:rPr>
          <w:rFonts w:ascii="Arial" w:hAnsi="Arial" w:cs="Arial"/>
          <w:sz w:val="24"/>
          <w:szCs w:val="24"/>
        </w:rPr>
      </w:pPr>
    </w:p>
    <w:p w:rsidR="008F3FDA" w:rsidRPr="008F3FDA" w:rsidRDefault="008F3FDA" w:rsidP="008F3FDA">
      <w:pPr>
        <w:jc w:val="both"/>
        <w:rPr>
          <w:rFonts w:ascii="Arial" w:hAnsi="Arial" w:cs="Arial"/>
          <w:sz w:val="24"/>
          <w:szCs w:val="24"/>
        </w:rPr>
      </w:pPr>
      <w:r w:rsidRPr="008F3FDA">
        <w:rPr>
          <w:rFonts w:ascii="Arial" w:hAnsi="Arial" w:cs="Arial"/>
          <w:b/>
          <w:bCs/>
          <w:sz w:val="24"/>
          <w:szCs w:val="24"/>
        </w:rPr>
        <w:t>The Industrial Revolution and Its Impact on the Development of the Tourism Industry</w:t>
      </w:r>
    </w:p>
    <w:p w:rsidR="008F3FDA" w:rsidRPr="008F3FDA" w:rsidRDefault="008F3FDA" w:rsidP="008F3FDA">
      <w:pPr>
        <w:jc w:val="both"/>
        <w:rPr>
          <w:rFonts w:ascii="Arial" w:hAnsi="Arial" w:cs="Arial"/>
          <w:sz w:val="24"/>
          <w:szCs w:val="24"/>
        </w:rPr>
      </w:pPr>
      <w:r w:rsidRPr="008F3FDA">
        <w:rPr>
          <w:rFonts w:ascii="Arial" w:hAnsi="Arial" w:cs="Arial"/>
          <w:sz w:val="24"/>
          <w:szCs w:val="24"/>
        </w:rPr>
        <w:t>The Industrial Revolution, which began in Britain in the late 18th century and spread throughout Europe and North America during the 19th century, played a crucial role in the development of the modern tourism industry. This period of rapid technological, economic, and social change created the conditions necessary for travel to transition from a luxury pursuit of the elite into a structured and accessible activity for the growing middle class (Towner and Wall, 1991).</w:t>
      </w:r>
    </w:p>
    <w:p w:rsidR="008F3FDA" w:rsidRPr="008F3FDA" w:rsidRDefault="008F3FDA" w:rsidP="008F3FDA">
      <w:pPr>
        <w:jc w:val="both"/>
        <w:rPr>
          <w:rFonts w:ascii="Arial" w:hAnsi="Arial" w:cs="Arial"/>
          <w:sz w:val="24"/>
          <w:szCs w:val="24"/>
        </w:rPr>
      </w:pPr>
      <w:r w:rsidRPr="008F3FDA">
        <w:rPr>
          <w:rFonts w:ascii="Arial" w:hAnsi="Arial" w:cs="Arial"/>
          <w:sz w:val="24"/>
          <w:szCs w:val="24"/>
        </w:rPr>
        <w:t>One of the most important contributions of the Industrial Revolution to tourism was the advancement in transportation. The invention and expansion of steam-powered railways and ships dramatically reduced travel time and costs. The railway network connected major urban centres with rural and coastal destinations, making travel more efficient, reliable, and affordable (Brendon, 1991). For the first time, ordinary people could journey beyond their local areas for leisure, thus expanding the scale and scope of domestic tourism (Walton, 2000).</w:t>
      </w:r>
    </w:p>
    <w:p w:rsidR="008F3FDA" w:rsidRPr="008F3FDA" w:rsidRDefault="008F3FDA" w:rsidP="008F3FDA">
      <w:pPr>
        <w:jc w:val="both"/>
        <w:rPr>
          <w:rFonts w:ascii="Arial" w:hAnsi="Arial" w:cs="Arial"/>
          <w:sz w:val="24"/>
          <w:szCs w:val="24"/>
        </w:rPr>
      </w:pPr>
      <w:r w:rsidRPr="008F3FDA">
        <w:rPr>
          <w:rFonts w:ascii="Arial" w:hAnsi="Arial" w:cs="Arial"/>
          <w:sz w:val="24"/>
          <w:szCs w:val="24"/>
        </w:rPr>
        <w:t>Urbanisation, another by-product of industrialisation, also influenced tourism development. As populations shifted from rural areas to industrial cities, there was a growing need for leisure and escape from polluted and crowded urban environments. Seaside resorts such as Brighton, Blackpool, and Scarborough flourished in Britain during the 19th century as people sought clean air and relaxation (Urry, 2002). These resorts were often supported by railway links, which made weekend and holiday travel accessible to the working and middle classes.</w:t>
      </w:r>
    </w:p>
    <w:p w:rsidR="008F3FDA" w:rsidRPr="008F3FDA" w:rsidRDefault="008F3FDA" w:rsidP="008F3FDA">
      <w:pPr>
        <w:jc w:val="both"/>
        <w:rPr>
          <w:rFonts w:ascii="Arial" w:hAnsi="Arial" w:cs="Arial"/>
          <w:sz w:val="24"/>
          <w:szCs w:val="24"/>
        </w:rPr>
      </w:pPr>
      <w:r w:rsidRPr="008F3FDA">
        <w:rPr>
          <w:rFonts w:ascii="Arial" w:hAnsi="Arial" w:cs="Arial"/>
          <w:sz w:val="24"/>
          <w:szCs w:val="24"/>
        </w:rPr>
        <w:t>The Industrial Revolution also contributed to a change in the structure of society. With the rise of a prosperous middle class and the introduction of paid holidays and shorter working hours—especially after the Factory Acts in the late 19th century—more people had the time and income to travel (Lowry, 1994). This demographic became a key driver in the expansion of the tourism industry, demanding accommodation, entertainment, and transportation services, thereby stimulating economic activity in tourist destinations.</w:t>
      </w:r>
    </w:p>
    <w:p w:rsidR="008F3FDA" w:rsidRPr="008F3FDA" w:rsidRDefault="008F3FDA" w:rsidP="008F3FDA">
      <w:pPr>
        <w:rPr>
          <w:rFonts w:ascii="Arial" w:hAnsi="Arial" w:cs="Arial"/>
          <w:sz w:val="24"/>
          <w:szCs w:val="24"/>
        </w:rPr>
      </w:pPr>
      <w:r w:rsidRPr="008F3FDA">
        <w:rPr>
          <w:rFonts w:ascii="Arial" w:hAnsi="Arial" w:cs="Arial"/>
          <w:sz w:val="24"/>
          <w:szCs w:val="24"/>
        </w:rPr>
        <w:lastRenderedPageBreak/>
        <w:t>Another major development was the growth of organized tourism. Visionaries like Thomas Cook capitalised on the technological and social changes brought about by industrialisation by offering package tours and group excursions for the general public. Cook’s first organized railway excursion took place in 1841, and by the 1850s he was offering trips across Europe (Buzard, 1993). This marked the beginning of commercial, mass-organised tourism and set the foundation for the travel agencies and tour operators of today.</w:t>
      </w:r>
    </w:p>
    <w:p w:rsidR="008F3FDA" w:rsidRPr="008F3FDA" w:rsidRDefault="008F3FDA" w:rsidP="008F3FDA">
      <w:pPr>
        <w:rPr>
          <w:rFonts w:ascii="Arial" w:hAnsi="Arial" w:cs="Arial"/>
          <w:sz w:val="24"/>
          <w:szCs w:val="24"/>
        </w:rPr>
      </w:pPr>
      <w:r w:rsidRPr="008F3FDA">
        <w:rPr>
          <w:rFonts w:ascii="Arial" w:hAnsi="Arial" w:cs="Arial"/>
          <w:sz w:val="24"/>
          <w:szCs w:val="24"/>
        </w:rPr>
        <w:t>In conclusion, the Industrial Revolution was a transformative force in the history of tourism. It revolutionised transportation, encouraged urban escape, altered work and leisure patterns, and introduced commercialised travel services. These developments laid the groundwork for the emergence of modern mass tourism, making travel an integral part of everyday life for a much wider segment of the population than ever before.</w:t>
      </w:r>
    </w:p>
    <w:p w:rsidR="008F3FDA" w:rsidRPr="008F3FDA" w:rsidRDefault="00000000" w:rsidP="008F3FDA">
      <w:pPr>
        <w:rPr>
          <w:rFonts w:ascii="Arial" w:hAnsi="Arial" w:cs="Arial"/>
          <w:sz w:val="24"/>
          <w:szCs w:val="24"/>
        </w:rPr>
      </w:pPr>
      <w:r>
        <w:rPr>
          <w:rFonts w:ascii="Arial" w:hAnsi="Arial" w:cs="Arial"/>
          <w:sz w:val="24"/>
          <w:szCs w:val="24"/>
        </w:rPr>
        <w:pict>
          <v:rect id="_x0000_i1026" style="width:0;height:1.5pt" o:hralign="center" o:hrstd="t" o:hr="t" fillcolor="#a0a0a0" stroked="f"/>
        </w:pict>
      </w:r>
    </w:p>
    <w:p w:rsidR="008F3FDA" w:rsidRPr="008F3FDA" w:rsidRDefault="008F3FDA" w:rsidP="008F3FDA">
      <w:pPr>
        <w:rPr>
          <w:rFonts w:ascii="Arial" w:hAnsi="Arial" w:cs="Arial"/>
          <w:sz w:val="24"/>
          <w:szCs w:val="24"/>
        </w:rPr>
      </w:pPr>
      <w:r w:rsidRPr="008F3FDA">
        <w:rPr>
          <w:rFonts w:ascii="Arial" w:hAnsi="Arial" w:cs="Arial"/>
          <w:b/>
          <w:bCs/>
          <w:sz w:val="24"/>
          <w:szCs w:val="24"/>
        </w:rPr>
        <w:t>The Relationship Between Accommodation Quality and Tourist Satisfaction</w:t>
      </w:r>
    </w:p>
    <w:p w:rsidR="008F3FDA" w:rsidRPr="008F3FDA" w:rsidRDefault="008F3FDA" w:rsidP="008F3FDA">
      <w:pPr>
        <w:rPr>
          <w:rFonts w:ascii="Arial" w:hAnsi="Arial" w:cs="Arial"/>
          <w:sz w:val="24"/>
          <w:szCs w:val="24"/>
        </w:rPr>
      </w:pPr>
      <w:r w:rsidRPr="008F3FDA">
        <w:rPr>
          <w:rFonts w:ascii="Arial" w:hAnsi="Arial" w:cs="Arial"/>
          <w:sz w:val="24"/>
          <w:szCs w:val="24"/>
        </w:rPr>
        <w:t>Accommodation plays a central role in shaping the overall tourist experience and is widely recognized as one of the most critical factors influencing tourist satisfaction. It is not only a basic necessity for travellers but also contributes significantly to their perception of service quality, value for money, and destination loyalty (Choi and Chu, 2001).</w:t>
      </w:r>
    </w:p>
    <w:p w:rsidR="008F3FDA" w:rsidRPr="008F3FDA" w:rsidRDefault="008F3FDA" w:rsidP="008F3FDA">
      <w:pPr>
        <w:rPr>
          <w:rFonts w:ascii="Arial" w:hAnsi="Arial" w:cs="Arial"/>
          <w:sz w:val="24"/>
          <w:szCs w:val="24"/>
        </w:rPr>
      </w:pPr>
      <w:r w:rsidRPr="008F3FDA">
        <w:rPr>
          <w:rFonts w:ascii="Arial" w:hAnsi="Arial" w:cs="Arial"/>
          <w:sz w:val="24"/>
          <w:szCs w:val="24"/>
        </w:rPr>
        <w:t>Quality in accommodation can be assessed across multiple dimensions, including cleanliness, comfort, staff behaviour, facilities, and location. These tangible and intangible elements combine to form a holistic impression of the accommodation service. Numerous studies have demonstrated that when these expectations are met or exceeded, tourist satisfaction increases, which in turn leads to positive word-of-mouth, repeat visits, and higher customer loyalty (Chen and Chen, 2010).</w:t>
      </w:r>
    </w:p>
    <w:p w:rsidR="008F3FDA" w:rsidRPr="008F3FDA" w:rsidRDefault="008F3FDA" w:rsidP="008F3FDA">
      <w:pPr>
        <w:rPr>
          <w:rFonts w:ascii="Arial" w:hAnsi="Arial" w:cs="Arial"/>
          <w:sz w:val="24"/>
          <w:szCs w:val="24"/>
        </w:rPr>
      </w:pPr>
      <w:r w:rsidRPr="008F3FDA">
        <w:rPr>
          <w:rFonts w:ascii="Arial" w:hAnsi="Arial" w:cs="Arial"/>
          <w:sz w:val="24"/>
          <w:szCs w:val="24"/>
        </w:rPr>
        <w:t>Cleanliness and hygiene are often cited as top priorities for tourists. Especially in the post-pandemic context, travellers place great importance on sanitary conditions, viewing them as indicators of professionalism and safety (Dolnicar, 2020). Poor hygiene can lead to dissatisfaction regardless of other positive attributes, highlighting the sensitivity of this factor in the overall quality equation.</w:t>
      </w:r>
    </w:p>
    <w:p w:rsidR="008F3FDA" w:rsidRPr="008F3FDA" w:rsidRDefault="008F3FDA" w:rsidP="008F3FDA">
      <w:pPr>
        <w:rPr>
          <w:rFonts w:ascii="Arial" w:hAnsi="Arial" w:cs="Arial"/>
          <w:sz w:val="24"/>
          <w:szCs w:val="24"/>
        </w:rPr>
      </w:pPr>
      <w:r w:rsidRPr="008F3FDA">
        <w:rPr>
          <w:rFonts w:ascii="Arial" w:hAnsi="Arial" w:cs="Arial"/>
          <w:sz w:val="24"/>
          <w:szCs w:val="24"/>
        </w:rPr>
        <w:t>Service quality, particularly the behaviour and attitude of staff, also plays a significant role. Friendly, helpful, and professional staff can enhance the perception of a hotel, making guests feel valued and respected (Knutson, 1988). On the other hand, negative interactions with personnel can diminish satisfaction even if the physical environment is satisfactory.</w:t>
      </w:r>
    </w:p>
    <w:p w:rsidR="008F3FDA" w:rsidRPr="008F3FDA" w:rsidRDefault="008F3FDA" w:rsidP="008F3FDA">
      <w:pPr>
        <w:rPr>
          <w:rFonts w:ascii="Arial" w:hAnsi="Arial" w:cs="Arial"/>
          <w:sz w:val="24"/>
          <w:szCs w:val="24"/>
        </w:rPr>
      </w:pPr>
      <w:r w:rsidRPr="008F3FDA">
        <w:rPr>
          <w:rFonts w:ascii="Arial" w:hAnsi="Arial" w:cs="Arial"/>
          <w:sz w:val="24"/>
          <w:szCs w:val="24"/>
        </w:rPr>
        <w:t>The physical attributes of accommodation—such as room size, bed comfort, Wi-Fi connectivity, and facilities—are also key contributors to perceived quality. As tourists increasingly compare options online, expectations regarding amenities and services are higher than ever (Radojevic, Stanisic and Stanic, 2015). Properties that fail to meet these expectations risk receiving negative reviews, which can significantly affect their reputation and future bookings.</w:t>
      </w:r>
    </w:p>
    <w:p w:rsidR="008F3FDA" w:rsidRPr="008F3FDA" w:rsidRDefault="008F3FDA" w:rsidP="008F3FDA">
      <w:pPr>
        <w:rPr>
          <w:rFonts w:ascii="Arial" w:hAnsi="Arial" w:cs="Arial"/>
          <w:sz w:val="24"/>
          <w:szCs w:val="24"/>
        </w:rPr>
      </w:pPr>
      <w:r w:rsidRPr="008F3FDA">
        <w:rPr>
          <w:rFonts w:ascii="Arial" w:hAnsi="Arial" w:cs="Arial"/>
          <w:sz w:val="24"/>
          <w:szCs w:val="24"/>
        </w:rPr>
        <w:lastRenderedPageBreak/>
        <w:t>Location is another critical factor. Accommodations located close to attractions, transport links, or city centres often report higher satisfaction levels. Accessibility and convenience are viewed as added value and can compensate for limitations in other areas of service (Tsang and Qu, 2000).</w:t>
      </w:r>
    </w:p>
    <w:p w:rsidR="008F3FDA" w:rsidRPr="008F3FDA" w:rsidRDefault="008F3FDA" w:rsidP="008F3FDA">
      <w:pPr>
        <w:rPr>
          <w:rFonts w:ascii="Arial" w:hAnsi="Arial" w:cs="Arial"/>
          <w:sz w:val="24"/>
          <w:szCs w:val="24"/>
        </w:rPr>
      </w:pPr>
      <w:r w:rsidRPr="008F3FDA">
        <w:rPr>
          <w:rFonts w:ascii="Arial" w:hAnsi="Arial" w:cs="Arial"/>
          <w:sz w:val="24"/>
          <w:szCs w:val="24"/>
        </w:rPr>
        <w:t>However, it is important to note that different tourist segments perceive quality differently. Budget travellers may focus more on value for money, while luxury travellers emphasize exclusivity and personalized service. Understanding these preferences is crucial for accommodation providers to tailor their offerings accordingly (Parasuraman, Zeithaml and Berry, 1988).</w:t>
      </w:r>
    </w:p>
    <w:p w:rsidR="008F3FDA" w:rsidRPr="008F3FDA" w:rsidRDefault="008F3FDA" w:rsidP="008F3FDA">
      <w:pPr>
        <w:rPr>
          <w:rFonts w:ascii="Arial" w:hAnsi="Arial" w:cs="Arial"/>
          <w:sz w:val="24"/>
          <w:szCs w:val="24"/>
        </w:rPr>
      </w:pPr>
      <w:r w:rsidRPr="008F3FDA">
        <w:rPr>
          <w:rFonts w:ascii="Arial" w:hAnsi="Arial" w:cs="Arial"/>
          <w:sz w:val="24"/>
          <w:szCs w:val="24"/>
        </w:rPr>
        <w:t>In conclusion, accommodation quality is intrinsically linked to tourist satisfaction. High-quality accommodation contributes to a positive travel experience, improves destination competitiveness, and enhances customer retention. Therefore, maintaining and continuously improving service standards, staff training, and facilities are essential strategies for accommodation providers aiming to meet evolving tourist expectations.</w:t>
      </w:r>
    </w:p>
    <w:p w:rsidR="008F3FDA" w:rsidRPr="008F3FDA" w:rsidRDefault="00000000" w:rsidP="008F3FDA">
      <w:pPr>
        <w:rPr>
          <w:rFonts w:ascii="Arial" w:hAnsi="Arial" w:cs="Arial"/>
          <w:sz w:val="24"/>
          <w:szCs w:val="24"/>
        </w:rPr>
      </w:pPr>
      <w:r>
        <w:rPr>
          <w:rFonts w:ascii="Arial" w:hAnsi="Arial" w:cs="Arial"/>
          <w:sz w:val="24"/>
          <w:szCs w:val="24"/>
        </w:rPr>
        <w:pict>
          <v:rect id="_x0000_i1027" style="width:0;height:1.5pt" o:hralign="center" o:hrstd="t" o:hr="t" fillcolor="#a0a0a0" stroked="f"/>
        </w:pict>
      </w:r>
    </w:p>
    <w:p w:rsidR="008F3FDA" w:rsidRDefault="008F3FDA">
      <w:pPr>
        <w:rPr>
          <w:rFonts w:ascii="Arial" w:hAnsi="Arial" w:cs="Arial"/>
          <w:sz w:val="24"/>
          <w:szCs w:val="24"/>
        </w:rPr>
      </w:pPr>
    </w:p>
    <w:p w:rsidR="008F3FDA" w:rsidRDefault="008F3FDA">
      <w:pPr>
        <w:rPr>
          <w:rFonts w:ascii="Arial" w:hAnsi="Arial" w:cs="Arial"/>
          <w:sz w:val="24"/>
          <w:szCs w:val="24"/>
        </w:rPr>
      </w:pPr>
    </w:p>
    <w:p w:rsidR="008F3FDA" w:rsidRDefault="008F3FDA">
      <w:pPr>
        <w:rPr>
          <w:rFonts w:ascii="Arial" w:hAnsi="Arial" w:cs="Arial"/>
          <w:sz w:val="24"/>
          <w:szCs w:val="24"/>
        </w:rPr>
      </w:pPr>
    </w:p>
    <w:p w:rsidR="008F3FDA" w:rsidRDefault="008F3FDA">
      <w:pPr>
        <w:rPr>
          <w:rFonts w:ascii="Arial" w:hAnsi="Arial" w:cs="Arial"/>
          <w:sz w:val="24"/>
          <w:szCs w:val="24"/>
        </w:rPr>
      </w:pPr>
    </w:p>
    <w:p w:rsidR="008F3FDA" w:rsidRDefault="008F3FDA">
      <w:pPr>
        <w:rPr>
          <w:rFonts w:ascii="Arial" w:hAnsi="Arial" w:cs="Arial"/>
          <w:sz w:val="24"/>
          <w:szCs w:val="24"/>
        </w:rPr>
      </w:pPr>
    </w:p>
    <w:p w:rsidR="008F3FDA" w:rsidRDefault="008F3FDA">
      <w:pPr>
        <w:rPr>
          <w:rFonts w:ascii="Arial" w:hAnsi="Arial" w:cs="Arial"/>
          <w:sz w:val="24"/>
          <w:szCs w:val="24"/>
        </w:rPr>
      </w:pPr>
    </w:p>
    <w:p w:rsidR="008F3FDA" w:rsidRDefault="008F3FDA">
      <w:pPr>
        <w:rPr>
          <w:rFonts w:ascii="Arial" w:hAnsi="Arial" w:cs="Arial"/>
          <w:sz w:val="24"/>
          <w:szCs w:val="24"/>
        </w:rPr>
      </w:pPr>
    </w:p>
    <w:p w:rsidR="008F3FDA" w:rsidRDefault="008F3FDA">
      <w:pPr>
        <w:rPr>
          <w:rFonts w:ascii="Arial" w:hAnsi="Arial" w:cs="Arial"/>
          <w:sz w:val="24"/>
          <w:szCs w:val="24"/>
        </w:rPr>
      </w:pPr>
    </w:p>
    <w:p w:rsidR="008F3FDA" w:rsidRDefault="008F3FDA">
      <w:pPr>
        <w:rPr>
          <w:rFonts w:ascii="Arial" w:hAnsi="Arial" w:cs="Arial"/>
          <w:sz w:val="24"/>
          <w:szCs w:val="24"/>
        </w:rPr>
      </w:pPr>
    </w:p>
    <w:p w:rsidR="008F3FDA" w:rsidRDefault="008F3FDA">
      <w:pPr>
        <w:rPr>
          <w:rFonts w:ascii="Arial" w:hAnsi="Arial" w:cs="Arial"/>
          <w:sz w:val="24"/>
          <w:szCs w:val="24"/>
        </w:rPr>
      </w:pPr>
    </w:p>
    <w:p w:rsidR="008F3FDA" w:rsidRDefault="008F3FDA">
      <w:pPr>
        <w:rPr>
          <w:rFonts w:ascii="Arial" w:hAnsi="Arial" w:cs="Arial"/>
          <w:sz w:val="24"/>
          <w:szCs w:val="24"/>
        </w:rPr>
      </w:pPr>
    </w:p>
    <w:p w:rsidR="008F3FDA" w:rsidRDefault="008F3FDA">
      <w:pPr>
        <w:rPr>
          <w:rFonts w:ascii="Arial" w:hAnsi="Arial" w:cs="Arial"/>
          <w:sz w:val="24"/>
          <w:szCs w:val="24"/>
        </w:rPr>
      </w:pPr>
    </w:p>
    <w:p w:rsidR="008F3FDA" w:rsidRDefault="008F3FDA">
      <w:pPr>
        <w:rPr>
          <w:rFonts w:ascii="Arial" w:hAnsi="Arial" w:cs="Arial"/>
          <w:sz w:val="24"/>
          <w:szCs w:val="24"/>
        </w:rPr>
      </w:pPr>
    </w:p>
    <w:p w:rsidR="008F3FDA" w:rsidRDefault="008F3FDA">
      <w:pPr>
        <w:rPr>
          <w:rFonts w:ascii="Arial" w:hAnsi="Arial" w:cs="Arial"/>
          <w:sz w:val="24"/>
          <w:szCs w:val="24"/>
        </w:rPr>
      </w:pPr>
    </w:p>
    <w:p w:rsidR="008F3FDA" w:rsidRDefault="008F3FDA">
      <w:pPr>
        <w:rPr>
          <w:rFonts w:ascii="Arial" w:hAnsi="Arial" w:cs="Arial"/>
          <w:sz w:val="24"/>
          <w:szCs w:val="24"/>
        </w:rPr>
      </w:pPr>
    </w:p>
    <w:p w:rsidR="008F3FDA" w:rsidRDefault="008F3FDA">
      <w:pPr>
        <w:rPr>
          <w:rFonts w:ascii="Arial" w:hAnsi="Arial" w:cs="Arial"/>
          <w:sz w:val="24"/>
          <w:szCs w:val="24"/>
        </w:rPr>
      </w:pPr>
    </w:p>
    <w:p w:rsidR="008F3FDA" w:rsidRDefault="008F3FDA">
      <w:pPr>
        <w:rPr>
          <w:rFonts w:ascii="Arial" w:hAnsi="Arial" w:cs="Arial"/>
          <w:sz w:val="24"/>
          <w:szCs w:val="24"/>
        </w:rPr>
      </w:pPr>
    </w:p>
    <w:p w:rsidR="008F3FDA" w:rsidRDefault="008F3FDA">
      <w:pPr>
        <w:rPr>
          <w:rFonts w:ascii="Arial" w:hAnsi="Arial" w:cs="Arial"/>
          <w:sz w:val="24"/>
          <w:szCs w:val="24"/>
        </w:rPr>
      </w:pPr>
    </w:p>
    <w:p w:rsidR="008F3FDA" w:rsidRPr="008F3FDA" w:rsidRDefault="008F3FDA">
      <w:pPr>
        <w:rPr>
          <w:rFonts w:ascii="Arial" w:hAnsi="Arial" w:cs="Arial"/>
          <w:sz w:val="24"/>
          <w:szCs w:val="24"/>
        </w:rPr>
      </w:pPr>
    </w:p>
    <w:p w:rsidR="008F3FDA" w:rsidRPr="008F3FDA" w:rsidRDefault="008F3FDA" w:rsidP="008F3FDA">
      <w:pPr>
        <w:rPr>
          <w:rFonts w:ascii="Arial" w:hAnsi="Arial" w:cs="Arial"/>
          <w:sz w:val="24"/>
          <w:szCs w:val="24"/>
        </w:rPr>
      </w:pPr>
      <w:r w:rsidRPr="008F3FDA">
        <w:rPr>
          <w:rFonts w:ascii="Arial" w:hAnsi="Arial" w:cs="Arial"/>
          <w:b/>
          <w:bCs/>
          <w:sz w:val="24"/>
          <w:szCs w:val="24"/>
        </w:rPr>
        <w:lastRenderedPageBreak/>
        <w:t xml:space="preserve">References </w:t>
      </w:r>
    </w:p>
    <w:p w:rsidR="008F3FDA" w:rsidRPr="008F3FDA" w:rsidRDefault="008F3FDA" w:rsidP="008F3FDA">
      <w:pPr>
        <w:numPr>
          <w:ilvl w:val="0"/>
          <w:numId w:val="1"/>
        </w:numPr>
        <w:rPr>
          <w:rFonts w:ascii="Arial" w:hAnsi="Arial" w:cs="Arial"/>
          <w:sz w:val="24"/>
          <w:szCs w:val="24"/>
        </w:rPr>
      </w:pPr>
      <w:r w:rsidRPr="008F3FDA">
        <w:rPr>
          <w:rFonts w:ascii="Arial" w:hAnsi="Arial" w:cs="Arial"/>
          <w:sz w:val="24"/>
          <w:szCs w:val="24"/>
        </w:rPr>
        <w:t xml:space="preserve">Black, J. (1992) </w:t>
      </w:r>
      <w:r w:rsidRPr="008F3FDA">
        <w:rPr>
          <w:rFonts w:ascii="Arial" w:hAnsi="Arial" w:cs="Arial"/>
          <w:i/>
          <w:iCs/>
          <w:sz w:val="24"/>
          <w:szCs w:val="24"/>
        </w:rPr>
        <w:t>The British Abroad: The Grand Tour in the Eighteenth Century</w:t>
      </w:r>
      <w:r w:rsidRPr="008F3FDA">
        <w:rPr>
          <w:rFonts w:ascii="Arial" w:hAnsi="Arial" w:cs="Arial"/>
          <w:sz w:val="24"/>
          <w:szCs w:val="24"/>
        </w:rPr>
        <w:t>. Stroud: Sutton Publishing.</w:t>
      </w:r>
    </w:p>
    <w:p w:rsidR="008F3FDA" w:rsidRPr="008F3FDA" w:rsidRDefault="008F3FDA" w:rsidP="008F3FDA">
      <w:pPr>
        <w:numPr>
          <w:ilvl w:val="0"/>
          <w:numId w:val="1"/>
        </w:numPr>
        <w:rPr>
          <w:rFonts w:ascii="Arial" w:hAnsi="Arial" w:cs="Arial"/>
          <w:sz w:val="24"/>
          <w:szCs w:val="24"/>
        </w:rPr>
      </w:pPr>
      <w:r w:rsidRPr="008F3FDA">
        <w:rPr>
          <w:rFonts w:ascii="Arial" w:hAnsi="Arial" w:cs="Arial"/>
          <w:sz w:val="24"/>
          <w:szCs w:val="24"/>
        </w:rPr>
        <w:t xml:space="preserve">Brodsky-Porges, E. (1981) ‘The Grand Tour: Travel as an Educational Device 1600–1800’, </w:t>
      </w:r>
      <w:r w:rsidRPr="008F3FDA">
        <w:rPr>
          <w:rFonts w:ascii="Arial" w:hAnsi="Arial" w:cs="Arial"/>
          <w:i/>
          <w:iCs/>
          <w:sz w:val="24"/>
          <w:szCs w:val="24"/>
        </w:rPr>
        <w:t>Annals of Tourism Research</w:t>
      </w:r>
      <w:r w:rsidRPr="008F3FDA">
        <w:rPr>
          <w:rFonts w:ascii="Arial" w:hAnsi="Arial" w:cs="Arial"/>
          <w:sz w:val="24"/>
          <w:szCs w:val="24"/>
        </w:rPr>
        <w:t>, 8(2), pp. 171–186.</w:t>
      </w:r>
    </w:p>
    <w:p w:rsidR="008F3FDA" w:rsidRPr="008F3FDA" w:rsidRDefault="008F3FDA" w:rsidP="008F3FDA">
      <w:pPr>
        <w:numPr>
          <w:ilvl w:val="0"/>
          <w:numId w:val="1"/>
        </w:numPr>
        <w:rPr>
          <w:rFonts w:ascii="Arial" w:hAnsi="Arial" w:cs="Arial"/>
          <w:sz w:val="24"/>
          <w:szCs w:val="24"/>
        </w:rPr>
      </w:pPr>
      <w:r w:rsidRPr="008F3FDA">
        <w:rPr>
          <w:rFonts w:ascii="Arial" w:hAnsi="Arial" w:cs="Arial"/>
          <w:sz w:val="24"/>
          <w:szCs w:val="24"/>
        </w:rPr>
        <w:t xml:space="preserve">Buzard, J. (1993) </w:t>
      </w:r>
      <w:r w:rsidRPr="008F3FDA">
        <w:rPr>
          <w:rFonts w:ascii="Arial" w:hAnsi="Arial" w:cs="Arial"/>
          <w:i/>
          <w:iCs/>
          <w:sz w:val="24"/>
          <w:szCs w:val="24"/>
        </w:rPr>
        <w:t>The Beaten Track: European Tourism, Literature, and the Ways to Culture, 1800–1918</w:t>
      </w:r>
      <w:r w:rsidRPr="008F3FDA">
        <w:rPr>
          <w:rFonts w:ascii="Arial" w:hAnsi="Arial" w:cs="Arial"/>
          <w:sz w:val="24"/>
          <w:szCs w:val="24"/>
        </w:rPr>
        <w:t>. Oxford: Clarendon Press.</w:t>
      </w:r>
    </w:p>
    <w:p w:rsidR="008F3FDA" w:rsidRPr="008F3FDA" w:rsidRDefault="008F3FDA" w:rsidP="008F3FDA">
      <w:pPr>
        <w:numPr>
          <w:ilvl w:val="0"/>
          <w:numId w:val="1"/>
        </w:numPr>
        <w:rPr>
          <w:rFonts w:ascii="Arial" w:hAnsi="Arial" w:cs="Arial"/>
          <w:sz w:val="24"/>
          <w:szCs w:val="24"/>
        </w:rPr>
      </w:pPr>
      <w:r w:rsidRPr="008F3FDA">
        <w:rPr>
          <w:rFonts w:ascii="Arial" w:hAnsi="Arial" w:cs="Arial"/>
          <w:sz w:val="24"/>
          <w:szCs w:val="24"/>
        </w:rPr>
        <w:t xml:space="preserve">Seaton, A.V. (1996) ‘Guided by the Hand of God: The Grand Tour and the Secularisation of Travel in the West’, </w:t>
      </w:r>
      <w:r w:rsidRPr="008F3FDA">
        <w:rPr>
          <w:rFonts w:ascii="Arial" w:hAnsi="Arial" w:cs="Arial"/>
          <w:i/>
          <w:iCs/>
          <w:sz w:val="24"/>
          <w:szCs w:val="24"/>
        </w:rPr>
        <w:t>Tourism Management</w:t>
      </w:r>
      <w:r w:rsidRPr="008F3FDA">
        <w:rPr>
          <w:rFonts w:ascii="Arial" w:hAnsi="Arial" w:cs="Arial"/>
          <w:sz w:val="24"/>
          <w:szCs w:val="24"/>
        </w:rPr>
        <w:t>, 17(3), pp. 171–185.</w:t>
      </w:r>
    </w:p>
    <w:p w:rsidR="008F3FDA" w:rsidRPr="008F3FDA" w:rsidRDefault="008F3FDA" w:rsidP="008F3FDA">
      <w:pPr>
        <w:numPr>
          <w:ilvl w:val="0"/>
          <w:numId w:val="1"/>
        </w:numPr>
        <w:rPr>
          <w:rFonts w:ascii="Arial" w:hAnsi="Arial" w:cs="Arial"/>
          <w:sz w:val="24"/>
          <w:szCs w:val="24"/>
        </w:rPr>
      </w:pPr>
      <w:r w:rsidRPr="008F3FDA">
        <w:rPr>
          <w:rFonts w:ascii="Arial" w:hAnsi="Arial" w:cs="Arial"/>
          <w:sz w:val="24"/>
          <w:szCs w:val="24"/>
        </w:rPr>
        <w:t xml:space="preserve">Sweet, R. (2012) </w:t>
      </w:r>
      <w:r w:rsidRPr="008F3FDA">
        <w:rPr>
          <w:rFonts w:ascii="Arial" w:hAnsi="Arial" w:cs="Arial"/>
          <w:i/>
          <w:iCs/>
          <w:sz w:val="24"/>
          <w:szCs w:val="24"/>
        </w:rPr>
        <w:t>Cities and the Grand Tour: The British in Italy, c.1690–1820</w:t>
      </w:r>
      <w:r w:rsidRPr="008F3FDA">
        <w:rPr>
          <w:rFonts w:ascii="Arial" w:hAnsi="Arial" w:cs="Arial"/>
          <w:sz w:val="24"/>
          <w:szCs w:val="24"/>
        </w:rPr>
        <w:t>. Cambridge: Cambridge University Press.</w:t>
      </w:r>
    </w:p>
    <w:p w:rsidR="008F3FDA" w:rsidRPr="008F3FDA" w:rsidRDefault="008F3FDA" w:rsidP="008F3FDA">
      <w:pPr>
        <w:numPr>
          <w:ilvl w:val="0"/>
          <w:numId w:val="1"/>
        </w:numPr>
        <w:rPr>
          <w:rFonts w:ascii="Arial" w:hAnsi="Arial" w:cs="Arial"/>
          <w:sz w:val="24"/>
          <w:szCs w:val="24"/>
        </w:rPr>
      </w:pPr>
      <w:r w:rsidRPr="008F3FDA">
        <w:rPr>
          <w:rFonts w:ascii="Arial" w:hAnsi="Arial" w:cs="Arial"/>
          <w:sz w:val="24"/>
          <w:szCs w:val="24"/>
        </w:rPr>
        <w:t xml:space="preserve">Towner, J. (1985) ‘The Grand Tour: A Key Phase in the History of Tourism’, </w:t>
      </w:r>
      <w:r w:rsidRPr="008F3FDA">
        <w:rPr>
          <w:rFonts w:ascii="Arial" w:hAnsi="Arial" w:cs="Arial"/>
          <w:i/>
          <w:iCs/>
          <w:sz w:val="24"/>
          <w:szCs w:val="24"/>
        </w:rPr>
        <w:t>Annals of Tourism Research</w:t>
      </w:r>
      <w:r w:rsidRPr="008F3FDA">
        <w:rPr>
          <w:rFonts w:ascii="Arial" w:hAnsi="Arial" w:cs="Arial"/>
          <w:sz w:val="24"/>
          <w:szCs w:val="24"/>
        </w:rPr>
        <w:t>, 12(3), pp. 297–333.</w:t>
      </w:r>
    </w:p>
    <w:p w:rsidR="008F3FDA" w:rsidRPr="008F3FDA" w:rsidRDefault="008F3FDA" w:rsidP="008F3FDA">
      <w:pPr>
        <w:numPr>
          <w:ilvl w:val="0"/>
          <w:numId w:val="2"/>
        </w:numPr>
        <w:rPr>
          <w:rFonts w:ascii="Arial" w:hAnsi="Arial" w:cs="Arial"/>
          <w:sz w:val="24"/>
          <w:szCs w:val="24"/>
        </w:rPr>
      </w:pPr>
      <w:r w:rsidRPr="008F3FDA">
        <w:rPr>
          <w:rFonts w:ascii="Arial" w:hAnsi="Arial" w:cs="Arial"/>
          <w:sz w:val="24"/>
          <w:szCs w:val="24"/>
        </w:rPr>
        <w:t xml:space="preserve">Brendon, P. (1991) </w:t>
      </w:r>
      <w:r w:rsidRPr="008F3FDA">
        <w:rPr>
          <w:rFonts w:ascii="Arial" w:hAnsi="Arial" w:cs="Arial"/>
          <w:i/>
          <w:iCs/>
          <w:sz w:val="24"/>
          <w:szCs w:val="24"/>
        </w:rPr>
        <w:t>Thomas Cook: 150 Years of Popular Tourism</w:t>
      </w:r>
      <w:r w:rsidRPr="008F3FDA">
        <w:rPr>
          <w:rFonts w:ascii="Arial" w:hAnsi="Arial" w:cs="Arial"/>
          <w:sz w:val="24"/>
          <w:szCs w:val="24"/>
        </w:rPr>
        <w:t>. London: Secker &amp; Warburg.</w:t>
      </w:r>
    </w:p>
    <w:p w:rsidR="008F3FDA" w:rsidRPr="008F3FDA" w:rsidRDefault="008F3FDA" w:rsidP="008F3FDA">
      <w:pPr>
        <w:numPr>
          <w:ilvl w:val="0"/>
          <w:numId w:val="2"/>
        </w:numPr>
        <w:rPr>
          <w:rFonts w:ascii="Arial" w:hAnsi="Arial" w:cs="Arial"/>
          <w:sz w:val="24"/>
          <w:szCs w:val="24"/>
        </w:rPr>
      </w:pPr>
      <w:r w:rsidRPr="008F3FDA">
        <w:rPr>
          <w:rFonts w:ascii="Arial" w:hAnsi="Arial" w:cs="Arial"/>
          <w:sz w:val="24"/>
          <w:szCs w:val="24"/>
        </w:rPr>
        <w:t xml:space="preserve">Buzard, J. (1993) </w:t>
      </w:r>
      <w:r w:rsidRPr="008F3FDA">
        <w:rPr>
          <w:rFonts w:ascii="Arial" w:hAnsi="Arial" w:cs="Arial"/>
          <w:i/>
          <w:iCs/>
          <w:sz w:val="24"/>
          <w:szCs w:val="24"/>
        </w:rPr>
        <w:t>The Beaten Track: European Tourism, Literature, and the Ways to Culture, 1800–1918</w:t>
      </w:r>
      <w:r w:rsidRPr="008F3FDA">
        <w:rPr>
          <w:rFonts w:ascii="Arial" w:hAnsi="Arial" w:cs="Arial"/>
          <w:sz w:val="24"/>
          <w:szCs w:val="24"/>
        </w:rPr>
        <w:t>. Oxford: Clarendon Press.</w:t>
      </w:r>
    </w:p>
    <w:p w:rsidR="008F3FDA" w:rsidRPr="008F3FDA" w:rsidRDefault="008F3FDA" w:rsidP="008F3FDA">
      <w:pPr>
        <w:numPr>
          <w:ilvl w:val="0"/>
          <w:numId w:val="2"/>
        </w:numPr>
        <w:rPr>
          <w:rFonts w:ascii="Arial" w:hAnsi="Arial" w:cs="Arial"/>
          <w:sz w:val="24"/>
          <w:szCs w:val="24"/>
        </w:rPr>
      </w:pPr>
      <w:r w:rsidRPr="008F3FDA">
        <w:rPr>
          <w:rFonts w:ascii="Arial" w:hAnsi="Arial" w:cs="Arial"/>
          <w:sz w:val="24"/>
          <w:szCs w:val="24"/>
        </w:rPr>
        <w:t xml:space="preserve">Lowry, J. (1994) </w:t>
      </w:r>
      <w:r w:rsidRPr="008F3FDA">
        <w:rPr>
          <w:rFonts w:ascii="Arial" w:hAnsi="Arial" w:cs="Arial"/>
          <w:i/>
          <w:iCs/>
          <w:sz w:val="24"/>
          <w:szCs w:val="24"/>
        </w:rPr>
        <w:t>The Factory System and Its Impact on Leisure</w:t>
      </w:r>
      <w:r w:rsidRPr="008F3FDA">
        <w:rPr>
          <w:rFonts w:ascii="Arial" w:hAnsi="Arial" w:cs="Arial"/>
          <w:sz w:val="24"/>
          <w:szCs w:val="24"/>
        </w:rPr>
        <w:t>. London: Routledge.</w:t>
      </w:r>
    </w:p>
    <w:p w:rsidR="008F3FDA" w:rsidRPr="008F3FDA" w:rsidRDefault="008F3FDA" w:rsidP="008F3FDA">
      <w:pPr>
        <w:numPr>
          <w:ilvl w:val="0"/>
          <w:numId w:val="2"/>
        </w:numPr>
        <w:rPr>
          <w:rFonts w:ascii="Arial" w:hAnsi="Arial" w:cs="Arial"/>
          <w:sz w:val="24"/>
          <w:szCs w:val="24"/>
        </w:rPr>
      </w:pPr>
      <w:r w:rsidRPr="008F3FDA">
        <w:rPr>
          <w:rFonts w:ascii="Arial" w:hAnsi="Arial" w:cs="Arial"/>
          <w:sz w:val="24"/>
          <w:szCs w:val="24"/>
        </w:rPr>
        <w:t xml:space="preserve">Towner, J. and Wall, G. (1991) ‘History and Tourism’, </w:t>
      </w:r>
      <w:r w:rsidRPr="008F3FDA">
        <w:rPr>
          <w:rFonts w:ascii="Arial" w:hAnsi="Arial" w:cs="Arial"/>
          <w:i/>
          <w:iCs/>
          <w:sz w:val="24"/>
          <w:szCs w:val="24"/>
        </w:rPr>
        <w:t>Annals of Tourism Research</w:t>
      </w:r>
      <w:r w:rsidRPr="008F3FDA">
        <w:rPr>
          <w:rFonts w:ascii="Arial" w:hAnsi="Arial" w:cs="Arial"/>
          <w:sz w:val="24"/>
          <w:szCs w:val="24"/>
        </w:rPr>
        <w:t>, 18(1), pp. 71–84.</w:t>
      </w:r>
    </w:p>
    <w:p w:rsidR="008F3FDA" w:rsidRPr="008F3FDA" w:rsidRDefault="008F3FDA" w:rsidP="008F3FDA">
      <w:pPr>
        <w:numPr>
          <w:ilvl w:val="0"/>
          <w:numId w:val="2"/>
        </w:numPr>
        <w:rPr>
          <w:rFonts w:ascii="Arial" w:hAnsi="Arial" w:cs="Arial"/>
          <w:sz w:val="24"/>
          <w:szCs w:val="24"/>
        </w:rPr>
      </w:pPr>
      <w:r w:rsidRPr="008F3FDA">
        <w:rPr>
          <w:rFonts w:ascii="Arial" w:hAnsi="Arial" w:cs="Arial"/>
          <w:sz w:val="24"/>
          <w:szCs w:val="24"/>
        </w:rPr>
        <w:t xml:space="preserve">Urry, J. (2002) </w:t>
      </w:r>
      <w:r w:rsidRPr="008F3FDA">
        <w:rPr>
          <w:rFonts w:ascii="Arial" w:hAnsi="Arial" w:cs="Arial"/>
          <w:i/>
          <w:iCs/>
          <w:sz w:val="24"/>
          <w:szCs w:val="24"/>
        </w:rPr>
        <w:t>The Tourist Gaze</w:t>
      </w:r>
      <w:r w:rsidRPr="008F3FDA">
        <w:rPr>
          <w:rFonts w:ascii="Arial" w:hAnsi="Arial" w:cs="Arial"/>
          <w:sz w:val="24"/>
          <w:szCs w:val="24"/>
        </w:rPr>
        <w:t>. 2nd edn. London: Sage Publications.</w:t>
      </w:r>
    </w:p>
    <w:p w:rsidR="008F3FDA" w:rsidRPr="008F3FDA" w:rsidRDefault="008F3FDA" w:rsidP="008F3FDA">
      <w:pPr>
        <w:numPr>
          <w:ilvl w:val="0"/>
          <w:numId w:val="2"/>
        </w:numPr>
        <w:rPr>
          <w:rFonts w:ascii="Arial" w:hAnsi="Arial" w:cs="Arial"/>
          <w:sz w:val="24"/>
          <w:szCs w:val="24"/>
        </w:rPr>
      </w:pPr>
      <w:r w:rsidRPr="008F3FDA">
        <w:rPr>
          <w:rFonts w:ascii="Arial" w:hAnsi="Arial" w:cs="Arial"/>
          <w:sz w:val="24"/>
          <w:szCs w:val="24"/>
        </w:rPr>
        <w:t xml:space="preserve">Walton, J.K. (2000) </w:t>
      </w:r>
      <w:r w:rsidRPr="008F3FDA">
        <w:rPr>
          <w:rFonts w:ascii="Arial" w:hAnsi="Arial" w:cs="Arial"/>
          <w:i/>
          <w:iCs/>
          <w:sz w:val="24"/>
          <w:szCs w:val="24"/>
        </w:rPr>
        <w:t>The British Seaside: Holidays and Resorts in the Twentieth Century</w:t>
      </w:r>
      <w:r w:rsidRPr="008F3FDA">
        <w:rPr>
          <w:rFonts w:ascii="Arial" w:hAnsi="Arial" w:cs="Arial"/>
          <w:sz w:val="24"/>
          <w:szCs w:val="24"/>
        </w:rPr>
        <w:t>. Manchester: Manchester University Press.</w:t>
      </w:r>
    </w:p>
    <w:p w:rsidR="008F3FDA" w:rsidRPr="008F3FDA" w:rsidRDefault="008F3FDA" w:rsidP="008F3FDA">
      <w:pPr>
        <w:numPr>
          <w:ilvl w:val="0"/>
          <w:numId w:val="3"/>
        </w:numPr>
        <w:rPr>
          <w:rFonts w:ascii="Arial" w:hAnsi="Arial" w:cs="Arial"/>
          <w:sz w:val="24"/>
          <w:szCs w:val="24"/>
        </w:rPr>
      </w:pPr>
      <w:r w:rsidRPr="008F3FDA">
        <w:rPr>
          <w:rFonts w:ascii="Arial" w:hAnsi="Arial" w:cs="Arial"/>
          <w:sz w:val="24"/>
          <w:szCs w:val="24"/>
        </w:rPr>
        <w:t xml:space="preserve">Chen, C.-F. and Chen, F.-S. (2010) ‘Experience quality, perceived value, satisfaction and behavioral intentions for heritage tourists’, </w:t>
      </w:r>
      <w:r w:rsidRPr="008F3FDA">
        <w:rPr>
          <w:rFonts w:ascii="Arial" w:hAnsi="Arial" w:cs="Arial"/>
          <w:i/>
          <w:iCs/>
          <w:sz w:val="24"/>
          <w:szCs w:val="24"/>
        </w:rPr>
        <w:t>Tourism Management</w:t>
      </w:r>
      <w:r w:rsidRPr="008F3FDA">
        <w:rPr>
          <w:rFonts w:ascii="Arial" w:hAnsi="Arial" w:cs="Arial"/>
          <w:sz w:val="24"/>
          <w:szCs w:val="24"/>
        </w:rPr>
        <w:t>, 31(1), pp. 29–35.</w:t>
      </w:r>
    </w:p>
    <w:p w:rsidR="008F3FDA" w:rsidRPr="008F3FDA" w:rsidRDefault="008F3FDA" w:rsidP="008F3FDA">
      <w:pPr>
        <w:numPr>
          <w:ilvl w:val="0"/>
          <w:numId w:val="3"/>
        </w:numPr>
        <w:rPr>
          <w:rFonts w:ascii="Arial" w:hAnsi="Arial" w:cs="Arial"/>
          <w:sz w:val="24"/>
          <w:szCs w:val="24"/>
        </w:rPr>
      </w:pPr>
      <w:r w:rsidRPr="008F3FDA">
        <w:rPr>
          <w:rFonts w:ascii="Arial" w:hAnsi="Arial" w:cs="Arial"/>
          <w:sz w:val="24"/>
          <w:szCs w:val="24"/>
        </w:rPr>
        <w:t xml:space="preserve">Choi, T.Y. and Chu, R. (2001) ‘Determinants of hotel guests’ satisfaction and repeat patronage in the Hong Kong hotel industry’, </w:t>
      </w:r>
      <w:r w:rsidRPr="008F3FDA">
        <w:rPr>
          <w:rFonts w:ascii="Arial" w:hAnsi="Arial" w:cs="Arial"/>
          <w:i/>
          <w:iCs/>
          <w:sz w:val="24"/>
          <w:szCs w:val="24"/>
        </w:rPr>
        <w:t>International Journal of Hospitality Management</w:t>
      </w:r>
      <w:r w:rsidRPr="008F3FDA">
        <w:rPr>
          <w:rFonts w:ascii="Arial" w:hAnsi="Arial" w:cs="Arial"/>
          <w:sz w:val="24"/>
          <w:szCs w:val="24"/>
        </w:rPr>
        <w:t>, 20(3), pp. 277–297.</w:t>
      </w:r>
    </w:p>
    <w:p w:rsidR="008F3FDA" w:rsidRPr="008F3FDA" w:rsidRDefault="008F3FDA" w:rsidP="008F3FDA">
      <w:pPr>
        <w:numPr>
          <w:ilvl w:val="0"/>
          <w:numId w:val="3"/>
        </w:numPr>
        <w:rPr>
          <w:rFonts w:ascii="Arial" w:hAnsi="Arial" w:cs="Arial"/>
          <w:sz w:val="24"/>
          <w:szCs w:val="24"/>
        </w:rPr>
      </w:pPr>
      <w:r w:rsidRPr="008F3FDA">
        <w:rPr>
          <w:rFonts w:ascii="Arial" w:hAnsi="Arial" w:cs="Arial"/>
          <w:sz w:val="24"/>
          <w:szCs w:val="24"/>
        </w:rPr>
        <w:t xml:space="preserve">Dolnicar, S. (2020) ‘Designing for effective post-pandemic accommodation experiences’, </w:t>
      </w:r>
      <w:r w:rsidRPr="008F3FDA">
        <w:rPr>
          <w:rFonts w:ascii="Arial" w:hAnsi="Arial" w:cs="Arial"/>
          <w:i/>
          <w:iCs/>
          <w:sz w:val="24"/>
          <w:szCs w:val="24"/>
        </w:rPr>
        <w:t>Annals of Tourism Research</w:t>
      </w:r>
      <w:r w:rsidRPr="008F3FDA">
        <w:rPr>
          <w:rFonts w:ascii="Arial" w:hAnsi="Arial" w:cs="Arial"/>
          <w:sz w:val="24"/>
          <w:szCs w:val="24"/>
        </w:rPr>
        <w:t>, 83, 102961.</w:t>
      </w:r>
    </w:p>
    <w:p w:rsidR="008F3FDA" w:rsidRPr="008F3FDA" w:rsidRDefault="008F3FDA" w:rsidP="008F3FDA">
      <w:pPr>
        <w:numPr>
          <w:ilvl w:val="0"/>
          <w:numId w:val="3"/>
        </w:numPr>
        <w:rPr>
          <w:rFonts w:ascii="Arial" w:hAnsi="Arial" w:cs="Arial"/>
          <w:sz w:val="24"/>
          <w:szCs w:val="24"/>
        </w:rPr>
      </w:pPr>
      <w:r w:rsidRPr="008F3FDA">
        <w:rPr>
          <w:rFonts w:ascii="Arial" w:hAnsi="Arial" w:cs="Arial"/>
          <w:sz w:val="24"/>
          <w:szCs w:val="24"/>
        </w:rPr>
        <w:t xml:space="preserve">Knutson, B.J. (1988) ‘Frequent travelers: Making them happy and bringing them back’, </w:t>
      </w:r>
      <w:r w:rsidRPr="008F3FDA">
        <w:rPr>
          <w:rFonts w:ascii="Arial" w:hAnsi="Arial" w:cs="Arial"/>
          <w:i/>
          <w:iCs/>
          <w:sz w:val="24"/>
          <w:szCs w:val="24"/>
        </w:rPr>
        <w:t>Cornell Hotel and Restaurant Administration Quarterly</w:t>
      </w:r>
      <w:r w:rsidRPr="008F3FDA">
        <w:rPr>
          <w:rFonts w:ascii="Arial" w:hAnsi="Arial" w:cs="Arial"/>
          <w:sz w:val="24"/>
          <w:szCs w:val="24"/>
        </w:rPr>
        <w:t>, 29(1), pp. 83–87.</w:t>
      </w:r>
    </w:p>
    <w:p w:rsidR="008F3FDA" w:rsidRPr="008F3FDA" w:rsidRDefault="008F3FDA" w:rsidP="008F3FDA">
      <w:pPr>
        <w:numPr>
          <w:ilvl w:val="0"/>
          <w:numId w:val="3"/>
        </w:numPr>
        <w:rPr>
          <w:rFonts w:ascii="Arial" w:hAnsi="Arial" w:cs="Arial"/>
          <w:sz w:val="24"/>
          <w:szCs w:val="24"/>
        </w:rPr>
      </w:pPr>
      <w:r w:rsidRPr="008F3FDA">
        <w:rPr>
          <w:rFonts w:ascii="Arial" w:hAnsi="Arial" w:cs="Arial"/>
          <w:sz w:val="24"/>
          <w:szCs w:val="24"/>
        </w:rPr>
        <w:lastRenderedPageBreak/>
        <w:t xml:space="preserve">Parasuraman, A., Zeithaml, V.A. and Berry, L.L. (1988) ‘SERVQUAL: A multiple-item scale for measuring consumer perceptions of service quality’, </w:t>
      </w:r>
      <w:r w:rsidRPr="008F3FDA">
        <w:rPr>
          <w:rFonts w:ascii="Arial" w:hAnsi="Arial" w:cs="Arial"/>
          <w:i/>
          <w:iCs/>
          <w:sz w:val="24"/>
          <w:szCs w:val="24"/>
        </w:rPr>
        <w:t>Journal of Retailing</w:t>
      </w:r>
      <w:r w:rsidRPr="008F3FDA">
        <w:rPr>
          <w:rFonts w:ascii="Arial" w:hAnsi="Arial" w:cs="Arial"/>
          <w:sz w:val="24"/>
          <w:szCs w:val="24"/>
        </w:rPr>
        <w:t>, 64(1), pp. 12–40.</w:t>
      </w:r>
    </w:p>
    <w:p w:rsidR="008F3FDA" w:rsidRPr="008F3FDA" w:rsidRDefault="008F3FDA" w:rsidP="008F3FDA">
      <w:pPr>
        <w:numPr>
          <w:ilvl w:val="0"/>
          <w:numId w:val="3"/>
        </w:numPr>
        <w:rPr>
          <w:rFonts w:ascii="Arial" w:hAnsi="Arial" w:cs="Arial"/>
          <w:sz w:val="24"/>
          <w:szCs w:val="24"/>
        </w:rPr>
      </w:pPr>
      <w:r w:rsidRPr="008F3FDA">
        <w:rPr>
          <w:rFonts w:ascii="Arial" w:hAnsi="Arial" w:cs="Arial"/>
          <w:sz w:val="24"/>
          <w:szCs w:val="24"/>
        </w:rPr>
        <w:t xml:space="preserve">Radojevic, T., Stanisic, N. and Stanic, N. (2015) ‘Improving hotel service quality: The importance of online reviews’, </w:t>
      </w:r>
      <w:r w:rsidRPr="008F3FDA">
        <w:rPr>
          <w:rFonts w:ascii="Arial" w:hAnsi="Arial" w:cs="Arial"/>
          <w:i/>
          <w:iCs/>
          <w:sz w:val="24"/>
          <w:szCs w:val="24"/>
        </w:rPr>
        <w:t>International Journal of Contemporary Hospitality Management</w:t>
      </w:r>
      <w:r w:rsidRPr="008F3FDA">
        <w:rPr>
          <w:rFonts w:ascii="Arial" w:hAnsi="Arial" w:cs="Arial"/>
          <w:sz w:val="24"/>
          <w:szCs w:val="24"/>
        </w:rPr>
        <w:t>, 27(1), pp. 147–169.</w:t>
      </w:r>
    </w:p>
    <w:p w:rsidR="008F3FDA" w:rsidRPr="008F3FDA" w:rsidRDefault="008F3FDA" w:rsidP="008F3FDA">
      <w:pPr>
        <w:numPr>
          <w:ilvl w:val="0"/>
          <w:numId w:val="3"/>
        </w:numPr>
        <w:rPr>
          <w:rFonts w:ascii="Arial" w:hAnsi="Arial" w:cs="Arial"/>
          <w:sz w:val="24"/>
          <w:szCs w:val="24"/>
        </w:rPr>
      </w:pPr>
      <w:r w:rsidRPr="008F3FDA">
        <w:rPr>
          <w:rFonts w:ascii="Arial" w:hAnsi="Arial" w:cs="Arial"/>
          <w:sz w:val="24"/>
          <w:szCs w:val="24"/>
        </w:rPr>
        <w:t xml:space="preserve">Tsang, N.K.F. and Qu, H. (2000) ‘Service quality in China’s hotel industry: A perspective from tourists and hotel managers’, </w:t>
      </w:r>
      <w:r w:rsidRPr="008F3FDA">
        <w:rPr>
          <w:rFonts w:ascii="Arial" w:hAnsi="Arial" w:cs="Arial"/>
          <w:i/>
          <w:iCs/>
          <w:sz w:val="24"/>
          <w:szCs w:val="24"/>
        </w:rPr>
        <w:t>International Journal of Contemporary Hospitality Management</w:t>
      </w:r>
      <w:r w:rsidRPr="008F3FDA">
        <w:rPr>
          <w:rFonts w:ascii="Arial" w:hAnsi="Arial" w:cs="Arial"/>
          <w:sz w:val="24"/>
          <w:szCs w:val="24"/>
        </w:rPr>
        <w:t>, 12(5), pp. 316–326.</w:t>
      </w:r>
    </w:p>
    <w:p w:rsidR="008F3FDA" w:rsidRPr="008F3FDA" w:rsidRDefault="00000000" w:rsidP="008F3FDA">
      <w:pPr>
        <w:rPr>
          <w:rFonts w:ascii="Arial" w:hAnsi="Arial" w:cs="Arial"/>
          <w:sz w:val="24"/>
          <w:szCs w:val="24"/>
        </w:rPr>
      </w:pPr>
      <w:r>
        <w:rPr>
          <w:rFonts w:ascii="Arial" w:hAnsi="Arial" w:cs="Arial"/>
          <w:sz w:val="24"/>
          <w:szCs w:val="24"/>
        </w:rPr>
        <w:pict>
          <v:rect id="_x0000_i1028" style="width:0;height:1.5pt" o:hralign="center" o:hrstd="t" o:hr="t" fillcolor="#a0a0a0" stroked="f"/>
        </w:pict>
      </w:r>
    </w:p>
    <w:p w:rsidR="008F3FDA" w:rsidRPr="008F3FDA" w:rsidRDefault="008F3FDA" w:rsidP="008F3FDA">
      <w:pPr>
        <w:ind w:left="720"/>
        <w:rPr>
          <w:rFonts w:ascii="Arial" w:hAnsi="Arial" w:cs="Arial"/>
          <w:sz w:val="24"/>
          <w:szCs w:val="24"/>
        </w:rPr>
      </w:pPr>
    </w:p>
    <w:p w:rsidR="008F3FDA" w:rsidRPr="008F3FDA" w:rsidRDefault="008F3FDA" w:rsidP="008F3FDA">
      <w:pPr>
        <w:ind w:left="720"/>
        <w:rPr>
          <w:rFonts w:ascii="Arial" w:hAnsi="Arial" w:cs="Arial"/>
          <w:sz w:val="24"/>
          <w:szCs w:val="24"/>
        </w:rPr>
      </w:pPr>
    </w:p>
    <w:p w:rsidR="008F3FDA" w:rsidRPr="008F3FDA" w:rsidRDefault="008F3FDA">
      <w:pPr>
        <w:rPr>
          <w:rFonts w:ascii="Arial" w:hAnsi="Arial" w:cs="Arial"/>
          <w:sz w:val="24"/>
          <w:szCs w:val="24"/>
        </w:rPr>
      </w:pPr>
    </w:p>
    <w:sectPr w:rsidR="008F3FDA" w:rsidRPr="008F3FDA" w:rsidSect="008942CD">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015B4"/>
    <w:multiLevelType w:val="multilevel"/>
    <w:tmpl w:val="BB98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B2629F"/>
    <w:multiLevelType w:val="multilevel"/>
    <w:tmpl w:val="7EEE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941825"/>
    <w:multiLevelType w:val="multilevel"/>
    <w:tmpl w:val="E8545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9820717">
    <w:abstractNumId w:val="0"/>
  </w:num>
  <w:num w:numId="2" w16cid:durableId="1118573491">
    <w:abstractNumId w:val="2"/>
  </w:num>
  <w:num w:numId="3" w16cid:durableId="15439812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F3FDA"/>
    <w:rsid w:val="00154C99"/>
    <w:rsid w:val="002F61B9"/>
    <w:rsid w:val="003121E0"/>
    <w:rsid w:val="006A2650"/>
    <w:rsid w:val="0087276D"/>
    <w:rsid w:val="008942CD"/>
    <w:rsid w:val="008F3FD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27229"/>
  <w15:chartTrackingRefBased/>
  <w15:docId w15:val="{86735E53-BC68-4766-A022-D265A469F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3F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F3F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F3F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F3F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3F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3F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3F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3F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3F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F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F3F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F3F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F3F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3F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3F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3F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3F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3FDA"/>
    <w:rPr>
      <w:rFonts w:eastAsiaTheme="majorEastAsia" w:cstheme="majorBidi"/>
      <w:color w:val="272727" w:themeColor="text1" w:themeTint="D8"/>
    </w:rPr>
  </w:style>
  <w:style w:type="paragraph" w:styleId="Title">
    <w:name w:val="Title"/>
    <w:basedOn w:val="Normal"/>
    <w:next w:val="Normal"/>
    <w:link w:val="TitleChar"/>
    <w:uiPriority w:val="10"/>
    <w:qFormat/>
    <w:rsid w:val="008F3F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3F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3F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3F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3FDA"/>
    <w:pPr>
      <w:spacing w:before="160"/>
      <w:jc w:val="center"/>
    </w:pPr>
    <w:rPr>
      <w:i/>
      <w:iCs/>
      <w:color w:val="404040" w:themeColor="text1" w:themeTint="BF"/>
    </w:rPr>
  </w:style>
  <w:style w:type="character" w:customStyle="1" w:styleId="QuoteChar">
    <w:name w:val="Quote Char"/>
    <w:basedOn w:val="DefaultParagraphFont"/>
    <w:link w:val="Quote"/>
    <w:uiPriority w:val="29"/>
    <w:rsid w:val="008F3FDA"/>
    <w:rPr>
      <w:i/>
      <w:iCs/>
      <w:color w:val="404040" w:themeColor="text1" w:themeTint="BF"/>
    </w:rPr>
  </w:style>
  <w:style w:type="paragraph" w:styleId="ListParagraph">
    <w:name w:val="List Paragraph"/>
    <w:basedOn w:val="Normal"/>
    <w:uiPriority w:val="34"/>
    <w:qFormat/>
    <w:rsid w:val="008F3FDA"/>
    <w:pPr>
      <w:ind w:left="720"/>
      <w:contextualSpacing/>
    </w:pPr>
  </w:style>
  <w:style w:type="character" w:styleId="IntenseEmphasis">
    <w:name w:val="Intense Emphasis"/>
    <w:basedOn w:val="DefaultParagraphFont"/>
    <w:uiPriority w:val="21"/>
    <w:qFormat/>
    <w:rsid w:val="008F3FDA"/>
    <w:rPr>
      <w:i/>
      <w:iCs/>
      <w:color w:val="2F5496" w:themeColor="accent1" w:themeShade="BF"/>
    </w:rPr>
  </w:style>
  <w:style w:type="paragraph" w:styleId="IntenseQuote">
    <w:name w:val="Intense Quote"/>
    <w:basedOn w:val="Normal"/>
    <w:next w:val="Normal"/>
    <w:link w:val="IntenseQuoteChar"/>
    <w:uiPriority w:val="30"/>
    <w:qFormat/>
    <w:rsid w:val="008F3F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3FDA"/>
    <w:rPr>
      <w:i/>
      <w:iCs/>
      <w:color w:val="2F5496" w:themeColor="accent1" w:themeShade="BF"/>
    </w:rPr>
  </w:style>
  <w:style w:type="character" w:styleId="IntenseReference">
    <w:name w:val="Intense Reference"/>
    <w:basedOn w:val="DefaultParagraphFont"/>
    <w:uiPriority w:val="32"/>
    <w:qFormat/>
    <w:rsid w:val="008F3FD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822712">
      <w:bodyDiv w:val="1"/>
      <w:marLeft w:val="0"/>
      <w:marRight w:val="0"/>
      <w:marTop w:val="0"/>
      <w:marBottom w:val="0"/>
      <w:divBdr>
        <w:top w:val="none" w:sz="0" w:space="0" w:color="auto"/>
        <w:left w:val="none" w:sz="0" w:space="0" w:color="auto"/>
        <w:bottom w:val="none" w:sz="0" w:space="0" w:color="auto"/>
        <w:right w:val="none" w:sz="0" w:space="0" w:color="auto"/>
      </w:divBdr>
    </w:div>
    <w:div w:id="909075382">
      <w:bodyDiv w:val="1"/>
      <w:marLeft w:val="0"/>
      <w:marRight w:val="0"/>
      <w:marTop w:val="0"/>
      <w:marBottom w:val="0"/>
      <w:divBdr>
        <w:top w:val="none" w:sz="0" w:space="0" w:color="auto"/>
        <w:left w:val="none" w:sz="0" w:space="0" w:color="auto"/>
        <w:bottom w:val="none" w:sz="0" w:space="0" w:color="auto"/>
        <w:right w:val="none" w:sz="0" w:space="0" w:color="auto"/>
      </w:divBdr>
    </w:div>
    <w:div w:id="1755592074">
      <w:bodyDiv w:val="1"/>
      <w:marLeft w:val="0"/>
      <w:marRight w:val="0"/>
      <w:marTop w:val="0"/>
      <w:marBottom w:val="0"/>
      <w:divBdr>
        <w:top w:val="none" w:sz="0" w:space="0" w:color="auto"/>
        <w:left w:val="none" w:sz="0" w:space="0" w:color="auto"/>
        <w:bottom w:val="none" w:sz="0" w:space="0" w:color="auto"/>
        <w:right w:val="none" w:sz="0" w:space="0" w:color="auto"/>
      </w:divBdr>
    </w:div>
    <w:div w:id="1968200812">
      <w:bodyDiv w:val="1"/>
      <w:marLeft w:val="0"/>
      <w:marRight w:val="0"/>
      <w:marTop w:val="0"/>
      <w:marBottom w:val="0"/>
      <w:divBdr>
        <w:top w:val="none" w:sz="0" w:space="0" w:color="auto"/>
        <w:left w:val="none" w:sz="0" w:space="0" w:color="auto"/>
        <w:bottom w:val="none" w:sz="0" w:space="0" w:color="auto"/>
        <w:right w:val="none" w:sz="0" w:space="0" w:color="auto"/>
      </w:divBdr>
    </w:div>
    <w:div w:id="2099054044">
      <w:bodyDiv w:val="1"/>
      <w:marLeft w:val="0"/>
      <w:marRight w:val="0"/>
      <w:marTop w:val="0"/>
      <w:marBottom w:val="0"/>
      <w:divBdr>
        <w:top w:val="none" w:sz="0" w:space="0" w:color="auto"/>
        <w:left w:val="none" w:sz="0" w:space="0" w:color="auto"/>
        <w:bottom w:val="none" w:sz="0" w:space="0" w:color="auto"/>
        <w:right w:val="none" w:sz="0" w:space="0" w:color="auto"/>
      </w:divBdr>
    </w:div>
    <w:div w:id="21329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1818</Words>
  <Characters>10365</Characters>
  <Application>Microsoft Office Word</Application>
  <DocSecurity>0</DocSecurity>
  <Lines>86</Lines>
  <Paragraphs>24</Paragraphs>
  <ScaleCrop>false</ScaleCrop>
  <Company/>
  <LinksUpToDate>false</LinksUpToDate>
  <CharactersWithSpaces>12159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Geetika Naugain</dc:creator>
  <cp:keywords/>
  <dc:description/>
  <cp:lastModifiedBy>Geetika Naugain</cp:lastModifiedBy>
  <cp:revision>2</cp:revision>
  <dcterms:created xsi:type="dcterms:W3CDTF">2025-07-17T12:33:00Z</dcterms:created>
  <dcterms:modified xsi:type="dcterms:W3CDTF">2025-07-17T12:57:00Z</dcterms:modified>
</cp:coreProperties>
</file>