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3E4D9469"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b/>
          <w:bCs/>
          <w:lang w:val="en-GB"/>
        </w:rPr>
        <w:lastRenderedPageBreak/>
        <w:t>Heritage Management Plan Analysis: Great Barrier Reef World Heritage Area Strategic Management Plan (Australia)</w:t>
      </w:r>
    </w:p>
    <w:p w14:paraId="4143624D"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The Great Barrier Reef World Heritage Area (GBRWHA) is one of the most complex and significant heritage sites globally, recognized for its Outstanding Universal Value (OUV) as the world’s largest coral reef system. Managed primarily by the Great Barrier Reef Marine Park Authority (GBRMPA), its strategic management plan seeks to conserve ecological integrity while supporting sustainable use, tourism, and community engagement. This essay critically analyses three central components of the plan: the Vision Statement, Objectives, and Value Statement, evaluating their effectiveness and limitations within contemporary heritage management frameworks.</w:t>
      </w:r>
    </w:p>
    <w:p w14:paraId="511EFBDD" w14:textId="436B753E" w:rsidR="0003489C" w:rsidRPr="0003489C" w:rsidRDefault="0003489C" w:rsidP="0003489C">
      <w:pPr>
        <w:spacing w:line="360" w:lineRule="auto"/>
        <w:rPr>
          <w:rFonts w:ascii="Times New Roman" w:hAnsi="Times New Roman" w:cs="Times New Roman"/>
          <w:lang w:val="en-GB"/>
        </w:rPr>
      </w:pPr>
    </w:p>
    <w:p w14:paraId="2CB12999" w14:textId="77777777" w:rsidR="0003489C" w:rsidRPr="0003489C" w:rsidRDefault="0003489C" w:rsidP="0003489C">
      <w:pPr>
        <w:spacing w:line="360" w:lineRule="auto"/>
        <w:rPr>
          <w:rFonts w:ascii="Times New Roman" w:hAnsi="Times New Roman" w:cs="Times New Roman"/>
          <w:b/>
          <w:bCs/>
          <w:lang w:val="en-GB"/>
        </w:rPr>
      </w:pPr>
      <w:r w:rsidRPr="0003489C">
        <w:rPr>
          <w:rFonts w:ascii="Times New Roman" w:hAnsi="Times New Roman" w:cs="Times New Roman"/>
          <w:b/>
          <w:bCs/>
          <w:lang w:val="en-GB"/>
        </w:rPr>
        <w:t>Vision Statement</w:t>
      </w:r>
    </w:p>
    <w:p w14:paraId="2395A408"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The vision of the Great Barrier Reef management plan is </w:t>
      </w:r>
      <w:proofErr w:type="spellStart"/>
      <w:r w:rsidRPr="0003489C">
        <w:rPr>
          <w:rFonts w:ascii="Times New Roman" w:hAnsi="Times New Roman" w:cs="Times New Roman"/>
          <w:lang w:val="en-GB"/>
        </w:rPr>
        <w:t>centered</w:t>
      </w:r>
      <w:proofErr w:type="spellEnd"/>
      <w:r w:rsidRPr="0003489C">
        <w:rPr>
          <w:rFonts w:ascii="Times New Roman" w:hAnsi="Times New Roman" w:cs="Times New Roman"/>
          <w:lang w:val="en-GB"/>
        </w:rPr>
        <w:t xml:space="preserve"> on ensuring that the Reef remains a healthy, resilient, and sustainably managed ecosystem that is protected for future generations while continuing to provide economic, social, and cultural benefits. It emphasizes long-term ecological sustainability, climate resilience, and collaborative governance.</w:t>
      </w:r>
    </w:p>
    <w:p w14:paraId="3EC28B64"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A key strength of this vision is its explicit focus on resilience. Unlike many heritage management plans that prioritize preservation alone, the GBRWHA vision acknowledges that change is inevitable, particularly due to climate change. By focusing on resilience rather than static preservation, the plan aligns with modern environmental management approaches that emphasize adaptation and system recovery (Hughes et al., 2017). This is particularly important given the increasing frequency of coral bleaching events, which pose a major threat to the Reef’s survival.</w:t>
      </w:r>
    </w:p>
    <w:p w14:paraId="486A55EB"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Another strength is the integration of multiple values—ecological, economic, and cultural—within the vision. The Reef supports tourism, fisheries, and Indigenous cultural practices, and the vision recognizes the need to balance these competing interests. This reflects a shift toward integrated management approaches that consider both conservation and sustainable development.</w:t>
      </w:r>
    </w:p>
    <w:p w14:paraId="326EE300"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However, the vision can be critiqued for its broad and ambitious nature. While it highlights resilience and sustainability, it does not clearly define thresholds or limits for acceptable change. For example, the extent to which tourism or fishing can continue without compromising ecological integrity is not explicitly stated. This lack of specificity can make it difficult to translate the vision into measurable outcomes.</w:t>
      </w:r>
    </w:p>
    <w:p w14:paraId="63074D8A"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lastRenderedPageBreak/>
        <w:t>Additionally, while Indigenous cultural values are acknowledged, the vision does not fully articulate how Traditional Owners will be empowered in decision-making processes. Scholars argue that genuine co-management requires not just recognition but active inclusion of Indigenous governance systems (Hill et al., 2012). Without clear mechanisms for such inclusion, the vision risks remaining aspirational rather than transformative.</w:t>
      </w:r>
    </w:p>
    <w:p w14:paraId="2A369F78" w14:textId="59DD52EB" w:rsidR="0003489C" w:rsidRPr="0003489C" w:rsidRDefault="0003489C" w:rsidP="0003489C">
      <w:pPr>
        <w:spacing w:line="360" w:lineRule="auto"/>
        <w:rPr>
          <w:rFonts w:ascii="Times New Roman" w:hAnsi="Times New Roman" w:cs="Times New Roman"/>
          <w:lang w:val="en-GB"/>
        </w:rPr>
      </w:pPr>
    </w:p>
    <w:p w14:paraId="0C908D7F" w14:textId="77777777" w:rsidR="0003489C" w:rsidRPr="0003489C" w:rsidRDefault="0003489C" w:rsidP="0003489C">
      <w:pPr>
        <w:spacing w:line="360" w:lineRule="auto"/>
        <w:rPr>
          <w:rFonts w:ascii="Times New Roman" w:hAnsi="Times New Roman" w:cs="Times New Roman"/>
          <w:b/>
          <w:bCs/>
          <w:lang w:val="en-GB"/>
        </w:rPr>
      </w:pPr>
      <w:r w:rsidRPr="0003489C">
        <w:rPr>
          <w:rFonts w:ascii="Times New Roman" w:hAnsi="Times New Roman" w:cs="Times New Roman"/>
          <w:b/>
          <w:bCs/>
          <w:lang w:val="en-GB"/>
        </w:rPr>
        <w:t>Objectives</w:t>
      </w:r>
    </w:p>
    <w:p w14:paraId="2090FEE1"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The objectives of the Great Barrier Reef management plan are wide-ranging and include protecting biodiversity, improving water quality, managing tourism and fisheries sustainably, enhancing climate adaptation, and strengthening partnerships with stakeholders, including Indigenous communities.</w:t>
      </w:r>
    </w:p>
    <w:p w14:paraId="758ECAFD"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One of the major strengths of these objectives is their strong scientific foundation. The plan is informed by extensive ecological monitoring and research, which allows for evidence-based decision-making. For instance, water quality improvement programs targeting agricultural runoff are based on scientific studies linking pollution to coral decline. This integration of science into policy is a hallmark of effective environmental and heritage management.</w:t>
      </w:r>
    </w:p>
    <w:p w14:paraId="020E302B"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Another strength is the emphasis on climate change adaptation. Unlike many heritage plans that treat climate change as a secondary issue, the GBRWHA objectives place it at the core of management strategies. Actions such as reducing local stressors (e.g., pollution and overfishing) are designed to enhance the Reef’s resilience to global climate impacts. This reflects a pragmatic approach, acknowledging that while global emissions may be beyond local control, local actions can still make a significant difference.</w:t>
      </w:r>
    </w:p>
    <w:p w14:paraId="755A9698"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The objectives also demonstrate a commitment to stakeholder collaboration. Partnerships with industries, local communities, and Indigenous groups are seen as essential for achieving management goals. Collaborative governance is widely recognized as a key factor in successful heritage management, particularly for large and complex sites.</w:t>
      </w:r>
    </w:p>
    <w:p w14:paraId="2F502F2C"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Despite these strengths, significant challenges remain. One major issue is the gap between policy and implementation. While objectives such as improving water quality are well-defined, progress has been slower than anticipated. Agricultural runoff and coastal development continue to impact the Reef, highlighting the difficulty of regulating activities across large </w:t>
      </w:r>
      <w:r w:rsidRPr="0003489C">
        <w:rPr>
          <w:rFonts w:ascii="Times New Roman" w:hAnsi="Times New Roman" w:cs="Kokila" w:hint="cs"/>
          <w:cs/>
          <w:lang w:val="en-GB" w:bidi="hi-IN"/>
        </w:rPr>
        <w:t>क्षेत्रों</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and multiple jurisdictions.</w:t>
      </w:r>
    </w:p>
    <w:p w14:paraId="322E6F65"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lastRenderedPageBreak/>
        <w:t>Furthermore, balancing economic interests with conservation goals remains problematic. The Reef is a major driver of tourism revenue, and restrictions on tourism or fishing can face resistance from industry stakeholders. This creates tensions that can weaken enforcement and compromise conservation outcomes. Research suggests that economic pressures often lead to compromises that undermine long-term sustainability (Day, 2008).</w:t>
      </w:r>
    </w:p>
    <w:p w14:paraId="3A744950"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Another limitation is the uneven inclusion of Indigenous knowledge systems. While the objectives mention collaboration with Traditional Owners, the integration of Indigenous ecological knowledge into management practices is still limited. Greater incorporation of these knowledge systems could enhance both ecological understanding and cultural relevance.</w:t>
      </w:r>
    </w:p>
    <w:p w14:paraId="1A2D50D1" w14:textId="1AC2EF85" w:rsidR="0003489C" w:rsidRPr="0003489C" w:rsidRDefault="0003489C" w:rsidP="0003489C">
      <w:pPr>
        <w:spacing w:line="360" w:lineRule="auto"/>
        <w:rPr>
          <w:rFonts w:ascii="Times New Roman" w:hAnsi="Times New Roman" w:cs="Times New Roman"/>
          <w:lang w:val="en-GB"/>
        </w:rPr>
      </w:pPr>
    </w:p>
    <w:p w14:paraId="578211BB" w14:textId="77777777" w:rsidR="0003489C" w:rsidRPr="0003489C" w:rsidRDefault="0003489C" w:rsidP="0003489C">
      <w:pPr>
        <w:spacing w:line="360" w:lineRule="auto"/>
        <w:rPr>
          <w:rFonts w:ascii="Times New Roman" w:hAnsi="Times New Roman" w:cs="Times New Roman"/>
          <w:b/>
          <w:bCs/>
          <w:lang w:val="en-GB"/>
        </w:rPr>
      </w:pPr>
      <w:r w:rsidRPr="0003489C">
        <w:rPr>
          <w:rFonts w:ascii="Times New Roman" w:hAnsi="Times New Roman" w:cs="Times New Roman"/>
          <w:b/>
          <w:bCs/>
          <w:lang w:val="en-GB"/>
        </w:rPr>
        <w:t>Value Statement</w:t>
      </w:r>
    </w:p>
    <w:p w14:paraId="33EF086E"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The Value Statement of the Great Barrier Reef emphasizes its Outstanding Universal Value as a globally significant natural system, highlighting its biodiversity, ecological processes, and aesthetic beauty. It recognizes the Reef as one of the most diverse ecosystems on Earth, home to thousands of marine species and complex </w:t>
      </w:r>
      <w:r w:rsidRPr="0003489C">
        <w:rPr>
          <w:rFonts w:ascii="Times New Roman" w:hAnsi="Times New Roman" w:cs="Kokila" w:hint="cs"/>
          <w:cs/>
          <w:lang w:val="en-GB" w:bidi="hi-IN"/>
        </w:rPr>
        <w:t>खाद्य</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webs.</w:t>
      </w:r>
    </w:p>
    <w:p w14:paraId="74232119"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A major strength of this statement is its strong ecological focus. By clearly articulating the Reef’s </w:t>
      </w:r>
      <w:r w:rsidRPr="0003489C">
        <w:rPr>
          <w:rFonts w:ascii="Times New Roman" w:hAnsi="Times New Roman" w:cs="Kokila" w:hint="cs"/>
          <w:cs/>
          <w:lang w:val="en-GB" w:bidi="hi-IN"/>
        </w:rPr>
        <w:t>वैश्विक</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 xml:space="preserve">importance in terms of biodiversity and ecosystem function, it provides a solid foundation for conservation efforts. The emphasis on </w:t>
      </w:r>
      <w:r w:rsidRPr="0003489C">
        <w:rPr>
          <w:rFonts w:ascii="Times New Roman" w:hAnsi="Times New Roman" w:cs="Kokila" w:hint="cs"/>
          <w:cs/>
          <w:lang w:val="en-GB" w:bidi="hi-IN"/>
        </w:rPr>
        <w:t>प्राकृतिक</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 xml:space="preserve">processes, such as coral </w:t>
      </w:r>
      <w:r w:rsidRPr="0003489C">
        <w:rPr>
          <w:rFonts w:ascii="Times New Roman" w:hAnsi="Times New Roman" w:cs="Kokila" w:hint="cs"/>
          <w:cs/>
          <w:lang w:val="en-GB" w:bidi="hi-IN"/>
        </w:rPr>
        <w:t>गठन</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 xml:space="preserve">and </w:t>
      </w:r>
      <w:r w:rsidRPr="0003489C">
        <w:rPr>
          <w:rFonts w:ascii="Times New Roman" w:hAnsi="Times New Roman" w:cs="Kokila" w:hint="cs"/>
          <w:cs/>
          <w:lang w:val="en-GB" w:bidi="hi-IN"/>
        </w:rPr>
        <w:t>समुद्री</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interactions, underscores the dynamic nature of the site.</w:t>
      </w:r>
    </w:p>
    <w:p w14:paraId="02B9C4AE"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Additionally, the value statement acknowledges cultural values, particularly those of Indigenous communities who have longstanding connections to the Reef. This inclusion reflects a growing recognition of the importance of cultural heritage within natural sites, aligning with UNESCO’s broader </w:t>
      </w:r>
      <w:r w:rsidRPr="0003489C">
        <w:rPr>
          <w:rFonts w:ascii="Times New Roman" w:hAnsi="Times New Roman" w:cs="Times New Roman"/>
          <w:rtl/>
          <w:lang w:val="en-GB"/>
        </w:rPr>
        <w:t>مفهوم</w:t>
      </w:r>
      <w:r w:rsidRPr="0003489C">
        <w:rPr>
          <w:rFonts w:ascii="Times New Roman" w:hAnsi="Times New Roman" w:cs="Times New Roman"/>
          <w:lang w:val="en-GB"/>
        </w:rPr>
        <w:t xml:space="preserve"> of mixed values.</w:t>
      </w:r>
    </w:p>
    <w:p w14:paraId="2BBAFFC9"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However, the value statement can be critiqued for its predominantly scientific and ecological framing. While biodiversity and ecosystem processes are central, the statement gives relatively less attention to social and cultural dimensions beyond Indigenous connections. For example, the Reef’s role in national identity and global environmental awareness could be more explicitly articulated.</w:t>
      </w:r>
    </w:p>
    <w:p w14:paraId="3FF37AD1"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Moreover, the concept of “Outstanding Universal Value” may obscure regional and local meanings. While the Reef is globally significant, it also holds specific cultural, </w:t>
      </w:r>
      <w:r w:rsidRPr="0003489C">
        <w:rPr>
          <w:rFonts w:ascii="Times New Roman" w:hAnsi="Times New Roman" w:cs="Kokila" w:hint="cs"/>
          <w:cs/>
          <w:lang w:val="en-GB" w:bidi="hi-IN"/>
        </w:rPr>
        <w:t>आर्थिक</w:t>
      </w:r>
      <w:r w:rsidRPr="0003489C">
        <w:rPr>
          <w:rFonts w:ascii="Times New Roman" w:hAnsi="Times New Roman" w:cs="Times New Roman"/>
          <w:lang w:val="en-GB"/>
        </w:rPr>
        <w:t xml:space="preserve">, and </w:t>
      </w:r>
      <w:r w:rsidRPr="0003489C">
        <w:rPr>
          <w:rFonts w:ascii="Times New Roman" w:hAnsi="Times New Roman" w:cs="Kokila" w:hint="cs"/>
          <w:cs/>
          <w:lang w:val="en-GB" w:bidi="hi-IN"/>
        </w:rPr>
        <w:t>सामाजिक</w:t>
      </w:r>
      <w:r w:rsidRPr="0003489C">
        <w:rPr>
          <w:rFonts w:ascii="Times New Roman" w:hAnsi="Times New Roman" w:cs="Times New Roman"/>
          <w:cs/>
          <w:lang w:val="en-GB" w:bidi="hi-IN"/>
        </w:rPr>
        <w:t xml:space="preserve"> </w:t>
      </w:r>
      <w:r w:rsidRPr="0003489C">
        <w:rPr>
          <w:rFonts w:ascii="Times New Roman" w:hAnsi="Times New Roman" w:cs="Times New Roman"/>
          <w:lang w:val="en-GB"/>
        </w:rPr>
        <w:lastRenderedPageBreak/>
        <w:t xml:space="preserve">importance for local communities. A more nuanced value statement would incorporate these </w:t>
      </w:r>
      <w:r w:rsidRPr="0003489C">
        <w:rPr>
          <w:rFonts w:ascii="Times New Roman" w:hAnsi="Times New Roman" w:cs="Kokila" w:hint="cs"/>
          <w:cs/>
          <w:lang w:val="en-GB" w:bidi="hi-IN"/>
        </w:rPr>
        <w:t>विविध</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perspectives, reflecting the idea that heritage value is plural and context-dependent (Byrne, 2008).</w:t>
      </w:r>
    </w:p>
    <w:p w14:paraId="7ABB88A0"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 xml:space="preserve">Another limitation is the lack of emphasis on contemporary challenges within the value statement. While it effectively describes the Reef’s significance, it does not fully address how ongoing threats—such as climate change and pollution—affect its </w:t>
      </w:r>
      <w:r w:rsidRPr="0003489C">
        <w:rPr>
          <w:rFonts w:ascii="Times New Roman" w:hAnsi="Times New Roman" w:cs="Kokila" w:hint="cs"/>
          <w:cs/>
          <w:lang w:val="en-GB" w:bidi="hi-IN"/>
        </w:rPr>
        <w:t>मूल्य</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 xml:space="preserve">Integrating these </w:t>
      </w:r>
      <w:r w:rsidRPr="0003489C">
        <w:rPr>
          <w:rFonts w:ascii="Times New Roman" w:hAnsi="Times New Roman" w:cs="Kokila" w:hint="cs"/>
          <w:cs/>
          <w:lang w:val="en-GB" w:bidi="hi-IN"/>
        </w:rPr>
        <w:t>मुद्दे</w:t>
      </w:r>
      <w:r w:rsidRPr="0003489C">
        <w:rPr>
          <w:rFonts w:ascii="Times New Roman" w:hAnsi="Times New Roman" w:cs="Times New Roman"/>
          <w:cs/>
          <w:lang w:val="en-GB" w:bidi="hi-IN"/>
        </w:rPr>
        <w:t xml:space="preserve"> </w:t>
      </w:r>
      <w:r w:rsidRPr="0003489C">
        <w:rPr>
          <w:rFonts w:ascii="Times New Roman" w:hAnsi="Times New Roman" w:cs="Times New Roman"/>
          <w:lang w:val="en-GB"/>
        </w:rPr>
        <w:t>could strengthen the link between value and management priorities.</w:t>
      </w:r>
    </w:p>
    <w:p w14:paraId="07756720" w14:textId="2EDFC6E0" w:rsidR="0003489C" w:rsidRPr="0003489C" w:rsidRDefault="0003489C" w:rsidP="0003489C">
      <w:pPr>
        <w:spacing w:line="360" w:lineRule="auto"/>
        <w:rPr>
          <w:rFonts w:ascii="Times New Roman" w:hAnsi="Times New Roman" w:cs="Times New Roman"/>
          <w:lang w:val="en-GB"/>
        </w:rPr>
      </w:pPr>
    </w:p>
    <w:p w14:paraId="3E01F9FC" w14:textId="77777777" w:rsidR="0003489C" w:rsidRPr="0003489C" w:rsidRDefault="0003489C" w:rsidP="0003489C">
      <w:pPr>
        <w:spacing w:line="360" w:lineRule="auto"/>
        <w:rPr>
          <w:rFonts w:ascii="Times New Roman" w:hAnsi="Times New Roman" w:cs="Times New Roman"/>
          <w:b/>
          <w:bCs/>
          <w:lang w:val="en-GB"/>
        </w:rPr>
      </w:pPr>
      <w:r w:rsidRPr="0003489C">
        <w:rPr>
          <w:rFonts w:ascii="Times New Roman" w:hAnsi="Times New Roman" w:cs="Times New Roman"/>
          <w:b/>
          <w:bCs/>
          <w:lang w:val="en-GB"/>
        </w:rPr>
        <w:t>Conclusion</w:t>
      </w:r>
    </w:p>
    <w:p w14:paraId="6CE01DB3"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The Great Barrier Reef World Heritage Area Strategic Management Plan represents a sophisticated and forward-looking approach to heritage management. Its vision statement effectively emphasizes resilience and sustainability, though it could benefit from clearer operational definitions and stronger Indigenous participation. The objectives demonstrate a comprehensive, science-based approach, yet face significant challenges in implementation and balancing economic interests. The value statement clearly articulates the Reef’s global ecological importance but would be strengthened by a more inclusive and contemporary perspective.</w:t>
      </w:r>
    </w:p>
    <w:p w14:paraId="6CE03E1B" w14:textId="77777777" w:rsidR="0003489C" w:rsidRPr="0003489C" w:rsidRDefault="0003489C" w:rsidP="0003489C">
      <w:pPr>
        <w:spacing w:line="360" w:lineRule="auto"/>
        <w:rPr>
          <w:rFonts w:ascii="Times New Roman" w:hAnsi="Times New Roman" w:cs="Times New Roman"/>
          <w:lang w:val="en-GB"/>
        </w:rPr>
      </w:pPr>
      <w:r w:rsidRPr="0003489C">
        <w:rPr>
          <w:rFonts w:ascii="Times New Roman" w:hAnsi="Times New Roman" w:cs="Times New Roman"/>
          <w:lang w:val="en-GB"/>
        </w:rPr>
        <w:t>Overall, the plan reflects many of the principles of modern heritage management, particularly in its integration of environmental science, stakeholder collaboration, and adaptive strategies. However, its long-term success will depend on its ability to address persistent implementation gaps, enhance inclusivity, and respond effectively to the accelerating impacts of climate change.</w:t>
      </w:r>
    </w:p>
    <w:p w14:paraId="71BB892B" w14:textId="3E7F25F4" w:rsidR="0003489C" w:rsidRPr="0003489C" w:rsidRDefault="0003489C" w:rsidP="0003489C">
      <w:pPr>
        <w:spacing w:line="360" w:lineRule="auto"/>
        <w:rPr>
          <w:rFonts w:ascii="Times New Roman" w:hAnsi="Times New Roman" w:cs="Times New Roman"/>
          <w:lang w:val="en-GB"/>
        </w:rPr>
      </w:pPr>
    </w:p>
    <w:p w14:paraId="428A1E19" w14:textId="77777777" w:rsidR="0003489C" w:rsidRPr="0003489C" w:rsidRDefault="0003489C" w:rsidP="0003489C">
      <w:pPr>
        <w:spacing w:line="360" w:lineRule="auto"/>
        <w:rPr>
          <w:rFonts w:ascii="Times New Roman" w:hAnsi="Times New Roman" w:cs="Times New Roman"/>
          <w:b/>
          <w:bCs/>
          <w:lang w:val="en-GB"/>
        </w:rPr>
      </w:pPr>
      <w:r w:rsidRPr="0003489C">
        <w:rPr>
          <w:rFonts w:ascii="Times New Roman" w:hAnsi="Times New Roman" w:cs="Times New Roman"/>
          <w:b/>
          <w:bCs/>
          <w:lang w:val="en-GB"/>
        </w:rPr>
        <w:t>References</w:t>
      </w:r>
    </w:p>
    <w:p w14:paraId="47B17914" w14:textId="77777777" w:rsidR="0003489C" w:rsidRPr="0003489C" w:rsidRDefault="0003489C" w:rsidP="0003489C">
      <w:pPr>
        <w:numPr>
          <w:ilvl w:val="0"/>
          <w:numId w:val="3"/>
        </w:numPr>
        <w:spacing w:line="360" w:lineRule="auto"/>
        <w:rPr>
          <w:rFonts w:ascii="Times New Roman" w:hAnsi="Times New Roman" w:cs="Times New Roman"/>
          <w:lang w:val="en-GB"/>
        </w:rPr>
      </w:pPr>
      <w:r w:rsidRPr="0003489C">
        <w:rPr>
          <w:rFonts w:ascii="Times New Roman" w:hAnsi="Times New Roman" w:cs="Times New Roman"/>
          <w:lang w:val="en-GB"/>
        </w:rPr>
        <w:t xml:space="preserve">Byrne, D. (2008). Heritage as social action. In G. Fairclough et al. (Eds.), </w:t>
      </w:r>
      <w:r w:rsidRPr="0003489C">
        <w:rPr>
          <w:rFonts w:ascii="Times New Roman" w:hAnsi="Times New Roman" w:cs="Times New Roman"/>
          <w:i/>
          <w:iCs/>
          <w:lang w:val="en-GB"/>
        </w:rPr>
        <w:t>The Heritage Reader</w:t>
      </w:r>
      <w:r w:rsidRPr="0003489C">
        <w:rPr>
          <w:rFonts w:ascii="Times New Roman" w:hAnsi="Times New Roman" w:cs="Times New Roman"/>
          <w:lang w:val="en-GB"/>
        </w:rPr>
        <w:t xml:space="preserve">. Routledge. </w:t>
      </w:r>
    </w:p>
    <w:p w14:paraId="7E7EBF7D" w14:textId="77777777" w:rsidR="0003489C" w:rsidRPr="0003489C" w:rsidRDefault="0003489C" w:rsidP="0003489C">
      <w:pPr>
        <w:numPr>
          <w:ilvl w:val="0"/>
          <w:numId w:val="3"/>
        </w:numPr>
        <w:spacing w:line="360" w:lineRule="auto"/>
        <w:rPr>
          <w:rFonts w:ascii="Times New Roman" w:hAnsi="Times New Roman" w:cs="Times New Roman"/>
          <w:lang w:val="en-GB"/>
        </w:rPr>
      </w:pPr>
      <w:r w:rsidRPr="0003489C">
        <w:rPr>
          <w:rFonts w:ascii="Times New Roman" w:hAnsi="Times New Roman" w:cs="Times New Roman"/>
          <w:lang w:val="en-GB"/>
        </w:rPr>
        <w:t xml:space="preserve">Day, J. (2008). The need and practice of monitoring, evaluating and adapting marine planning and management—Lessons from the Great Barrier Reef. </w:t>
      </w:r>
      <w:r w:rsidRPr="0003489C">
        <w:rPr>
          <w:rFonts w:ascii="Times New Roman" w:hAnsi="Times New Roman" w:cs="Times New Roman"/>
          <w:i/>
          <w:iCs/>
          <w:lang w:val="en-GB"/>
        </w:rPr>
        <w:t>Marine Policy</w:t>
      </w:r>
      <w:r w:rsidRPr="0003489C">
        <w:rPr>
          <w:rFonts w:ascii="Times New Roman" w:hAnsi="Times New Roman" w:cs="Times New Roman"/>
          <w:lang w:val="en-GB"/>
        </w:rPr>
        <w:t xml:space="preserve">, 32(5), 823–831. </w:t>
      </w:r>
    </w:p>
    <w:p w14:paraId="5F852CB3" w14:textId="77777777" w:rsidR="0003489C" w:rsidRPr="0003489C" w:rsidRDefault="0003489C" w:rsidP="0003489C">
      <w:pPr>
        <w:numPr>
          <w:ilvl w:val="0"/>
          <w:numId w:val="3"/>
        </w:numPr>
        <w:spacing w:line="360" w:lineRule="auto"/>
        <w:rPr>
          <w:rFonts w:ascii="Times New Roman" w:hAnsi="Times New Roman" w:cs="Times New Roman"/>
          <w:lang w:val="en-GB"/>
        </w:rPr>
      </w:pPr>
      <w:r w:rsidRPr="0003489C">
        <w:rPr>
          <w:rFonts w:ascii="Times New Roman" w:hAnsi="Times New Roman" w:cs="Times New Roman"/>
          <w:lang w:val="en-GB"/>
        </w:rPr>
        <w:t xml:space="preserve">Hill, R., Grant, C., George, M., Robinson, C., Jackson, S., &amp; Abel, N. (2012). A typology of Indigenous engagement in Australian environmental management. </w:t>
      </w:r>
      <w:r w:rsidRPr="0003489C">
        <w:rPr>
          <w:rFonts w:ascii="Times New Roman" w:hAnsi="Times New Roman" w:cs="Times New Roman"/>
          <w:i/>
          <w:iCs/>
          <w:lang w:val="en-GB"/>
        </w:rPr>
        <w:t>Ecology and Society</w:t>
      </w:r>
      <w:r w:rsidRPr="0003489C">
        <w:rPr>
          <w:rFonts w:ascii="Times New Roman" w:hAnsi="Times New Roman" w:cs="Times New Roman"/>
          <w:lang w:val="en-GB"/>
        </w:rPr>
        <w:t xml:space="preserve">, 17(1). </w:t>
      </w:r>
    </w:p>
    <w:p w14:paraId="1310A679" w14:textId="77777777" w:rsidR="0003489C" w:rsidRPr="0003489C" w:rsidRDefault="0003489C" w:rsidP="0003489C">
      <w:pPr>
        <w:numPr>
          <w:ilvl w:val="0"/>
          <w:numId w:val="3"/>
        </w:numPr>
        <w:spacing w:line="360" w:lineRule="auto"/>
        <w:rPr>
          <w:rFonts w:ascii="Times New Roman" w:hAnsi="Times New Roman" w:cs="Times New Roman"/>
          <w:lang w:val="en-GB"/>
        </w:rPr>
      </w:pPr>
      <w:r w:rsidRPr="0003489C">
        <w:rPr>
          <w:rFonts w:ascii="Times New Roman" w:hAnsi="Times New Roman" w:cs="Times New Roman"/>
          <w:lang w:val="en-GB"/>
        </w:rPr>
        <w:lastRenderedPageBreak/>
        <w:t xml:space="preserve">Hughes, T. P., Kerry, J. T., Álvarez-Noriega, M., et al. (2017). Global warming and recurrent mass bleaching of corals. </w:t>
      </w:r>
      <w:r w:rsidRPr="0003489C">
        <w:rPr>
          <w:rFonts w:ascii="Times New Roman" w:hAnsi="Times New Roman" w:cs="Times New Roman"/>
          <w:i/>
          <w:iCs/>
          <w:lang w:val="en-GB"/>
        </w:rPr>
        <w:t>Nature</w:t>
      </w:r>
      <w:r w:rsidRPr="0003489C">
        <w:rPr>
          <w:rFonts w:ascii="Times New Roman" w:hAnsi="Times New Roman" w:cs="Times New Roman"/>
          <w:lang w:val="en-GB"/>
        </w:rPr>
        <w:t xml:space="preserve">, 543, 373–377. </w:t>
      </w:r>
    </w:p>
    <w:p w14:paraId="00CF2276" w14:textId="77777777" w:rsidR="0003489C" w:rsidRPr="0003489C" w:rsidRDefault="0003489C" w:rsidP="0003489C">
      <w:pPr>
        <w:numPr>
          <w:ilvl w:val="0"/>
          <w:numId w:val="3"/>
        </w:numPr>
        <w:spacing w:line="360" w:lineRule="auto"/>
        <w:rPr>
          <w:rFonts w:ascii="Times New Roman" w:hAnsi="Times New Roman" w:cs="Times New Roman"/>
          <w:lang w:val="en-GB"/>
        </w:rPr>
      </w:pPr>
      <w:r w:rsidRPr="0003489C">
        <w:rPr>
          <w:rFonts w:ascii="Times New Roman" w:hAnsi="Times New Roman" w:cs="Times New Roman"/>
          <w:lang w:val="en-GB"/>
        </w:rPr>
        <w:t xml:space="preserve">Lockwood, M., Worboys, G., &amp; Kothari, A. (2012). </w:t>
      </w:r>
      <w:r w:rsidRPr="0003489C">
        <w:rPr>
          <w:rFonts w:ascii="Times New Roman" w:hAnsi="Times New Roman" w:cs="Times New Roman"/>
          <w:i/>
          <w:iCs/>
          <w:lang w:val="en-GB"/>
        </w:rPr>
        <w:t>Managing Protected Areas: A Global Guide</w:t>
      </w:r>
      <w:r w:rsidRPr="0003489C">
        <w:rPr>
          <w:rFonts w:ascii="Times New Roman" w:hAnsi="Times New Roman" w:cs="Times New Roman"/>
          <w:lang w:val="en-GB"/>
        </w:rPr>
        <w:t xml:space="preserve">. Earthscan. </w:t>
      </w:r>
    </w:p>
    <w:p w14:paraId="0BE6DF52" w14:textId="77777777" w:rsidR="000E2BEF" w:rsidRPr="000E2BEF" w:rsidRDefault="000E2BEF" w:rsidP="0003489C">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Kokila">
    <w:panose1 w:val="01010601010101010101"/>
    <w:charset w:val="01"/>
    <w:family w:val="auto"/>
    <w:pitch w:val="variable"/>
    <w:sig w:usb0="00008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1180856009">
    <w:abstractNumId w:val="2"/>
  </w:num>
  <w:num w:numId="3" w16cid:durableId="561673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411FCA"/>
    <w:rsid w:val="004D02D4"/>
    <w:rsid w:val="00D830A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2026-04-27T11:24:00Z</dcterms:created>
  <dcterms:modified xsi:type="dcterms:W3CDTF">2026-04-27T11:24:00Z</dcterms:modified>
</cp:coreProperties>
</file>