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9E06A" w14:textId="030DA973" w:rsidR="004316EB" w:rsidRPr="00275FF7" w:rsidRDefault="00DD3B5B" w:rsidP="004316EB">
      <w:pPr>
        <w:spacing w:line="360" w:lineRule="auto"/>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5F4A7A59" wp14:editId="00C884B0">
            <wp:simplePos x="0" y="0"/>
            <wp:positionH relativeFrom="column">
              <wp:posOffset>4301490</wp:posOffset>
            </wp:positionH>
            <wp:positionV relativeFrom="paragraph">
              <wp:posOffset>126365</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D4BEBD" w14:textId="7B18D76F" w:rsidR="004316EB" w:rsidRPr="00275FF7" w:rsidRDefault="004316EB" w:rsidP="004316EB">
      <w:pPr>
        <w:spacing w:line="360" w:lineRule="auto"/>
        <w:rPr>
          <w:rFonts w:ascii="Times New Roman" w:hAnsi="Times New Roman" w:cs="Times New Roman"/>
          <w:sz w:val="24"/>
          <w:szCs w:val="24"/>
        </w:rPr>
      </w:pPr>
    </w:p>
    <w:p w14:paraId="75623060" w14:textId="77777777" w:rsidR="004316EB" w:rsidRPr="00275FF7" w:rsidRDefault="004316EB" w:rsidP="004316EB">
      <w:pPr>
        <w:spacing w:line="360" w:lineRule="auto"/>
        <w:rPr>
          <w:rFonts w:ascii="Times New Roman" w:hAnsi="Times New Roman" w:cs="Times New Roman"/>
          <w:sz w:val="24"/>
          <w:szCs w:val="24"/>
        </w:rPr>
      </w:pPr>
    </w:p>
    <w:p w14:paraId="7D112E70" w14:textId="77777777" w:rsidR="004316EB" w:rsidRPr="00275FF7" w:rsidRDefault="004316EB" w:rsidP="004316EB">
      <w:pPr>
        <w:spacing w:line="360" w:lineRule="auto"/>
        <w:rPr>
          <w:rFonts w:ascii="Times New Roman" w:hAnsi="Times New Roman" w:cs="Times New Roman"/>
          <w:sz w:val="24"/>
          <w:szCs w:val="24"/>
        </w:rPr>
      </w:pPr>
    </w:p>
    <w:p w14:paraId="79900C0B" w14:textId="77777777" w:rsidR="00DD3B5B" w:rsidRDefault="00DD3B5B" w:rsidP="004316EB">
      <w:pPr>
        <w:spacing w:line="360" w:lineRule="auto"/>
        <w:jc w:val="center"/>
        <w:rPr>
          <w:rFonts w:ascii="Times New Roman" w:hAnsi="Times New Roman" w:cs="Times New Roman"/>
          <w:b/>
          <w:sz w:val="24"/>
          <w:szCs w:val="24"/>
        </w:rPr>
      </w:pPr>
    </w:p>
    <w:p w14:paraId="588AAC85" w14:textId="77777777" w:rsidR="00DD3B5B" w:rsidRDefault="00DD3B5B" w:rsidP="004316EB">
      <w:pPr>
        <w:spacing w:line="360" w:lineRule="auto"/>
        <w:jc w:val="center"/>
        <w:rPr>
          <w:rFonts w:ascii="Times New Roman" w:hAnsi="Times New Roman" w:cs="Times New Roman"/>
          <w:b/>
          <w:sz w:val="24"/>
          <w:szCs w:val="24"/>
        </w:rPr>
      </w:pPr>
    </w:p>
    <w:p w14:paraId="35BD773D" w14:textId="262AF1CA" w:rsidR="0090756E" w:rsidRPr="00275FF7" w:rsidRDefault="00000000" w:rsidP="004316EB">
      <w:pPr>
        <w:spacing w:line="360" w:lineRule="auto"/>
        <w:jc w:val="center"/>
        <w:rPr>
          <w:rFonts w:ascii="Times New Roman" w:hAnsi="Times New Roman" w:cs="Times New Roman"/>
          <w:sz w:val="24"/>
          <w:szCs w:val="24"/>
        </w:rPr>
      </w:pPr>
      <w:r w:rsidRPr="00275FF7">
        <w:rPr>
          <w:rFonts w:ascii="Times New Roman" w:hAnsi="Times New Roman" w:cs="Times New Roman"/>
          <w:b/>
          <w:sz w:val="24"/>
          <w:szCs w:val="24"/>
        </w:rPr>
        <w:br/>
        <w:t>Communicable and Non-Communicable Diseases: Impacts on Tourism Destinations, Destination Image, and Crisis Management Strategies</w:t>
      </w:r>
      <w:r w:rsidRPr="00275FF7">
        <w:rPr>
          <w:rFonts w:ascii="Times New Roman" w:hAnsi="Times New Roman" w:cs="Times New Roman"/>
          <w:b/>
          <w:sz w:val="24"/>
          <w:szCs w:val="24"/>
        </w:rPr>
        <w:br/>
      </w:r>
    </w:p>
    <w:p w14:paraId="426F270F" w14:textId="187AAFF8" w:rsidR="006B1539" w:rsidRPr="00275FF7" w:rsidRDefault="00000000" w:rsidP="004316EB">
      <w:pPr>
        <w:spacing w:line="360" w:lineRule="auto"/>
        <w:jc w:val="center"/>
        <w:rPr>
          <w:rFonts w:ascii="Times New Roman" w:hAnsi="Times New Roman" w:cs="Times New Roman"/>
          <w:sz w:val="24"/>
          <w:szCs w:val="24"/>
        </w:rPr>
      </w:pPr>
      <w:r w:rsidRPr="00275FF7">
        <w:rPr>
          <w:rFonts w:ascii="Times New Roman" w:hAnsi="Times New Roman" w:cs="Times New Roman"/>
          <w:sz w:val="24"/>
          <w:szCs w:val="24"/>
        </w:rPr>
        <w:t>Karma Wangchuk</w:t>
      </w:r>
    </w:p>
    <w:p w14:paraId="2A4E10E3" w14:textId="77777777" w:rsidR="0090756E" w:rsidRPr="00275FF7" w:rsidRDefault="0090756E" w:rsidP="004316EB">
      <w:pPr>
        <w:spacing w:line="360" w:lineRule="auto"/>
        <w:jc w:val="center"/>
        <w:rPr>
          <w:rFonts w:ascii="Times New Roman" w:hAnsi="Times New Roman" w:cs="Times New Roman"/>
          <w:sz w:val="24"/>
          <w:szCs w:val="24"/>
        </w:rPr>
      </w:pPr>
      <w:r w:rsidRPr="00275FF7">
        <w:rPr>
          <w:rFonts w:ascii="Times New Roman" w:hAnsi="Times New Roman" w:cs="Times New Roman"/>
          <w:sz w:val="24"/>
          <w:szCs w:val="24"/>
        </w:rPr>
        <w:t>European Institute for Innovation, Entrepreneurship and Technology</w:t>
      </w:r>
    </w:p>
    <w:p w14:paraId="3D3A415E" w14:textId="34AE8D9A" w:rsidR="006B1539" w:rsidRPr="00275FF7" w:rsidRDefault="00000000" w:rsidP="004316EB">
      <w:pPr>
        <w:spacing w:line="360" w:lineRule="auto"/>
        <w:jc w:val="center"/>
        <w:rPr>
          <w:rFonts w:ascii="Times New Roman" w:hAnsi="Times New Roman" w:cs="Times New Roman"/>
          <w:sz w:val="24"/>
          <w:szCs w:val="24"/>
        </w:rPr>
      </w:pPr>
      <w:r w:rsidRPr="00275FF7">
        <w:rPr>
          <w:rFonts w:ascii="Times New Roman" w:hAnsi="Times New Roman" w:cs="Times New Roman"/>
          <w:sz w:val="24"/>
          <w:szCs w:val="24"/>
        </w:rPr>
        <w:t>DE240180</w:t>
      </w:r>
      <w:r w:rsidR="0090756E" w:rsidRPr="00275FF7">
        <w:rPr>
          <w:rFonts w:ascii="Times New Roman" w:hAnsi="Times New Roman" w:cs="Times New Roman"/>
          <w:sz w:val="24"/>
          <w:szCs w:val="24"/>
        </w:rPr>
        <w:t xml:space="preserve">, </w:t>
      </w:r>
      <w:r w:rsidR="00657C93">
        <w:rPr>
          <w:rFonts w:ascii="Times New Roman" w:hAnsi="Times New Roman" w:cs="Times New Roman"/>
          <w:sz w:val="24"/>
          <w:szCs w:val="24"/>
        </w:rPr>
        <w:t>Health threats in Tourism</w:t>
      </w:r>
    </w:p>
    <w:p w14:paraId="25E497EE" w14:textId="14E05E08" w:rsidR="0090756E" w:rsidRPr="00275FF7" w:rsidRDefault="004316EB" w:rsidP="004316EB">
      <w:pPr>
        <w:spacing w:line="360" w:lineRule="auto"/>
        <w:jc w:val="center"/>
        <w:rPr>
          <w:rFonts w:ascii="Times New Roman" w:hAnsi="Times New Roman" w:cs="Times New Roman"/>
          <w:sz w:val="24"/>
          <w:szCs w:val="24"/>
        </w:rPr>
      </w:pPr>
      <w:r w:rsidRPr="00275FF7">
        <w:rPr>
          <w:rFonts w:ascii="Times New Roman" w:hAnsi="Times New Roman" w:cs="Times New Roman"/>
          <w:sz w:val="24"/>
          <w:szCs w:val="24"/>
        </w:rPr>
        <w:t>Mahmoud Abdou</w:t>
      </w:r>
    </w:p>
    <w:p w14:paraId="7EEA8198" w14:textId="77777777" w:rsidR="006B1539" w:rsidRPr="00275FF7" w:rsidRDefault="00000000" w:rsidP="004316EB">
      <w:pPr>
        <w:spacing w:line="360" w:lineRule="auto"/>
        <w:jc w:val="center"/>
        <w:rPr>
          <w:rFonts w:ascii="Times New Roman" w:hAnsi="Times New Roman" w:cs="Times New Roman"/>
          <w:sz w:val="24"/>
          <w:szCs w:val="24"/>
        </w:rPr>
      </w:pPr>
      <w:r w:rsidRPr="00275FF7">
        <w:rPr>
          <w:rFonts w:ascii="Times New Roman" w:hAnsi="Times New Roman" w:cs="Times New Roman"/>
          <w:sz w:val="24"/>
          <w:szCs w:val="24"/>
        </w:rPr>
        <w:t>Date: 15.09.2025</w:t>
      </w:r>
    </w:p>
    <w:p w14:paraId="103F610C" w14:textId="77777777" w:rsidR="004316EB" w:rsidRPr="00275FF7" w:rsidRDefault="00000000" w:rsidP="004316EB">
      <w:pPr>
        <w:spacing w:line="360" w:lineRule="auto"/>
        <w:jc w:val="center"/>
        <w:rPr>
          <w:rFonts w:ascii="Times New Roman" w:hAnsi="Times New Roman" w:cs="Times New Roman"/>
          <w:sz w:val="24"/>
          <w:szCs w:val="24"/>
        </w:rPr>
      </w:pPr>
      <w:r w:rsidRPr="00275FF7">
        <w:rPr>
          <w:rFonts w:ascii="Times New Roman" w:hAnsi="Times New Roman" w:cs="Times New Roman"/>
          <w:sz w:val="24"/>
          <w:szCs w:val="24"/>
        </w:rPr>
        <w:br w:type="page"/>
      </w:r>
    </w:p>
    <w:p w14:paraId="419DD141" w14:textId="5E718D11" w:rsidR="004316EB" w:rsidRPr="00275FF7" w:rsidRDefault="004316EB" w:rsidP="004316EB">
      <w:pPr>
        <w:spacing w:line="360" w:lineRule="auto"/>
        <w:rPr>
          <w:rFonts w:ascii="Times New Roman" w:hAnsi="Times New Roman" w:cs="Times New Roman"/>
          <w:sz w:val="24"/>
          <w:szCs w:val="24"/>
        </w:rPr>
      </w:pPr>
      <w:r w:rsidRPr="00275FF7">
        <w:rPr>
          <w:rFonts w:ascii="Times New Roman" w:hAnsi="Times New Roman" w:cs="Times New Roman"/>
          <w:b/>
          <w:sz w:val="24"/>
          <w:szCs w:val="24"/>
        </w:rPr>
        <w:lastRenderedPageBreak/>
        <w:t>Communicable and Non-Communicable Diseases: Impacts on Tourism Destinations, Destination Image, and Crisis Management Strategies</w:t>
      </w:r>
      <w:r w:rsidRPr="00275FF7">
        <w:rPr>
          <w:rFonts w:ascii="Times New Roman" w:hAnsi="Times New Roman" w:cs="Times New Roman"/>
          <w:b/>
          <w:sz w:val="24"/>
          <w:szCs w:val="24"/>
        </w:rPr>
        <w:br/>
      </w:r>
    </w:p>
    <w:p w14:paraId="01053EDC" w14:textId="38771FB6" w:rsidR="00182F65" w:rsidRPr="00275FF7" w:rsidRDefault="004316EB" w:rsidP="004316EB">
      <w:pPr>
        <w:spacing w:line="360" w:lineRule="auto"/>
        <w:rPr>
          <w:rFonts w:ascii="Times New Roman" w:hAnsi="Times New Roman" w:cs="Times New Roman"/>
          <w:b/>
          <w:bCs/>
          <w:sz w:val="24"/>
          <w:szCs w:val="24"/>
        </w:rPr>
      </w:pPr>
      <w:r w:rsidRPr="00275FF7">
        <w:rPr>
          <w:rFonts w:ascii="Times New Roman" w:hAnsi="Times New Roman" w:cs="Times New Roman"/>
          <w:b/>
          <w:bCs/>
          <w:sz w:val="24"/>
          <w:szCs w:val="24"/>
        </w:rPr>
        <w:t>Abstract</w:t>
      </w:r>
    </w:p>
    <w:p w14:paraId="324C03F4" w14:textId="54703232" w:rsidR="00182F65" w:rsidRPr="00275FF7" w:rsidRDefault="00182F65" w:rsidP="004316EB">
      <w:pPr>
        <w:spacing w:line="360" w:lineRule="auto"/>
        <w:rPr>
          <w:rFonts w:ascii="Times New Roman" w:hAnsi="Times New Roman" w:cs="Times New Roman"/>
          <w:sz w:val="24"/>
          <w:szCs w:val="24"/>
        </w:rPr>
      </w:pPr>
      <w:r w:rsidRPr="00275FF7">
        <w:rPr>
          <w:rFonts w:ascii="Times New Roman" w:hAnsi="Times New Roman" w:cs="Times New Roman"/>
          <w:sz w:val="24"/>
          <w:szCs w:val="24"/>
        </w:rPr>
        <w:t>Tourism destinations are increasingly at risk of health-crisis events caused by communicable as well as non-communicable diseases. Communicable diseases such as COVID-19, SARS, and Ebola easily spread over international borders, triggering travel restrictions, drops in visitor arrivals, and an enormous loss of revenue for tourism-oriented regions. Non-communicable diseases, although not as infectious, also affect tourism because they define visitor health needs, accessibility constraints, and how safe a destination is viewed to be. Both forms of conditions impact the total destination image, normally creating harmful impressions that minimize competitiveness in the international tourism environment. To reverse such issues, effective crisis management initiatives in the guise of health measures, transparent communication, stakeholder coordination, and sustainable recovery planning become imperative. Resilience enables destinations to protect their image and people's trust as tourists during and after health crises.</w:t>
      </w:r>
    </w:p>
    <w:p w14:paraId="6BD9FF9D" w14:textId="77777777" w:rsidR="004316EB" w:rsidRPr="00275FF7" w:rsidRDefault="004316EB" w:rsidP="004316EB">
      <w:pPr>
        <w:spacing w:line="360" w:lineRule="auto"/>
        <w:rPr>
          <w:rFonts w:ascii="Times New Roman" w:hAnsi="Times New Roman" w:cs="Times New Roman"/>
          <w:sz w:val="24"/>
          <w:szCs w:val="24"/>
        </w:rPr>
      </w:pPr>
    </w:p>
    <w:p w14:paraId="236FC1E1" w14:textId="77777777" w:rsidR="004316EB" w:rsidRPr="00275FF7" w:rsidRDefault="004316EB" w:rsidP="004316EB">
      <w:pPr>
        <w:spacing w:line="360" w:lineRule="auto"/>
        <w:rPr>
          <w:rFonts w:ascii="Times New Roman" w:hAnsi="Times New Roman" w:cs="Times New Roman"/>
          <w:sz w:val="24"/>
          <w:szCs w:val="24"/>
        </w:rPr>
      </w:pPr>
    </w:p>
    <w:p w14:paraId="34E996CE" w14:textId="77777777" w:rsidR="004316EB" w:rsidRPr="00275FF7" w:rsidRDefault="004316EB" w:rsidP="004316EB">
      <w:pPr>
        <w:spacing w:line="360" w:lineRule="auto"/>
        <w:jc w:val="center"/>
        <w:rPr>
          <w:rFonts w:ascii="Times New Roman" w:hAnsi="Times New Roman" w:cs="Times New Roman"/>
          <w:sz w:val="24"/>
          <w:szCs w:val="24"/>
        </w:rPr>
      </w:pPr>
    </w:p>
    <w:p w14:paraId="305B4705" w14:textId="77777777" w:rsidR="004316EB" w:rsidRPr="00275FF7" w:rsidRDefault="004316EB" w:rsidP="00182F65">
      <w:pPr>
        <w:spacing w:line="360" w:lineRule="auto"/>
        <w:rPr>
          <w:rFonts w:ascii="Times New Roman" w:hAnsi="Times New Roman" w:cs="Times New Roman"/>
          <w:sz w:val="24"/>
          <w:szCs w:val="24"/>
        </w:rPr>
      </w:pPr>
    </w:p>
    <w:p w14:paraId="64CFFA0D" w14:textId="77777777" w:rsidR="00182F65" w:rsidRPr="00275FF7" w:rsidRDefault="00182F65" w:rsidP="00182F65">
      <w:pPr>
        <w:spacing w:line="360" w:lineRule="auto"/>
        <w:rPr>
          <w:rFonts w:ascii="Times New Roman" w:hAnsi="Times New Roman" w:cs="Times New Roman"/>
          <w:sz w:val="24"/>
          <w:szCs w:val="24"/>
        </w:rPr>
      </w:pPr>
    </w:p>
    <w:p w14:paraId="4413DE8B" w14:textId="77777777" w:rsidR="004316EB" w:rsidRPr="00275FF7" w:rsidRDefault="004316EB" w:rsidP="004316EB">
      <w:pPr>
        <w:spacing w:line="360" w:lineRule="auto"/>
        <w:jc w:val="center"/>
        <w:rPr>
          <w:rFonts w:ascii="Times New Roman" w:hAnsi="Times New Roman" w:cs="Times New Roman"/>
          <w:sz w:val="24"/>
          <w:szCs w:val="24"/>
        </w:rPr>
      </w:pPr>
    </w:p>
    <w:p w14:paraId="38FC3E25" w14:textId="77777777" w:rsidR="004316EB" w:rsidRPr="00275FF7" w:rsidRDefault="004316EB" w:rsidP="004316EB">
      <w:pPr>
        <w:spacing w:line="360" w:lineRule="auto"/>
        <w:jc w:val="center"/>
        <w:rPr>
          <w:rFonts w:ascii="Times New Roman" w:hAnsi="Times New Roman" w:cs="Times New Roman"/>
          <w:sz w:val="24"/>
          <w:szCs w:val="24"/>
        </w:rPr>
      </w:pPr>
    </w:p>
    <w:p w14:paraId="6429EB40" w14:textId="77777777" w:rsidR="004316EB" w:rsidRPr="00275FF7" w:rsidRDefault="004316EB" w:rsidP="004316EB">
      <w:pPr>
        <w:spacing w:line="360" w:lineRule="auto"/>
        <w:jc w:val="center"/>
        <w:rPr>
          <w:rFonts w:ascii="Times New Roman" w:hAnsi="Times New Roman" w:cs="Times New Roman"/>
          <w:sz w:val="24"/>
          <w:szCs w:val="24"/>
        </w:rPr>
      </w:pPr>
    </w:p>
    <w:p w14:paraId="37064A42" w14:textId="77777777" w:rsidR="004316EB" w:rsidRPr="00275FF7" w:rsidRDefault="004316EB" w:rsidP="004316EB">
      <w:pPr>
        <w:spacing w:line="360" w:lineRule="auto"/>
        <w:jc w:val="center"/>
        <w:rPr>
          <w:rFonts w:ascii="Times New Roman" w:hAnsi="Times New Roman" w:cs="Times New Roman"/>
          <w:sz w:val="24"/>
          <w:szCs w:val="24"/>
        </w:rPr>
      </w:pPr>
    </w:p>
    <w:p w14:paraId="4E082949" w14:textId="3732E84B" w:rsidR="006B1539" w:rsidRPr="00275FF7" w:rsidRDefault="00000000" w:rsidP="004316EB">
      <w:pPr>
        <w:spacing w:line="360" w:lineRule="auto"/>
        <w:jc w:val="center"/>
        <w:rPr>
          <w:rFonts w:ascii="Times New Roman" w:hAnsi="Times New Roman" w:cs="Times New Roman"/>
          <w:b/>
          <w:bCs/>
          <w:sz w:val="24"/>
          <w:szCs w:val="24"/>
        </w:rPr>
      </w:pPr>
      <w:r w:rsidRPr="00275FF7">
        <w:rPr>
          <w:rFonts w:ascii="Times New Roman" w:hAnsi="Times New Roman" w:cs="Times New Roman"/>
          <w:b/>
          <w:bCs/>
          <w:sz w:val="24"/>
          <w:szCs w:val="24"/>
        </w:rPr>
        <w:lastRenderedPageBreak/>
        <w:t>Introduction</w:t>
      </w:r>
    </w:p>
    <w:p w14:paraId="6BBE169D"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Tourism, one of the fastest-growing global industries, is deeply interconnected with public health, safety, and the resilience of destinations. The COVID-19 pandemic provided a stark reminder of how communicable diseases can disrupt travel flows, damage tourism economies, and reshape perceptions of destination safety. Similarly, non-communicable diseases (NCDs), though often less visible, exert a significant influence on long-term tourism sustainability. Rising global health burdens such as cardiovascular illnesses, diabetes, and obesity affect not only tourists but also local populations working in tourism. Destinations must consider the implications of both communicable and non-communicable diseases on visitor experiences, workforce capacity, and destination image.</w:t>
      </w:r>
    </w:p>
    <w:p w14:paraId="76766311"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This research paper explores the dynamics between communicable and non-communicable diseases and tourism. It highlights how disease outbreaks and long-term health crises can affect tourism demand, image, and sustainability. It further examines crisis management strategies used by destinations to mitigate health-related risks, rebuild trust, and promote resilience in the tourism industry.</w:t>
      </w:r>
    </w:p>
    <w:p w14:paraId="36C38D6B"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Using real-world examples such as the COVID-19 pandemic, SARS, Ebola outbreaks, and the growing prevalence of NCDs in tourism economies, the discussion provides both theoretical insights and practical implications. Ultimately, this research underscores the importance of integrating health security into tourism planning and policy. By addressing both communicable and non-communicable diseases, destinations can enhance their resilience, protect their brand image, and contribute to sustainable tourism development in the face of global health challenges.</w:t>
      </w:r>
    </w:p>
    <w:p w14:paraId="53FC4E7F" w14:textId="77777777" w:rsidR="00744BF5" w:rsidRPr="00275FF7" w:rsidRDefault="00744BF5" w:rsidP="0090756E">
      <w:pPr>
        <w:spacing w:line="360" w:lineRule="auto"/>
        <w:rPr>
          <w:rFonts w:ascii="Times New Roman" w:hAnsi="Times New Roman" w:cs="Times New Roman"/>
          <w:sz w:val="24"/>
          <w:szCs w:val="24"/>
        </w:rPr>
      </w:pPr>
    </w:p>
    <w:p w14:paraId="156893E4" w14:textId="77777777" w:rsidR="004316EB" w:rsidRPr="00275FF7" w:rsidRDefault="004316EB" w:rsidP="0090756E">
      <w:pPr>
        <w:spacing w:line="360" w:lineRule="auto"/>
        <w:rPr>
          <w:rFonts w:ascii="Times New Roman" w:hAnsi="Times New Roman" w:cs="Times New Roman"/>
          <w:b/>
          <w:bCs/>
          <w:sz w:val="24"/>
          <w:szCs w:val="24"/>
          <w:lang w:val="en-GB"/>
        </w:rPr>
      </w:pPr>
    </w:p>
    <w:p w14:paraId="1FD83CF8" w14:textId="77777777" w:rsidR="004316EB" w:rsidRPr="00275FF7" w:rsidRDefault="004316EB" w:rsidP="0090756E">
      <w:pPr>
        <w:spacing w:line="360" w:lineRule="auto"/>
        <w:rPr>
          <w:rFonts w:ascii="Times New Roman" w:hAnsi="Times New Roman" w:cs="Times New Roman"/>
          <w:b/>
          <w:bCs/>
          <w:sz w:val="24"/>
          <w:szCs w:val="24"/>
          <w:lang w:val="en-GB"/>
        </w:rPr>
      </w:pPr>
    </w:p>
    <w:p w14:paraId="4D9F6683" w14:textId="77777777" w:rsidR="004316EB" w:rsidRPr="00275FF7" w:rsidRDefault="004316EB" w:rsidP="0090756E">
      <w:pPr>
        <w:spacing w:line="360" w:lineRule="auto"/>
        <w:rPr>
          <w:rFonts w:ascii="Times New Roman" w:hAnsi="Times New Roman" w:cs="Times New Roman"/>
          <w:b/>
          <w:bCs/>
          <w:sz w:val="24"/>
          <w:szCs w:val="24"/>
          <w:lang w:val="en-GB"/>
        </w:rPr>
      </w:pPr>
    </w:p>
    <w:p w14:paraId="58F162B2" w14:textId="58B795BA"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lastRenderedPageBreak/>
        <w:t>Understanding Communicable and Non-Communicable Diseases in the Context of Tourism</w:t>
      </w:r>
    </w:p>
    <w:p w14:paraId="3F6437F5" w14:textId="4E8D06DC"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Communicable Diseases</w:t>
      </w:r>
    </w:p>
    <w:p w14:paraId="02C37E0F"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Communicable diseases are illnesses caused by infectious agents such as bacteria, viruses, and parasites. They spread from person to person through direct contact, contaminated food and water, or vectors such as mosquitoes. Examples relevant to tourism include COVID-19, SARS, Ebola, Zika virus, malaria, and influenza. These diseases can cause immediate disruptions to tourism activities by creating fear, restricting mobility, and resulting in government-imposed travel bans.</w:t>
      </w:r>
    </w:p>
    <w:p w14:paraId="20C7C6F0" w14:textId="12BC40E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The tourism industry is highly vulnerable to such outbreaks because of its reliance on the free movement of people. Airports, cruise ships, hotels, and major events act as hubs where diseases can spread rapidly. For instance, during the COVID-19 pandemic, border closures and lockdowns brought global tourism to a near standstill, leading to losses of over USD 1 trillion in 2020 alone (UNWTO, 2021). Similarly, during the Ebola outbreak in West Africa (2014–2016), unaffected </w:t>
      </w:r>
      <w:r w:rsidR="00A5627C" w:rsidRPr="00275FF7">
        <w:rPr>
          <w:rFonts w:ascii="Times New Roman" w:hAnsi="Times New Roman" w:cs="Times New Roman"/>
          <w:sz w:val="24"/>
          <w:szCs w:val="24"/>
          <w:lang w:val="en-GB"/>
        </w:rPr>
        <w:t>neighbouring</w:t>
      </w:r>
      <w:r w:rsidRPr="00734711">
        <w:rPr>
          <w:rFonts w:ascii="Times New Roman" w:hAnsi="Times New Roman" w:cs="Times New Roman"/>
          <w:sz w:val="24"/>
          <w:szCs w:val="24"/>
          <w:lang w:val="en-GB"/>
        </w:rPr>
        <w:t xml:space="preserve"> countries like Ghana and Senegal experienced sharp declines in international arrivals because of perceived health risks (Novelli et al., 2018).</w:t>
      </w:r>
    </w:p>
    <w:p w14:paraId="2B27B597" w14:textId="34580C24"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Tourism destinations are not only affected by actual disease cases but also by risk perception. Even if a destination has no significant outbreak, </w:t>
      </w:r>
      <w:r w:rsidR="004A4DDA" w:rsidRPr="00275FF7">
        <w:rPr>
          <w:rFonts w:ascii="Times New Roman" w:hAnsi="Times New Roman" w:cs="Times New Roman"/>
          <w:sz w:val="24"/>
          <w:szCs w:val="24"/>
          <w:lang w:val="en-GB"/>
        </w:rPr>
        <w:t>travellers</w:t>
      </w:r>
      <w:r w:rsidRPr="00734711">
        <w:rPr>
          <w:rFonts w:ascii="Times New Roman" w:hAnsi="Times New Roman" w:cs="Times New Roman"/>
          <w:sz w:val="24"/>
          <w:szCs w:val="24"/>
          <w:lang w:val="en-GB"/>
        </w:rPr>
        <w:t xml:space="preserve"> may avoid it if they perceive a high health risk. Thus, communicable diseases affect both the tangible aspects of tourism (travel restrictions, cancellations, revenue loss) and intangible aspects (trust, safety perception, and reputation).</w:t>
      </w:r>
    </w:p>
    <w:p w14:paraId="2D6E2884" w14:textId="26C32841"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Non-Communicable Diseases (NCDs)</w:t>
      </w:r>
    </w:p>
    <w:p w14:paraId="76150E71"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Non-communicable diseases are chronic illnesses not spread from person to person. They include cardiovascular diseases, diabetes, cancer, respiratory illnesses, and mental health disorders. According to the World Health Organization (WHO, 2022), NCDs account for over 70% of global deaths. Although they do not create immediate travel restrictions like infectious diseases, they influence tourism in subtle yet profound ways.</w:t>
      </w:r>
    </w:p>
    <w:p w14:paraId="20D7F1A0" w14:textId="04082B6A"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lastRenderedPageBreak/>
        <w:t xml:space="preserve">First, NCDs affect tourist health and travel </w:t>
      </w:r>
      <w:r w:rsidR="00A5627C" w:rsidRPr="00275FF7">
        <w:rPr>
          <w:rFonts w:ascii="Times New Roman" w:hAnsi="Times New Roman" w:cs="Times New Roman"/>
          <w:sz w:val="24"/>
          <w:szCs w:val="24"/>
          <w:lang w:val="en-GB"/>
        </w:rPr>
        <w:t>behaviour</w:t>
      </w:r>
      <w:r w:rsidRPr="00734711">
        <w:rPr>
          <w:rFonts w:ascii="Times New Roman" w:hAnsi="Times New Roman" w:cs="Times New Roman"/>
          <w:sz w:val="24"/>
          <w:szCs w:val="24"/>
          <w:lang w:val="en-GB"/>
        </w:rPr>
        <w:t>. For instance, an aging tourist population with higher risks of heart disease or mobility challenges tends to prefer destinations with advanced healthcare facilities, accessible infrastructure, and wellness tourism services. Destinations failing to accommodate these needs may lose competitiveness.</w:t>
      </w:r>
    </w:p>
    <w:p w14:paraId="175D423F"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Second, NCDs affect tourism employees and communities. Many tourism workers, particularly in developing countries, suffer from lifestyle-related diseases due to irregular work hours, poor diet, and lack of healthcare access. A workforce burdened with NCDs reduces productivity, increases healthcare costs, and weakens service quality in tourism industries.</w:t>
      </w:r>
    </w:p>
    <w:p w14:paraId="2D3F72A3" w14:textId="257A399A"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Third, NCDs shape tourism demand through wellness tourism. As more people are diagnosed with lifestyle-related diseases, there is a rising global demand for wellness retreats, yoga tourism, medical tourism, and healthy lifestyle travel packages. For example, Bhutan promotes wellness tourism linked to Gross National Happiness (GNH), offering spiritual retreats and natural therapies to international visitors seeking holistic healing.</w:t>
      </w:r>
      <w:r w:rsidR="00275FF7">
        <w:rPr>
          <w:rFonts w:ascii="Times New Roman" w:hAnsi="Times New Roman" w:cs="Times New Roman"/>
          <w:sz w:val="24"/>
          <w:szCs w:val="24"/>
          <w:lang w:val="en-GB"/>
        </w:rPr>
        <w:t xml:space="preserve"> </w:t>
      </w:r>
      <w:r w:rsidRPr="00734711">
        <w:rPr>
          <w:rFonts w:ascii="Times New Roman" w:hAnsi="Times New Roman" w:cs="Times New Roman"/>
          <w:sz w:val="24"/>
          <w:szCs w:val="24"/>
          <w:lang w:val="en-GB"/>
        </w:rPr>
        <w:t>Together, communicable and non-communicable diseases create a complex set of challenges and opportunities for tourism destinations.</w:t>
      </w:r>
    </w:p>
    <w:p w14:paraId="761DA55D" w14:textId="5CB213BA" w:rsidR="00734711" w:rsidRPr="00734711" w:rsidRDefault="00734711" w:rsidP="0090756E">
      <w:pPr>
        <w:spacing w:line="360" w:lineRule="auto"/>
        <w:rPr>
          <w:rFonts w:ascii="Times New Roman" w:hAnsi="Times New Roman" w:cs="Times New Roman"/>
          <w:sz w:val="24"/>
          <w:szCs w:val="24"/>
          <w:lang w:val="en-GB"/>
        </w:rPr>
      </w:pPr>
    </w:p>
    <w:p w14:paraId="6A5DCBEE" w14:textId="4A3F5A24"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Impacts of Diseases on Tourism Destinations and Destination Image</w:t>
      </w:r>
    </w:p>
    <w:p w14:paraId="2B656013" w14:textId="2C6954E9"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Direct Impacts on Tourism Flow and Revenue</w:t>
      </w:r>
    </w:p>
    <w:p w14:paraId="6B2380FB"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Communicable diseases cause immediate reductions in tourist arrivals due to travel advisories, border closures, and fear of infection. During COVID-19, international arrivals dropped by 74% in 2020 (UNWTO, 2021). Similarly, SARS in 2003 caused international arrivals in East Asia to decline by 9%.</w:t>
      </w:r>
    </w:p>
    <w:p w14:paraId="4C181358"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Non-communicable diseases, though less dramatic, affect tourism through long-term changes in travel patterns. An aging population with chronic illnesses increasingly demands medical facilities, health insurance coverage, and barrier-free environments. Destinations failing to meet these demands risk losing market share.</w:t>
      </w:r>
    </w:p>
    <w:p w14:paraId="52AB020A" w14:textId="10D93694"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lastRenderedPageBreak/>
        <w:t>Effects on Destination Image</w:t>
      </w:r>
    </w:p>
    <w:p w14:paraId="057A2921"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Tourism thrives on image and perception. Disease outbreaks create negative associations with destinations, which can persist even after the outbreak ends. For example, although Ebola was largely contained in a few West African nations, the entire continent of Africa was perceived as unsafe, leading to widespread declines in arrivals (Novelli et al., 2018).</w:t>
      </w:r>
    </w:p>
    <w:p w14:paraId="3A889541"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Conversely, destinations that manage health crises effectively can enhance their image. Singapore, for instance, strengthened its reputation for efficiency and safety after its transparent management of SARS, which later positioned it as a trusted tourism hub. Similarly, Germany’s effective COVID-19 response improved perceptions of its healthcare system and safety standards.</w:t>
      </w:r>
    </w:p>
    <w:p w14:paraId="24D2B648"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Non-communicable diseases influence destination image more indirectly. Destinations that promote wellness, active lifestyles, and healthcare tourism often build reputations as safe and sustainable. For instance, Thailand has marketed itself successfully as a hub for affordable medical tourism, enhancing its international image as a health-conscious destination.</w:t>
      </w:r>
    </w:p>
    <w:p w14:paraId="42A7AF90" w14:textId="51475392"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Socioeconomic Impacts on Host Communities</w:t>
      </w:r>
    </w:p>
    <w:p w14:paraId="55329986" w14:textId="11387FA0" w:rsidR="00275FF7"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Tourism destinations rely heavily on local communities. Disease outbreaks often disrupt local economies, increasing unemployment and poverty. COVID-19 caused widespread job losses in hospitality and transportation sectors, pushing many communities into economic distress. Similarly, NCDs weaken local populations by increasing healthcare burdens, reducing workforce capacity, and limiting the community’s ability to engage in tourism services.</w:t>
      </w:r>
    </w:p>
    <w:p w14:paraId="673A7EFC" w14:textId="77777777" w:rsidR="00275FF7" w:rsidRPr="00275FF7" w:rsidRDefault="00275FF7" w:rsidP="0090756E">
      <w:pPr>
        <w:spacing w:line="360" w:lineRule="auto"/>
        <w:rPr>
          <w:rFonts w:ascii="Times New Roman" w:hAnsi="Times New Roman" w:cs="Times New Roman"/>
          <w:sz w:val="24"/>
          <w:szCs w:val="24"/>
          <w:lang w:val="en-GB"/>
        </w:rPr>
      </w:pPr>
    </w:p>
    <w:p w14:paraId="60DB2BB3" w14:textId="62A25E42"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Crisis Management Strategies in Tourism</w:t>
      </w:r>
    </w:p>
    <w:p w14:paraId="5328541C" w14:textId="1D6CC24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Tourism destinations have developed multiple strategies to manage disease-related crises. These can be grouped into prevention, response, recovery, and resilience-building</w:t>
      </w:r>
      <w:r w:rsidR="00D67085">
        <w:rPr>
          <w:rFonts w:ascii="Times New Roman" w:hAnsi="Times New Roman" w:cs="Times New Roman"/>
          <w:sz w:val="24"/>
          <w:szCs w:val="24"/>
          <w:lang w:val="en-GB"/>
        </w:rPr>
        <w:t xml:space="preserve"> that will be explained in </w:t>
      </w:r>
      <w:r w:rsidR="00657C93">
        <w:rPr>
          <w:rFonts w:ascii="Times New Roman" w:hAnsi="Times New Roman" w:cs="Times New Roman"/>
          <w:sz w:val="24"/>
          <w:szCs w:val="24"/>
          <w:lang w:val="en-GB"/>
        </w:rPr>
        <w:t>detail</w:t>
      </w:r>
      <w:r w:rsidR="00D67085">
        <w:rPr>
          <w:rFonts w:ascii="Times New Roman" w:hAnsi="Times New Roman" w:cs="Times New Roman"/>
          <w:sz w:val="24"/>
          <w:szCs w:val="24"/>
          <w:lang w:val="en-GB"/>
        </w:rPr>
        <w:t xml:space="preserve"> as mentioned below:</w:t>
      </w:r>
    </w:p>
    <w:p w14:paraId="52EC0595" w14:textId="77777777" w:rsidR="00275FF7" w:rsidRDefault="00275FF7" w:rsidP="0090756E">
      <w:pPr>
        <w:spacing w:line="360" w:lineRule="auto"/>
        <w:rPr>
          <w:rFonts w:ascii="Times New Roman" w:hAnsi="Times New Roman" w:cs="Times New Roman"/>
          <w:b/>
          <w:bCs/>
          <w:sz w:val="24"/>
          <w:szCs w:val="24"/>
          <w:lang w:val="en-GB"/>
        </w:rPr>
      </w:pPr>
    </w:p>
    <w:p w14:paraId="4D2F8718" w14:textId="0479E252"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Prevention</w:t>
      </w:r>
    </w:p>
    <w:p w14:paraId="335E8427"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Prevention strategies focus on reducing disease risks before they escalate. These include:</w:t>
      </w:r>
    </w:p>
    <w:p w14:paraId="4C009D3D" w14:textId="77777777" w:rsidR="00734711" w:rsidRPr="00734711" w:rsidRDefault="00734711" w:rsidP="00275FF7">
      <w:pPr>
        <w:numPr>
          <w:ilvl w:val="0"/>
          <w:numId w:val="15"/>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Health screenings at airports and borders (temperature checks, vaccination proof).</w:t>
      </w:r>
    </w:p>
    <w:p w14:paraId="4E9D1B87" w14:textId="77777777" w:rsidR="00734711" w:rsidRPr="00734711" w:rsidRDefault="00734711" w:rsidP="00275FF7">
      <w:pPr>
        <w:numPr>
          <w:ilvl w:val="0"/>
          <w:numId w:val="15"/>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Improved sanitation and hygiene in hotels, restaurants, and tourist sites.</w:t>
      </w:r>
    </w:p>
    <w:p w14:paraId="7C35F93C" w14:textId="77777777" w:rsidR="00734711" w:rsidRPr="00734711" w:rsidRDefault="00734711" w:rsidP="00275FF7">
      <w:pPr>
        <w:numPr>
          <w:ilvl w:val="0"/>
          <w:numId w:val="15"/>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Health education campaigns to inform both tourists and residents.</w:t>
      </w:r>
    </w:p>
    <w:p w14:paraId="3DA761EA" w14:textId="77777777" w:rsidR="00734711" w:rsidRPr="00734711" w:rsidRDefault="00734711" w:rsidP="00275FF7">
      <w:pPr>
        <w:numPr>
          <w:ilvl w:val="0"/>
          <w:numId w:val="15"/>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Travel advisories issued by governments and international agencies.</w:t>
      </w:r>
    </w:p>
    <w:p w14:paraId="5964363B"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Destinations such as Singapore and South Korea excelled in preventive measures during SARS and COVID-19, setting global examples.</w:t>
      </w:r>
    </w:p>
    <w:p w14:paraId="748168AC" w14:textId="3C606269"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Response</w:t>
      </w:r>
    </w:p>
    <w:p w14:paraId="23997643"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During an outbreak, immediate response measures are crucial:</w:t>
      </w:r>
    </w:p>
    <w:p w14:paraId="515AB1D8" w14:textId="77777777" w:rsidR="00734711" w:rsidRPr="00734711" w:rsidRDefault="00734711" w:rsidP="00275FF7">
      <w:pPr>
        <w:numPr>
          <w:ilvl w:val="0"/>
          <w:numId w:val="16"/>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Crisis communication: Transparent and accurate updates reassure tourists and prevent misinformation.</w:t>
      </w:r>
    </w:p>
    <w:p w14:paraId="1F658C94" w14:textId="77777777" w:rsidR="00734711" w:rsidRPr="00734711" w:rsidRDefault="00734711" w:rsidP="00275FF7">
      <w:pPr>
        <w:numPr>
          <w:ilvl w:val="0"/>
          <w:numId w:val="16"/>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Quarantine and isolation policies: Although disruptive, these contain the spread.</w:t>
      </w:r>
    </w:p>
    <w:p w14:paraId="15CECCD4" w14:textId="77777777" w:rsidR="00734711" w:rsidRPr="00734711" w:rsidRDefault="00734711" w:rsidP="00275FF7">
      <w:pPr>
        <w:numPr>
          <w:ilvl w:val="0"/>
          <w:numId w:val="16"/>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Collaboration with international health organizations: Ensures coordinated responses and credibility.</w:t>
      </w:r>
    </w:p>
    <w:p w14:paraId="3994AA4C"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For instance, New Zealand’s strict lockdowns and transparent communication during COVID-19 not only controlled infection but also enhanced its image as a safe destination.</w:t>
      </w:r>
    </w:p>
    <w:p w14:paraId="368DFC8D" w14:textId="77777777" w:rsidR="00275FF7" w:rsidRPr="00275FF7" w:rsidRDefault="00275FF7" w:rsidP="0090756E">
      <w:pPr>
        <w:spacing w:line="360" w:lineRule="auto"/>
        <w:rPr>
          <w:rFonts w:ascii="Times New Roman" w:hAnsi="Times New Roman" w:cs="Times New Roman"/>
          <w:b/>
          <w:bCs/>
          <w:sz w:val="24"/>
          <w:szCs w:val="24"/>
          <w:lang w:val="en-GB"/>
        </w:rPr>
      </w:pPr>
    </w:p>
    <w:p w14:paraId="1755F1D0" w14:textId="5D252152"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Recovery</w:t>
      </w:r>
    </w:p>
    <w:p w14:paraId="572A87FC"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Recovery strategies aim to rebuild trust and restore tourism flows after a crisis. These include:</w:t>
      </w:r>
    </w:p>
    <w:p w14:paraId="15AFBD12" w14:textId="77777777" w:rsidR="00734711" w:rsidRPr="00734711" w:rsidRDefault="00734711" w:rsidP="00096B97">
      <w:pPr>
        <w:numPr>
          <w:ilvl w:val="0"/>
          <w:numId w:val="17"/>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Marketing campaigns promoting safety (“Safe Travels” by WTTC).</w:t>
      </w:r>
    </w:p>
    <w:p w14:paraId="11F50BF2" w14:textId="2A7F085C" w:rsidR="00734711" w:rsidRPr="00734711" w:rsidRDefault="00734711" w:rsidP="00096B97">
      <w:pPr>
        <w:numPr>
          <w:ilvl w:val="0"/>
          <w:numId w:val="17"/>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lastRenderedPageBreak/>
        <w:t xml:space="preserve">Flexible booking and refund policies to encourage </w:t>
      </w:r>
      <w:r w:rsidR="00875E8F" w:rsidRPr="00734711">
        <w:rPr>
          <w:rFonts w:ascii="Times New Roman" w:hAnsi="Times New Roman" w:cs="Times New Roman"/>
          <w:sz w:val="24"/>
          <w:szCs w:val="24"/>
          <w:lang w:val="en-GB"/>
        </w:rPr>
        <w:t xml:space="preserve">traveller </w:t>
      </w:r>
      <w:r w:rsidR="00875E8F">
        <w:rPr>
          <w:rFonts w:ascii="Times New Roman" w:hAnsi="Times New Roman" w:cs="Times New Roman"/>
          <w:sz w:val="24"/>
          <w:szCs w:val="24"/>
          <w:lang w:val="en-GB"/>
        </w:rPr>
        <w:t>confidence</w:t>
      </w:r>
      <w:r w:rsidRPr="00734711">
        <w:rPr>
          <w:rFonts w:ascii="Times New Roman" w:hAnsi="Times New Roman" w:cs="Times New Roman"/>
          <w:sz w:val="24"/>
          <w:szCs w:val="24"/>
          <w:lang w:val="en-GB"/>
        </w:rPr>
        <w:t>.</w:t>
      </w:r>
    </w:p>
    <w:p w14:paraId="00D8036E" w14:textId="77777777" w:rsidR="00734711" w:rsidRPr="00734711" w:rsidRDefault="00734711" w:rsidP="00096B97">
      <w:pPr>
        <w:numPr>
          <w:ilvl w:val="0"/>
          <w:numId w:val="17"/>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Investment in health infrastructure to reassure future visitors.</w:t>
      </w:r>
    </w:p>
    <w:p w14:paraId="7A08557E"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Sri Lanka, after the 2004 tsunami, used strong recovery campaigns to restore its image. Similarly, countries recovering from COVID-19 are promoting domestic tourism before reopening internationally.</w:t>
      </w:r>
    </w:p>
    <w:p w14:paraId="2CC4CE5E" w14:textId="77777777"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3.4 Building Long-Term Resilience</w:t>
      </w:r>
    </w:p>
    <w:p w14:paraId="152DBA74"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Resilience strategies integrate health management into long-term tourism planning:</w:t>
      </w:r>
    </w:p>
    <w:p w14:paraId="1656A080" w14:textId="77777777" w:rsidR="00734711" w:rsidRPr="00734711" w:rsidRDefault="00734711" w:rsidP="00096B97">
      <w:pPr>
        <w:numPr>
          <w:ilvl w:val="0"/>
          <w:numId w:val="18"/>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Investing in healthcare and vaccination infrastructure.</w:t>
      </w:r>
    </w:p>
    <w:p w14:paraId="1458165C" w14:textId="77777777" w:rsidR="00734711" w:rsidRPr="00734711" w:rsidRDefault="00734711" w:rsidP="00096B97">
      <w:pPr>
        <w:numPr>
          <w:ilvl w:val="0"/>
          <w:numId w:val="18"/>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Promoting wellness and medical tourism.</w:t>
      </w:r>
    </w:p>
    <w:p w14:paraId="125E8252" w14:textId="77777777" w:rsidR="00734711" w:rsidRPr="00734711" w:rsidRDefault="00734711" w:rsidP="00096B97">
      <w:pPr>
        <w:numPr>
          <w:ilvl w:val="0"/>
          <w:numId w:val="18"/>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Developing adaptive tourism policies that prepare for future health crises.</w:t>
      </w:r>
    </w:p>
    <w:p w14:paraId="5793CCA2" w14:textId="4DC3F043"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Bhutan offers a good case study: by linking tourism to Gross National Happiness, it emphasizes well-being, environmental sustainability, and resilience, ensuring that tourism growth does not compromise public health.</w:t>
      </w:r>
    </w:p>
    <w:p w14:paraId="5C1E562A" w14:textId="5BE79F13"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Case Studies</w:t>
      </w:r>
    </w:p>
    <w:p w14:paraId="12DC7801" w14:textId="2F0E6A4B"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COVID-19 Pandemic</w:t>
      </w:r>
    </w:p>
    <w:p w14:paraId="2EF483AC"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The COVID-19 pandemic had the most dramatic global impact on tourism in history. Lockdowns and travel bans reduced international travel by 74% in 2020 (UNWTO, 2021). Popular destinations such as Spain, Italy, and Thailand experienced unprecedented losses. However, destinations like New Zealand and Singapore strengthened their reputations by managing the crisis effectively.</w:t>
      </w:r>
    </w:p>
    <w:p w14:paraId="756C37FF" w14:textId="4426494E"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SARS (2003)</w:t>
      </w:r>
    </w:p>
    <w:p w14:paraId="53AD1BA9"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SARS affected mainly East Asia and Canada, leading to a 9% decline in arrivals in Asia-Pacific. Singapore’s efficient crisis communication and rapid containment became a model for tourism recovery strategies.</w:t>
      </w:r>
    </w:p>
    <w:p w14:paraId="330AFD22" w14:textId="5F9E6A98"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lastRenderedPageBreak/>
        <w:t>Ebola in West Africa (2014–2016)</w:t>
      </w:r>
    </w:p>
    <w:p w14:paraId="479DD9EB"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Although Ebola affected only a few countries, the entire African continent was stigmatized. International arrivals plummeted across unaffected destinations, showing how health crises can damage regional images.</w:t>
      </w:r>
    </w:p>
    <w:p w14:paraId="0DBDDAAD" w14:textId="4874BC04"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NCDs and Wellness Tourism</w:t>
      </w:r>
    </w:p>
    <w:p w14:paraId="477ACB35"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Destinations like India and Thailand have capitalized on rising NCD prevalence by promoting medical tourism and wellness retreats. Bhutan has linked wellness tourism with Gross National Happiness, attracting visitors seeking holistic healing. These cases show how destinations can turn health challenges into opportunities.</w:t>
      </w:r>
    </w:p>
    <w:p w14:paraId="4CD2781C" w14:textId="5B90E2AA" w:rsidR="00734711" w:rsidRPr="00734711" w:rsidRDefault="00734711" w:rsidP="0090756E">
      <w:pPr>
        <w:spacing w:line="360" w:lineRule="auto"/>
        <w:rPr>
          <w:rFonts w:ascii="Times New Roman" w:hAnsi="Times New Roman" w:cs="Times New Roman"/>
          <w:sz w:val="24"/>
          <w:szCs w:val="24"/>
          <w:lang w:val="en-GB"/>
        </w:rPr>
      </w:pPr>
    </w:p>
    <w:p w14:paraId="4156AB6E" w14:textId="4764355A"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t xml:space="preserve">Discussion </w:t>
      </w:r>
    </w:p>
    <w:p w14:paraId="745DECDA" w14:textId="5F8874CE" w:rsidR="00275FF7" w:rsidRPr="00275FF7" w:rsidRDefault="00275FF7" w:rsidP="0090756E">
      <w:pPr>
        <w:spacing w:line="360" w:lineRule="auto"/>
        <w:rPr>
          <w:rFonts w:ascii="Times New Roman" w:hAnsi="Times New Roman" w:cs="Times New Roman"/>
          <w:sz w:val="24"/>
          <w:szCs w:val="24"/>
          <w:lang w:val="en-GB"/>
        </w:rPr>
      </w:pPr>
      <w:r w:rsidRPr="00275FF7">
        <w:rPr>
          <w:rFonts w:ascii="Times New Roman" w:hAnsi="Times New Roman" w:cs="Times New Roman"/>
          <w:sz w:val="24"/>
          <w:szCs w:val="24"/>
        </w:rPr>
        <w:t>The analysis reveals that the tourism industry faces a dual challenge from global disease patterns. Communicable diseases represent a clear and present danger, capable of unleashing catastrophic economic and reputational damage in a very short time. Their management is inherently reactive, focused on containment, clear communication, and staged recovery. Non-communicable diseases, on the other hand, represent a slow-moving but deeply influential shift in the market landscape. Their management is proactive, requiring a long-term commitment to public health, environmental sustainability, and strategic branding that positions well-being as a core value proposition.</w:t>
      </w:r>
    </w:p>
    <w:p w14:paraId="34FB6BF6" w14:textId="1D7DDDA0"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The interaction between diseases and tourism is multifaceted. Communicable diseases present immediate and highly visible challenges by disrupting travel flows, creating fear, and damaging destination image. The COVID-19 pandemic underscored how vulnerable tourism is to health crises, with global shutdowns exposing the fragility of the industry. Meanwhile, non-communicable diseases exert a more gradual but equally significant influence by shaping travel </w:t>
      </w:r>
      <w:r w:rsidR="00275FF7" w:rsidRPr="00275FF7">
        <w:rPr>
          <w:rFonts w:ascii="Times New Roman" w:hAnsi="Times New Roman" w:cs="Times New Roman"/>
          <w:sz w:val="24"/>
          <w:szCs w:val="24"/>
          <w:lang w:val="en-GB"/>
        </w:rPr>
        <w:t>behaviours</w:t>
      </w:r>
      <w:r w:rsidRPr="00734711">
        <w:rPr>
          <w:rFonts w:ascii="Times New Roman" w:hAnsi="Times New Roman" w:cs="Times New Roman"/>
          <w:sz w:val="24"/>
          <w:szCs w:val="24"/>
          <w:lang w:val="en-GB"/>
        </w:rPr>
        <w:t>, workforce health, and the demand for wellness tourism.</w:t>
      </w:r>
    </w:p>
    <w:p w14:paraId="2C697D68" w14:textId="7CF3053B"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lastRenderedPageBreak/>
        <w:t>Both forms of disease pose risks to tourism sustainability, yet they also present opportunities for innovation. Destinations that invest in healthcare, promote wellness, and adopt proactive crisis management strategies can build stronger reputations for safety and resilience. Case studies demonstrate that effective crisis management</w:t>
      </w:r>
      <w:r w:rsidR="00275FF7" w:rsidRPr="00275FF7">
        <w:rPr>
          <w:rFonts w:ascii="Times New Roman" w:hAnsi="Times New Roman" w:cs="Times New Roman"/>
          <w:sz w:val="24"/>
          <w:szCs w:val="24"/>
          <w:lang w:val="en-GB"/>
        </w:rPr>
        <w:t xml:space="preserve"> </w:t>
      </w:r>
      <w:r w:rsidRPr="00734711">
        <w:rPr>
          <w:rFonts w:ascii="Times New Roman" w:hAnsi="Times New Roman" w:cs="Times New Roman"/>
          <w:sz w:val="24"/>
          <w:szCs w:val="24"/>
          <w:lang w:val="en-GB"/>
        </w:rPr>
        <w:t>through prevention, response, and recovery</w:t>
      </w:r>
      <w:r w:rsidR="00275FF7" w:rsidRPr="00275FF7">
        <w:rPr>
          <w:rFonts w:ascii="Times New Roman" w:hAnsi="Times New Roman" w:cs="Times New Roman"/>
          <w:sz w:val="24"/>
          <w:szCs w:val="24"/>
          <w:lang w:val="en-GB"/>
        </w:rPr>
        <w:t xml:space="preserve"> </w:t>
      </w:r>
      <w:r w:rsidRPr="00734711">
        <w:rPr>
          <w:rFonts w:ascii="Times New Roman" w:hAnsi="Times New Roman" w:cs="Times New Roman"/>
          <w:sz w:val="24"/>
          <w:szCs w:val="24"/>
          <w:lang w:val="en-GB"/>
        </w:rPr>
        <w:t>can transform health crises into opportunities for destination branding.</w:t>
      </w:r>
    </w:p>
    <w:p w14:paraId="65FCCBBB"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However, challenges remain. Risk perception often outweighs reality, as seen during Ebola when entire regions suffered from stigma. Furthermore, many developing countries lack the healthcare infrastructure to manage crises effectively, leaving them vulnerable. For sustainable tourism development, integrating public health considerations into tourism policy is essential.</w:t>
      </w:r>
    </w:p>
    <w:p w14:paraId="2E20B3AE" w14:textId="77777777" w:rsid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Ultimately, the future of tourism lies in strengthening the nexus between health and travel. By adopting holistic approaches that address both communicable and non-communicable diseases, destinations can safeguard their image, ensure visitor confidence, and contribute to global resilience in the face of future health threats.</w:t>
      </w:r>
    </w:p>
    <w:p w14:paraId="70702281" w14:textId="77777777" w:rsidR="00652265" w:rsidRPr="00652265" w:rsidRDefault="00652265" w:rsidP="00652265">
      <w:pPr>
        <w:spacing w:line="360" w:lineRule="auto"/>
        <w:rPr>
          <w:rFonts w:ascii="Times New Roman" w:hAnsi="Times New Roman" w:cs="Times New Roman"/>
          <w:sz w:val="24"/>
          <w:szCs w:val="24"/>
          <w:lang w:val="en-GB"/>
        </w:rPr>
      </w:pPr>
      <w:r w:rsidRPr="00652265">
        <w:rPr>
          <w:rFonts w:ascii="Times New Roman" w:hAnsi="Times New Roman" w:cs="Times New Roman"/>
          <w:sz w:val="24"/>
          <w:szCs w:val="24"/>
          <w:lang w:val="en-GB"/>
        </w:rPr>
        <w:t>Furthermore, the role of communication is a universal constant. Whether addressing a sudden Ebola outbreak or marketing a destination's clean air, trust, transparency, and consistency are the currencies of crisis management and reputation building. The strategies differ in tempo and tactic, but the underlying principle of building and maintaining trust with the traveling public remains the same.</w:t>
      </w:r>
    </w:p>
    <w:p w14:paraId="18E8A507" w14:textId="77777777" w:rsidR="00652265" w:rsidRPr="00652265" w:rsidRDefault="00652265" w:rsidP="00652265">
      <w:pPr>
        <w:spacing w:line="360" w:lineRule="auto"/>
        <w:rPr>
          <w:rFonts w:ascii="Times New Roman" w:hAnsi="Times New Roman" w:cs="Times New Roman"/>
          <w:sz w:val="24"/>
          <w:szCs w:val="24"/>
          <w:lang w:val="en-GB"/>
        </w:rPr>
      </w:pPr>
      <w:r w:rsidRPr="00652265">
        <w:rPr>
          <w:rFonts w:ascii="Times New Roman" w:hAnsi="Times New Roman" w:cs="Times New Roman"/>
          <w:sz w:val="24"/>
          <w:szCs w:val="24"/>
          <w:lang w:val="en-GB"/>
        </w:rPr>
        <w:t>Finally, this discussion underscores a paradigm shift in destination management. It is no longer sufficient to simply market beautiful beaches or historical sites. Destinations must now also be managed as healthy and safe environments. This requires unprecedented collaboration between tourism authorities, health ministries, environmental agencies, and the private sector. A destination's health profile is now a central component of its competitive advantage.</w:t>
      </w:r>
    </w:p>
    <w:p w14:paraId="6176B97B" w14:textId="77777777" w:rsidR="00652265" w:rsidRPr="00734711" w:rsidRDefault="00652265" w:rsidP="0090756E">
      <w:pPr>
        <w:spacing w:line="360" w:lineRule="auto"/>
        <w:rPr>
          <w:rFonts w:ascii="Times New Roman" w:hAnsi="Times New Roman" w:cs="Times New Roman"/>
          <w:sz w:val="24"/>
          <w:szCs w:val="24"/>
          <w:lang w:val="en-GB"/>
        </w:rPr>
      </w:pPr>
    </w:p>
    <w:p w14:paraId="3799DF85" w14:textId="6A5F98F5" w:rsidR="00734711" w:rsidRPr="00734711" w:rsidRDefault="00734711" w:rsidP="0090756E">
      <w:pPr>
        <w:spacing w:line="360" w:lineRule="auto"/>
        <w:rPr>
          <w:rFonts w:ascii="Times New Roman" w:hAnsi="Times New Roman" w:cs="Times New Roman"/>
          <w:sz w:val="24"/>
          <w:szCs w:val="24"/>
          <w:lang w:val="en-GB"/>
        </w:rPr>
      </w:pPr>
    </w:p>
    <w:p w14:paraId="2520CBD5" w14:textId="2FACF66C"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lastRenderedPageBreak/>
        <w:t xml:space="preserve">Conclusion </w:t>
      </w:r>
    </w:p>
    <w:p w14:paraId="76386E09"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Tourism and health are deeply intertwined, with both communicable and non-communicable diseases shaping destination experiences, safety perceptions, and long-term sustainability. Communicable diseases like COVID-19, SARS, and Ebola disrupt tourism flows dramatically, while NCDs exert subtle but lasting impacts on tourist preferences, workforce productivity, and healthcare needs. Both categories of diseases influence destination image, either negatively through fear and stigma or positively when destinations demonstrate resilience and strong health infrastructure.</w:t>
      </w:r>
    </w:p>
    <w:p w14:paraId="6DE2504B"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Crisis management emerges as a critical factor in addressing these challenges. Prevention, rapid response, recovery efforts, and long-term resilience planning are vital for protecting tourism industries from health shocks. Destinations such as Singapore, New Zealand, and Bhutan show that proactive strategies not only mitigate risks but also enhance international reputation.</w:t>
      </w:r>
    </w:p>
    <w:p w14:paraId="1E2F455C" w14:textId="77777777"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Looking ahead, the integration of health security into tourism planning will be indispensable. Investment in healthcare systems, wellness tourism, and transparent crisis communication will help destinations prepare for future challenges. Moreover, fostering collaboration between governments, tourism organizations, and health authorities is essential for coordinated and effective responses.</w:t>
      </w:r>
    </w:p>
    <w:p w14:paraId="1684947F" w14:textId="714626A8" w:rsidR="00734711" w:rsidRPr="00734711" w:rsidRDefault="00734711" w:rsidP="0090756E">
      <w:p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In conclusion, while diseases</w:t>
      </w:r>
      <w:r w:rsidR="00096B97">
        <w:rPr>
          <w:rFonts w:ascii="Times New Roman" w:hAnsi="Times New Roman" w:cs="Times New Roman"/>
          <w:sz w:val="24"/>
          <w:szCs w:val="24"/>
          <w:lang w:val="en-GB"/>
        </w:rPr>
        <w:t xml:space="preserve"> </w:t>
      </w:r>
      <w:r w:rsidRPr="00734711">
        <w:rPr>
          <w:rFonts w:ascii="Times New Roman" w:hAnsi="Times New Roman" w:cs="Times New Roman"/>
          <w:sz w:val="24"/>
          <w:szCs w:val="24"/>
          <w:lang w:val="en-GB"/>
        </w:rPr>
        <w:t>both communicable and non-communicable</w:t>
      </w:r>
      <w:r w:rsidR="00096B97">
        <w:rPr>
          <w:rFonts w:ascii="Times New Roman" w:hAnsi="Times New Roman" w:cs="Times New Roman"/>
          <w:sz w:val="24"/>
          <w:szCs w:val="24"/>
          <w:lang w:val="en-GB"/>
        </w:rPr>
        <w:t xml:space="preserve"> </w:t>
      </w:r>
      <w:r w:rsidRPr="00734711">
        <w:rPr>
          <w:rFonts w:ascii="Times New Roman" w:hAnsi="Times New Roman" w:cs="Times New Roman"/>
          <w:sz w:val="24"/>
          <w:szCs w:val="24"/>
          <w:lang w:val="en-GB"/>
        </w:rPr>
        <w:t xml:space="preserve">pose significant challenges to tourism, they also provide opportunities for transformation. Destinations that prioritize health, safety, and resilience will be better positioned to thrive in an uncertain global environment. The success of sustainable tourism will depend on how effectively destinations align health management with tourism development, ensuring a safer and more resilient future for both </w:t>
      </w:r>
      <w:r w:rsidR="00096B97" w:rsidRPr="00734711">
        <w:rPr>
          <w:rFonts w:ascii="Times New Roman" w:hAnsi="Times New Roman" w:cs="Times New Roman"/>
          <w:sz w:val="24"/>
          <w:szCs w:val="24"/>
          <w:lang w:val="en-GB"/>
        </w:rPr>
        <w:t>travellers</w:t>
      </w:r>
      <w:r w:rsidRPr="00734711">
        <w:rPr>
          <w:rFonts w:ascii="Times New Roman" w:hAnsi="Times New Roman" w:cs="Times New Roman"/>
          <w:sz w:val="24"/>
          <w:szCs w:val="24"/>
          <w:lang w:val="en-GB"/>
        </w:rPr>
        <w:t xml:space="preserve"> and host communities.</w:t>
      </w:r>
    </w:p>
    <w:p w14:paraId="1DA9CAE9" w14:textId="77777777" w:rsidR="00096B97" w:rsidRDefault="00096B97" w:rsidP="0090756E">
      <w:pPr>
        <w:spacing w:line="360" w:lineRule="auto"/>
        <w:rPr>
          <w:rFonts w:ascii="Times New Roman" w:hAnsi="Times New Roman" w:cs="Times New Roman"/>
          <w:b/>
          <w:bCs/>
          <w:sz w:val="24"/>
          <w:szCs w:val="24"/>
          <w:lang w:val="en-GB"/>
        </w:rPr>
      </w:pPr>
    </w:p>
    <w:p w14:paraId="6A9090E9" w14:textId="77777777" w:rsidR="00096B97" w:rsidRDefault="00096B97" w:rsidP="0090756E">
      <w:pPr>
        <w:spacing w:line="360" w:lineRule="auto"/>
        <w:rPr>
          <w:rFonts w:ascii="Times New Roman" w:hAnsi="Times New Roman" w:cs="Times New Roman"/>
          <w:b/>
          <w:bCs/>
          <w:sz w:val="24"/>
          <w:szCs w:val="24"/>
          <w:lang w:val="en-GB"/>
        </w:rPr>
      </w:pPr>
    </w:p>
    <w:p w14:paraId="255C5858" w14:textId="77777777" w:rsidR="00096B97" w:rsidRDefault="00096B97" w:rsidP="0090756E">
      <w:pPr>
        <w:spacing w:line="360" w:lineRule="auto"/>
        <w:rPr>
          <w:rFonts w:ascii="Times New Roman" w:hAnsi="Times New Roman" w:cs="Times New Roman"/>
          <w:b/>
          <w:bCs/>
          <w:sz w:val="24"/>
          <w:szCs w:val="24"/>
          <w:lang w:val="en-GB"/>
        </w:rPr>
      </w:pPr>
    </w:p>
    <w:p w14:paraId="25792AD7" w14:textId="774E8B24" w:rsidR="00734711" w:rsidRPr="00734711" w:rsidRDefault="00734711" w:rsidP="0090756E">
      <w:pPr>
        <w:spacing w:line="360" w:lineRule="auto"/>
        <w:rPr>
          <w:rFonts w:ascii="Times New Roman" w:hAnsi="Times New Roman" w:cs="Times New Roman"/>
          <w:b/>
          <w:bCs/>
          <w:sz w:val="24"/>
          <w:szCs w:val="24"/>
          <w:lang w:val="en-GB"/>
        </w:rPr>
      </w:pPr>
      <w:r w:rsidRPr="00734711">
        <w:rPr>
          <w:rFonts w:ascii="Times New Roman" w:hAnsi="Times New Roman" w:cs="Times New Roman"/>
          <w:b/>
          <w:bCs/>
          <w:sz w:val="24"/>
          <w:szCs w:val="24"/>
          <w:lang w:val="en-GB"/>
        </w:rPr>
        <w:lastRenderedPageBreak/>
        <w:t xml:space="preserve">References </w:t>
      </w:r>
    </w:p>
    <w:p w14:paraId="346D4303" w14:textId="77777777" w:rsidR="00734711" w:rsidRPr="00734711" w:rsidRDefault="00734711" w:rsidP="0090756E">
      <w:pPr>
        <w:numPr>
          <w:ilvl w:val="0"/>
          <w:numId w:val="14"/>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Novelli, M., Gussing Burgess, L., Jones, A., &amp; Ritchie, B. W. (2018). “No Ebola... still doomed”—The Ebola-induced tourism crisis. </w:t>
      </w:r>
      <w:r w:rsidRPr="00734711">
        <w:rPr>
          <w:rFonts w:ascii="Times New Roman" w:hAnsi="Times New Roman" w:cs="Times New Roman"/>
          <w:i/>
          <w:iCs/>
          <w:sz w:val="24"/>
          <w:szCs w:val="24"/>
          <w:lang w:val="en-GB"/>
        </w:rPr>
        <w:t>Annals of Tourism Research</w:t>
      </w:r>
      <w:r w:rsidRPr="00734711">
        <w:rPr>
          <w:rFonts w:ascii="Times New Roman" w:hAnsi="Times New Roman" w:cs="Times New Roman"/>
          <w:sz w:val="24"/>
          <w:szCs w:val="24"/>
          <w:lang w:val="en-GB"/>
        </w:rPr>
        <w:t>, 70, 76–87. https://doi.org/10.1016/j.annals.2018.03.006</w:t>
      </w:r>
    </w:p>
    <w:p w14:paraId="5EB099D0" w14:textId="77777777" w:rsidR="00734711" w:rsidRPr="00734711" w:rsidRDefault="00734711" w:rsidP="0090756E">
      <w:pPr>
        <w:numPr>
          <w:ilvl w:val="0"/>
          <w:numId w:val="14"/>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UNWTO. (2021). </w:t>
      </w:r>
      <w:r w:rsidRPr="00734711">
        <w:rPr>
          <w:rFonts w:ascii="Times New Roman" w:hAnsi="Times New Roman" w:cs="Times New Roman"/>
          <w:i/>
          <w:iCs/>
          <w:sz w:val="24"/>
          <w:szCs w:val="24"/>
          <w:lang w:val="en-GB"/>
        </w:rPr>
        <w:t>International Tourism and COVID-19</w:t>
      </w:r>
      <w:r w:rsidRPr="00734711">
        <w:rPr>
          <w:rFonts w:ascii="Times New Roman" w:hAnsi="Times New Roman" w:cs="Times New Roman"/>
          <w:sz w:val="24"/>
          <w:szCs w:val="24"/>
          <w:lang w:val="en-GB"/>
        </w:rPr>
        <w:t>. United Nations World Tourism Organization. https://www.unwto.org/international-tourism-and-covid-19</w:t>
      </w:r>
    </w:p>
    <w:p w14:paraId="3809A498" w14:textId="77777777" w:rsidR="00734711" w:rsidRPr="00734711" w:rsidRDefault="00734711" w:rsidP="0090756E">
      <w:pPr>
        <w:numPr>
          <w:ilvl w:val="0"/>
          <w:numId w:val="14"/>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World Health Organization. (2022). </w:t>
      </w:r>
      <w:r w:rsidRPr="00734711">
        <w:rPr>
          <w:rFonts w:ascii="Times New Roman" w:hAnsi="Times New Roman" w:cs="Times New Roman"/>
          <w:i/>
          <w:iCs/>
          <w:sz w:val="24"/>
          <w:szCs w:val="24"/>
          <w:lang w:val="en-GB"/>
        </w:rPr>
        <w:t>Noncommunicable diseases</w:t>
      </w:r>
      <w:r w:rsidRPr="00734711">
        <w:rPr>
          <w:rFonts w:ascii="Times New Roman" w:hAnsi="Times New Roman" w:cs="Times New Roman"/>
          <w:sz w:val="24"/>
          <w:szCs w:val="24"/>
          <w:lang w:val="en-GB"/>
        </w:rPr>
        <w:t xml:space="preserve">. </w:t>
      </w:r>
      <w:hyperlink r:id="rId9" w:tgtFrame="_new" w:history="1">
        <w:r w:rsidRPr="00734711">
          <w:rPr>
            <w:rStyle w:val="Hyperlink"/>
            <w:rFonts w:ascii="Times New Roman" w:hAnsi="Times New Roman" w:cs="Times New Roman"/>
            <w:sz w:val="24"/>
            <w:szCs w:val="24"/>
            <w:lang w:val="en-GB"/>
          </w:rPr>
          <w:t>https://www.who.int/news-room/fact-sheets/detail/noncommunicable-diseases</w:t>
        </w:r>
      </w:hyperlink>
    </w:p>
    <w:p w14:paraId="64FC2180" w14:textId="77777777" w:rsidR="00734711" w:rsidRPr="00734711" w:rsidRDefault="00734711" w:rsidP="0090756E">
      <w:pPr>
        <w:numPr>
          <w:ilvl w:val="0"/>
          <w:numId w:val="14"/>
        </w:numPr>
        <w:spacing w:line="360" w:lineRule="auto"/>
        <w:rPr>
          <w:rFonts w:ascii="Times New Roman" w:hAnsi="Times New Roman" w:cs="Times New Roman"/>
          <w:sz w:val="24"/>
          <w:szCs w:val="24"/>
          <w:lang w:val="en-GB"/>
        </w:rPr>
      </w:pPr>
      <w:r w:rsidRPr="00734711">
        <w:rPr>
          <w:rFonts w:ascii="Times New Roman" w:hAnsi="Times New Roman" w:cs="Times New Roman"/>
          <w:sz w:val="24"/>
          <w:szCs w:val="24"/>
          <w:lang w:val="en-GB"/>
        </w:rPr>
        <w:t xml:space="preserve">Gössling, S., Scott, D., &amp; Hall, C. M. (2020). Pandemics, tourism, and global change: A rapid assessment of COVID-19. </w:t>
      </w:r>
      <w:r w:rsidRPr="00734711">
        <w:rPr>
          <w:rFonts w:ascii="Times New Roman" w:hAnsi="Times New Roman" w:cs="Times New Roman"/>
          <w:i/>
          <w:iCs/>
          <w:sz w:val="24"/>
          <w:szCs w:val="24"/>
          <w:lang w:val="en-GB"/>
        </w:rPr>
        <w:t>Journal of Sustainable Tourism</w:t>
      </w:r>
      <w:r w:rsidRPr="00734711">
        <w:rPr>
          <w:rFonts w:ascii="Times New Roman" w:hAnsi="Times New Roman" w:cs="Times New Roman"/>
          <w:sz w:val="24"/>
          <w:szCs w:val="24"/>
          <w:lang w:val="en-GB"/>
        </w:rPr>
        <w:t>, 29(1), 1–20. https://doi.org/10.1080/09669582.2020.1758708</w:t>
      </w:r>
    </w:p>
    <w:p w14:paraId="3D0CB8A1" w14:textId="77777777" w:rsidR="00734711" w:rsidRPr="00275FF7" w:rsidRDefault="00734711" w:rsidP="0090756E">
      <w:pPr>
        <w:spacing w:line="360" w:lineRule="auto"/>
        <w:rPr>
          <w:rFonts w:ascii="Times New Roman" w:hAnsi="Times New Roman" w:cs="Times New Roman"/>
          <w:sz w:val="24"/>
          <w:szCs w:val="24"/>
        </w:rPr>
      </w:pPr>
    </w:p>
    <w:sectPr w:rsidR="00734711" w:rsidRPr="00275FF7" w:rsidSect="00034616">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906CD" w14:textId="77777777" w:rsidR="00B914AA" w:rsidRDefault="00B914AA" w:rsidP="004316EB">
      <w:pPr>
        <w:spacing w:after="0" w:line="240" w:lineRule="auto"/>
      </w:pPr>
      <w:r>
        <w:separator/>
      </w:r>
    </w:p>
  </w:endnote>
  <w:endnote w:type="continuationSeparator" w:id="0">
    <w:p w14:paraId="71096E8C" w14:textId="77777777" w:rsidR="00B914AA" w:rsidRDefault="00B914AA" w:rsidP="00431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91367" w14:textId="77777777" w:rsidR="00B914AA" w:rsidRDefault="00B914AA" w:rsidP="004316EB">
      <w:pPr>
        <w:spacing w:after="0" w:line="240" w:lineRule="auto"/>
      </w:pPr>
      <w:r>
        <w:separator/>
      </w:r>
    </w:p>
  </w:footnote>
  <w:footnote w:type="continuationSeparator" w:id="0">
    <w:p w14:paraId="3D92D3FD" w14:textId="77777777" w:rsidR="00B914AA" w:rsidRDefault="00B914AA" w:rsidP="00431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719294"/>
      <w:docPartObj>
        <w:docPartGallery w:val="Page Numbers (Top of Page)"/>
        <w:docPartUnique/>
      </w:docPartObj>
    </w:sdtPr>
    <w:sdtEndPr>
      <w:rPr>
        <w:noProof/>
      </w:rPr>
    </w:sdtEndPr>
    <w:sdtContent>
      <w:p w14:paraId="6808965C" w14:textId="0AAA2788" w:rsidR="004316EB" w:rsidRDefault="004316E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33325E" w14:textId="77777777" w:rsidR="004316EB" w:rsidRDefault="0043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157EE2"/>
    <w:multiLevelType w:val="multilevel"/>
    <w:tmpl w:val="EF90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427B8C"/>
    <w:multiLevelType w:val="multilevel"/>
    <w:tmpl w:val="6D6AD5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DC0C3D"/>
    <w:multiLevelType w:val="multilevel"/>
    <w:tmpl w:val="EFB6D6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A73297"/>
    <w:multiLevelType w:val="multilevel"/>
    <w:tmpl w:val="04B2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01EFE"/>
    <w:multiLevelType w:val="multilevel"/>
    <w:tmpl w:val="5550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342D30"/>
    <w:multiLevelType w:val="multilevel"/>
    <w:tmpl w:val="CD3AB6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A97953"/>
    <w:multiLevelType w:val="multilevel"/>
    <w:tmpl w:val="3BD83A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4F6FCE"/>
    <w:multiLevelType w:val="multilevel"/>
    <w:tmpl w:val="F4F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D13D9B"/>
    <w:multiLevelType w:val="multilevel"/>
    <w:tmpl w:val="56F0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26053">
    <w:abstractNumId w:val="8"/>
  </w:num>
  <w:num w:numId="2" w16cid:durableId="213009588">
    <w:abstractNumId w:val="6"/>
  </w:num>
  <w:num w:numId="3" w16cid:durableId="624427885">
    <w:abstractNumId w:val="5"/>
  </w:num>
  <w:num w:numId="4" w16cid:durableId="1739790484">
    <w:abstractNumId w:val="4"/>
  </w:num>
  <w:num w:numId="5" w16cid:durableId="87241174">
    <w:abstractNumId w:val="7"/>
  </w:num>
  <w:num w:numId="6" w16cid:durableId="146947463">
    <w:abstractNumId w:val="3"/>
  </w:num>
  <w:num w:numId="7" w16cid:durableId="587546305">
    <w:abstractNumId w:val="2"/>
  </w:num>
  <w:num w:numId="8" w16cid:durableId="1105030823">
    <w:abstractNumId w:val="1"/>
  </w:num>
  <w:num w:numId="9" w16cid:durableId="576406697">
    <w:abstractNumId w:val="0"/>
  </w:num>
  <w:num w:numId="10" w16cid:durableId="1250502465">
    <w:abstractNumId w:val="16"/>
  </w:num>
  <w:num w:numId="11" w16cid:durableId="2042586671">
    <w:abstractNumId w:val="12"/>
  </w:num>
  <w:num w:numId="12" w16cid:durableId="811096056">
    <w:abstractNumId w:val="17"/>
  </w:num>
  <w:num w:numId="13" w16cid:durableId="1057514379">
    <w:abstractNumId w:val="9"/>
  </w:num>
  <w:num w:numId="14" w16cid:durableId="607810015">
    <w:abstractNumId w:val="13"/>
  </w:num>
  <w:num w:numId="15" w16cid:durableId="856695092">
    <w:abstractNumId w:val="11"/>
  </w:num>
  <w:num w:numId="16" w16cid:durableId="1393426764">
    <w:abstractNumId w:val="14"/>
  </w:num>
  <w:num w:numId="17" w16cid:durableId="1070300979">
    <w:abstractNumId w:val="15"/>
  </w:num>
  <w:num w:numId="18" w16cid:durableId="17949831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DA7"/>
    <w:rsid w:val="00034616"/>
    <w:rsid w:val="0006063C"/>
    <w:rsid w:val="00096B97"/>
    <w:rsid w:val="0015074B"/>
    <w:rsid w:val="00182F65"/>
    <w:rsid w:val="00275FF7"/>
    <w:rsid w:val="0029639D"/>
    <w:rsid w:val="00326F90"/>
    <w:rsid w:val="004316EB"/>
    <w:rsid w:val="0044698F"/>
    <w:rsid w:val="004A4DDA"/>
    <w:rsid w:val="00652265"/>
    <w:rsid w:val="00657C93"/>
    <w:rsid w:val="006B1539"/>
    <w:rsid w:val="00734711"/>
    <w:rsid w:val="00744BF5"/>
    <w:rsid w:val="00861370"/>
    <w:rsid w:val="00875E8F"/>
    <w:rsid w:val="00881CAE"/>
    <w:rsid w:val="0090756E"/>
    <w:rsid w:val="00A5627C"/>
    <w:rsid w:val="00AA1D8D"/>
    <w:rsid w:val="00B47730"/>
    <w:rsid w:val="00B914AA"/>
    <w:rsid w:val="00CB0664"/>
    <w:rsid w:val="00D67085"/>
    <w:rsid w:val="00DB01F3"/>
    <w:rsid w:val="00DD3B5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BBFD4C"/>
  <w14:defaultImageDpi w14:val="300"/>
  <w15:docId w15:val="{A051401C-0C46-464D-81D3-53A153C99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34711"/>
    <w:rPr>
      <w:color w:val="0000FF" w:themeColor="hyperlink"/>
      <w:u w:val="single"/>
    </w:rPr>
  </w:style>
  <w:style w:type="character" w:styleId="UnresolvedMention">
    <w:name w:val="Unresolved Mention"/>
    <w:basedOn w:val="DefaultParagraphFont"/>
    <w:uiPriority w:val="99"/>
    <w:semiHidden/>
    <w:unhideWhenUsed/>
    <w:rsid w:val="00734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ho.int/news-room/fact-sheets/detail/noncommunicable-dise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karma wangchuk</cp:lastModifiedBy>
  <cp:revision>12</cp:revision>
  <dcterms:created xsi:type="dcterms:W3CDTF">2013-12-23T23:15:00Z</dcterms:created>
  <dcterms:modified xsi:type="dcterms:W3CDTF">2025-09-14T19:37:00Z</dcterms:modified>
  <cp:category/>
</cp:coreProperties>
</file>