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C3B9C" w14:textId="77777777" w:rsidR="00A1560E" w:rsidRDefault="0061338A">
      <w:pPr>
        <w:spacing w:line="360" w:lineRule="auto"/>
      </w:pPr>
      <w:r>
        <w:rPr>
          <w:noProof/>
        </w:rPr>
        <w:drawing>
          <wp:inline distT="0" distB="0" distL="0" distR="0" wp14:anchorId="358688F7" wp14:editId="054131A4">
            <wp:extent cx="1725299" cy="1579241"/>
            <wp:effectExtent l="0" t="0" r="8251" b="1909"/>
            <wp:docPr id="1206499933" name="Picture 2" descr="A blue and white logo&#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725299" cy="1579241"/>
                    </a:xfrm>
                    <a:prstGeom prst="rect">
                      <a:avLst/>
                    </a:prstGeom>
                    <a:noFill/>
                    <a:ln>
                      <a:noFill/>
                      <a:prstDash/>
                    </a:ln>
                  </pic:spPr>
                </pic:pic>
              </a:graphicData>
            </a:graphic>
          </wp:inline>
        </w:drawing>
      </w:r>
    </w:p>
    <w:p w14:paraId="3B67A158" w14:textId="77777777" w:rsidR="00A1560E" w:rsidRDefault="00A1560E">
      <w:pPr>
        <w:spacing w:line="360" w:lineRule="auto"/>
      </w:pPr>
    </w:p>
    <w:p w14:paraId="11A5865D" w14:textId="77777777" w:rsidR="00A1560E" w:rsidRDefault="00A1560E">
      <w:pPr>
        <w:spacing w:line="360" w:lineRule="auto"/>
      </w:pPr>
    </w:p>
    <w:p w14:paraId="162045A6" w14:textId="77777777" w:rsidR="00A1560E" w:rsidRDefault="00A1560E">
      <w:pPr>
        <w:spacing w:line="360" w:lineRule="auto"/>
      </w:pPr>
    </w:p>
    <w:p w14:paraId="6F1CBD0E" w14:textId="77777777" w:rsidR="00A1560E" w:rsidRDefault="0061338A">
      <w:pPr>
        <w:spacing w:line="360" w:lineRule="auto"/>
        <w:jc w:val="center"/>
        <w:rPr>
          <w:rFonts w:ascii="Times New Roman" w:hAnsi="Times New Roman"/>
          <w:b/>
          <w:bCs/>
          <w:sz w:val="24"/>
          <w:szCs w:val="24"/>
        </w:rPr>
      </w:pPr>
      <w:r>
        <w:rPr>
          <w:rFonts w:ascii="Times New Roman" w:hAnsi="Times New Roman"/>
          <w:b/>
          <w:bCs/>
          <w:sz w:val="24"/>
          <w:szCs w:val="24"/>
        </w:rPr>
        <w:t>“Impacts of Tourism destination and destination image”</w:t>
      </w:r>
    </w:p>
    <w:p w14:paraId="3C8DB46D" w14:textId="77777777" w:rsidR="00A1560E" w:rsidRDefault="00A1560E">
      <w:pPr>
        <w:spacing w:line="360" w:lineRule="auto"/>
        <w:jc w:val="center"/>
        <w:rPr>
          <w:rFonts w:ascii="Times New Roman" w:hAnsi="Times New Roman"/>
          <w:b/>
          <w:bCs/>
          <w:sz w:val="24"/>
          <w:szCs w:val="24"/>
        </w:rPr>
      </w:pPr>
    </w:p>
    <w:p w14:paraId="234F9A7B" w14:textId="77777777" w:rsidR="00A1560E" w:rsidRDefault="00A1560E">
      <w:pPr>
        <w:spacing w:line="360" w:lineRule="auto"/>
        <w:jc w:val="center"/>
        <w:rPr>
          <w:rFonts w:ascii="Times New Roman" w:hAnsi="Times New Roman"/>
          <w:b/>
          <w:bCs/>
          <w:sz w:val="24"/>
          <w:szCs w:val="24"/>
        </w:rPr>
      </w:pPr>
    </w:p>
    <w:p w14:paraId="3FE63534" w14:textId="77777777" w:rsidR="00A1560E" w:rsidRDefault="0061338A">
      <w:pPr>
        <w:spacing w:line="360" w:lineRule="auto"/>
        <w:jc w:val="center"/>
        <w:rPr>
          <w:rFonts w:ascii="Times New Roman" w:hAnsi="Times New Roman"/>
          <w:b/>
          <w:bCs/>
          <w:sz w:val="24"/>
          <w:szCs w:val="24"/>
        </w:rPr>
      </w:pPr>
      <w:r>
        <w:rPr>
          <w:rFonts w:ascii="Times New Roman" w:hAnsi="Times New Roman"/>
          <w:b/>
          <w:bCs/>
          <w:sz w:val="24"/>
          <w:szCs w:val="24"/>
        </w:rPr>
        <w:t>Yoesel Pema Yuden</w:t>
      </w:r>
    </w:p>
    <w:p w14:paraId="7D93E188" w14:textId="77777777" w:rsidR="00A1560E" w:rsidRDefault="0061338A">
      <w:pPr>
        <w:spacing w:line="360" w:lineRule="auto"/>
        <w:jc w:val="center"/>
        <w:rPr>
          <w:rFonts w:ascii="Times New Roman" w:hAnsi="Times New Roman"/>
          <w:b/>
          <w:bCs/>
          <w:sz w:val="24"/>
          <w:szCs w:val="24"/>
        </w:rPr>
      </w:pPr>
      <w:r>
        <w:rPr>
          <w:rFonts w:ascii="Times New Roman" w:hAnsi="Times New Roman"/>
          <w:b/>
          <w:bCs/>
          <w:sz w:val="24"/>
          <w:szCs w:val="24"/>
        </w:rPr>
        <w:t>European Institute of innovation, Entrepreneurship, and Technology</w:t>
      </w:r>
    </w:p>
    <w:p w14:paraId="2D400FD9" w14:textId="77777777" w:rsidR="00A1560E" w:rsidRDefault="0061338A">
      <w:pPr>
        <w:spacing w:line="360" w:lineRule="auto"/>
        <w:jc w:val="center"/>
      </w:pPr>
      <w:r>
        <w:rPr>
          <w:rFonts w:ascii="Times New Roman" w:hAnsi="Times New Roman"/>
          <w:b/>
          <w:bCs/>
          <w:sz w:val="24"/>
          <w:szCs w:val="24"/>
        </w:rPr>
        <w:t xml:space="preserve">DE240174: </w:t>
      </w:r>
      <w:r>
        <w:rPr>
          <w:rFonts w:ascii="Times New Roman" w:hAnsi="Times New Roman"/>
          <w:b/>
          <w:bCs/>
          <w:sz w:val="24"/>
          <w:szCs w:val="24"/>
          <w:lang w:val="en-US"/>
        </w:rPr>
        <w:t>Bachelor of Arts in Tourism and Recreation</w:t>
      </w:r>
    </w:p>
    <w:p w14:paraId="0DACD1D3" w14:textId="77777777" w:rsidR="00A1560E" w:rsidRDefault="0061338A">
      <w:pPr>
        <w:spacing w:line="360" w:lineRule="auto"/>
        <w:jc w:val="center"/>
        <w:rPr>
          <w:rFonts w:ascii="Times New Roman" w:hAnsi="Times New Roman"/>
          <w:b/>
          <w:bCs/>
          <w:sz w:val="24"/>
          <w:szCs w:val="24"/>
          <w:lang w:val="en-US"/>
        </w:rPr>
      </w:pPr>
      <w:r>
        <w:rPr>
          <w:rFonts w:ascii="Times New Roman" w:hAnsi="Times New Roman"/>
          <w:b/>
          <w:bCs/>
          <w:sz w:val="24"/>
          <w:szCs w:val="24"/>
          <w:lang w:val="en-US"/>
        </w:rPr>
        <w:t>Lecturer: Mahmoud Abdou</w:t>
      </w:r>
    </w:p>
    <w:p w14:paraId="39FA44E6" w14:textId="77777777" w:rsidR="00A1560E" w:rsidRDefault="0061338A">
      <w:pPr>
        <w:spacing w:line="360" w:lineRule="auto"/>
        <w:jc w:val="center"/>
        <w:rPr>
          <w:rFonts w:ascii="Times New Roman" w:hAnsi="Times New Roman"/>
          <w:b/>
          <w:bCs/>
          <w:sz w:val="24"/>
          <w:szCs w:val="24"/>
          <w:lang w:val="en-US"/>
        </w:rPr>
      </w:pPr>
      <w:r>
        <w:rPr>
          <w:rFonts w:ascii="Times New Roman" w:hAnsi="Times New Roman"/>
          <w:b/>
          <w:bCs/>
          <w:sz w:val="24"/>
          <w:szCs w:val="24"/>
          <w:lang w:val="en-US"/>
        </w:rPr>
        <w:t>September 15, 2025</w:t>
      </w:r>
    </w:p>
    <w:p w14:paraId="5131FCB4" w14:textId="77777777" w:rsidR="00A1560E" w:rsidRDefault="00A1560E">
      <w:pPr>
        <w:pageBreakBefore/>
        <w:spacing w:line="360" w:lineRule="auto"/>
        <w:rPr>
          <w:rFonts w:ascii="Times New Roman" w:hAnsi="Times New Roman"/>
          <w:b/>
          <w:bCs/>
          <w:sz w:val="24"/>
          <w:szCs w:val="24"/>
          <w:lang w:val="en-US"/>
        </w:rPr>
      </w:pPr>
    </w:p>
    <w:p w14:paraId="05B8545E" w14:textId="77777777" w:rsidR="00A1560E" w:rsidRDefault="0061338A">
      <w:pPr>
        <w:pStyle w:val="NormalWeb"/>
        <w:spacing w:line="360" w:lineRule="auto"/>
        <w:rPr>
          <w:b/>
          <w:bCs/>
        </w:rPr>
      </w:pPr>
      <w:r>
        <w:rPr>
          <w:b/>
          <w:bCs/>
        </w:rPr>
        <w:t xml:space="preserve">Abstract </w:t>
      </w:r>
    </w:p>
    <w:p w14:paraId="0B895EDC" w14:textId="77777777" w:rsidR="00A1560E" w:rsidRDefault="0061338A">
      <w:pPr>
        <w:pStyle w:val="NormalWeb"/>
        <w:spacing w:line="360" w:lineRule="auto"/>
      </w:pPr>
      <w:r>
        <w:t>The global tourism industry is increasingly vulnerable to health-related crises, with both communicable and non-communicable diseases exerting profound impacts on destination appeal, tourist behaviour, and economic sustainability. This study explores the differential effects of communicable diseases (e.g., COVID-19, SARS, Ebola) and non-communicable diseases (e.g., cardiovascular disease, chronic respiratory illness, pollution-induced ailments) on tourism destinations, highlighting how each type influences tourist risk perception, willingness to travel, and long-term destination image. Communicable diseases often result in immediate and severe declines in tourist arrivals due to perceived contagion risks and media amplification, while non-communicable diseases contribute more subtly through environmental degradation, air quality issues, and weakened public health infrastructure. The research further examines crisis management strategies, including risk communication, stakeholder coordination, destination image rehabilitation, and the integration of health security into tourism planning. Through a synthesis of empirical studies and case analyses, the paper underscores the necessity for proactive health-based crisis preparedness, integrated communication strategies, and investment in sustainable public health systems to build resilience in tourism destinations. Findings suggest that long-term destination competitiveness is increasingly linked to perceived health safety, requiring a dual approach to managing both immediate outbreak threats and chronic health vulnerabilities.</w:t>
      </w:r>
    </w:p>
    <w:p w14:paraId="3008E70E" w14:textId="77777777" w:rsidR="00A1560E" w:rsidRDefault="00A1560E">
      <w:pPr>
        <w:spacing w:line="360" w:lineRule="auto"/>
        <w:rPr>
          <w:rFonts w:ascii="Times New Roman" w:hAnsi="Times New Roman"/>
          <w:b/>
          <w:bCs/>
          <w:sz w:val="24"/>
          <w:szCs w:val="24"/>
          <w:lang w:val="en-US"/>
        </w:rPr>
      </w:pPr>
    </w:p>
    <w:p w14:paraId="6094C25A" w14:textId="77777777" w:rsidR="00A1560E" w:rsidRDefault="00A1560E">
      <w:pPr>
        <w:spacing w:line="360" w:lineRule="auto"/>
      </w:pPr>
    </w:p>
    <w:p w14:paraId="45F0CE5D" w14:textId="77777777" w:rsidR="00A1560E" w:rsidRDefault="00A1560E">
      <w:pPr>
        <w:spacing w:line="360" w:lineRule="auto"/>
      </w:pPr>
    </w:p>
    <w:p w14:paraId="42298D31" w14:textId="77777777" w:rsidR="00A1560E" w:rsidRDefault="00A1560E">
      <w:pPr>
        <w:pStyle w:val="ListParagraph"/>
        <w:pageBreakBefore/>
        <w:numPr>
          <w:ilvl w:val="0"/>
          <w:numId w:val="1"/>
        </w:numPr>
        <w:spacing w:line="360" w:lineRule="auto"/>
      </w:pPr>
    </w:p>
    <w:p w14:paraId="4F1A6E9C" w14:textId="77777777" w:rsidR="00A1560E" w:rsidRDefault="0061338A">
      <w:pPr>
        <w:spacing w:line="360" w:lineRule="auto"/>
        <w:ind w:left="360"/>
        <w:rPr>
          <w:rFonts w:ascii="Times New Roman" w:hAnsi="Times New Roman"/>
          <w:b/>
          <w:bCs/>
          <w:sz w:val="24"/>
          <w:szCs w:val="24"/>
        </w:rPr>
      </w:pPr>
      <w:r>
        <w:rPr>
          <w:rFonts w:ascii="Times New Roman" w:hAnsi="Times New Roman"/>
          <w:b/>
          <w:bCs/>
          <w:sz w:val="24"/>
          <w:szCs w:val="24"/>
        </w:rPr>
        <w:t>Introduction</w:t>
      </w:r>
    </w:p>
    <w:p w14:paraId="44124065" w14:textId="77777777" w:rsidR="00A1560E" w:rsidRDefault="0061338A">
      <w:pPr>
        <w:spacing w:line="360" w:lineRule="auto"/>
        <w:ind w:left="360"/>
        <w:rPr>
          <w:rFonts w:ascii="Times New Roman" w:hAnsi="Times New Roman"/>
          <w:sz w:val="24"/>
          <w:szCs w:val="24"/>
        </w:rPr>
      </w:pPr>
      <w:r>
        <w:rPr>
          <w:rFonts w:ascii="Times New Roman" w:hAnsi="Times New Roman"/>
          <w:sz w:val="24"/>
          <w:szCs w:val="24"/>
        </w:rPr>
        <w:t>Tourism is an economically, socially, and culturally vital sector for many countries; yet it is also one of the sectors most acutely exposed to health risks. Destination image, visitor flows, and local livelihoods hinge strongly on perceptions of safety, health infrastructure, and environmental conditions. In recent decades, communicable and non</w:t>
      </w:r>
      <w:r>
        <w:rPr>
          <w:rFonts w:ascii="Times New Roman" w:hAnsi="Times New Roman"/>
          <w:sz w:val="24"/>
          <w:szCs w:val="24"/>
        </w:rPr>
        <w:noBreakHyphen/>
        <w:t>communicable diseases have emerged as central challenges for tourism destination management. Communicable diseases (CDs) such as Ebola, COVID</w:t>
      </w:r>
      <w:r>
        <w:rPr>
          <w:rFonts w:ascii="Times New Roman" w:hAnsi="Times New Roman"/>
          <w:sz w:val="24"/>
          <w:szCs w:val="24"/>
        </w:rPr>
        <w:noBreakHyphen/>
        <w:t>19, dengue, malaria, and yellow fever can trigger rapid, widely publicized crises often leading to travel bans, cancellations, and severe economic impacts. Non</w:t>
      </w:r>
      <w:r>
        <w:rPr>
          <w:rFonts w:ascii="Times New Roman" w:hAnsi="Times New Roman"/>
          <w:sz w:val="24"/>
          <w:szCs w:val="24"/>
        </w:rPr>
        <w:noBreakHyphen/>
        <w:t>communicable diseases (NCDs), including cardiovascular disease, chronic respiratory illness, environmental exposures (e.g., air pollution), obesity, and heat stress, though slower in onset, erode destination health perception over time, affect wellness tourism, and increase vulnerabilities among visitors and host communities alike.</w:t>
      </w:r>
    </w:p>
    <w:p w14:paraId="0B3D47D9"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This paper examines how both categories of disease affect tourism destinations: how they alter tourist behaviour, shape destination image, and influence economic outcomes. It draws upon empirical studies and case analyses, particularly from Africa (with Uganda as a primary example), to explore how outbreaks of communicable disease and the persistent presence of non</w:t>
      </w:r>
      <w:r>
        <w:rPr>
          <w:rFonts w:ascii="Times New Roman" w:hAnsi="Times New Roman"/>
          <w:sz w:val="24"/>
          <w:szCs w:val="24"/>
        </w:rPr>
        <w:noBreakHyphen/>
        <w:t>communicable disease risks interact with tourism demand, image, and recovery processes. Additionally, the paper reviews crisis management strategies employed to mitigate these impacts: from risk communication and stakeholder coordination to health policy, infrastructure investment, and image rehabilitation. Finally, the paper discusses gaps, synergies, and lessons for building resilient, health</w:t>
      </w:r>
      <w:r>
        <w:rPr>
          <w:rFonts w:ascii="Times New Roman" w:hAnsi="Times New Roman"/>
          <w:sz w:val="24"/>
          <w:szCs w:val="24"/>
        </w:rPr>
        <w:noBreakHyphen/>
        <w:t>safe tourism destinations in a world where both sudden outbreaks and chronic health risks are increasing.</w:t>
      </w:r>
    </w:p>
    <w:p w14:paraId="48FA0B8D" w14:textId="77777777" w:rsidR="00A1560E" w:rsidRDefault="00A1560E">
      <w:pPr>
        <w:spacing w:line="360" w:lineRule="auto"/>
        <w:rPr>
          <w:rFonts w:ascii="Times New Roman" w:hAnsi="Times New Roman"/>
          <w:b/>
          <w:bCs/>
          <w:sz w:val="24"/>
          <w:szCs w:val="24"/>
        </w:rPr>
      </w:pPr>
    </w:p>
    <w:p w14:paraId="3B99F125" w14:textId="77777777" w:rsidR="00A1560E" w:rsidRDefault="0061338A">
      <w:pPr>
        <w:pStyle w:val="ListParagraph"/>
        <w:numPr>
          <w:ilvl w:val="1"/>
          <w:numId w:val="2"/>
        </w:numPr>
        <w:spacing w:line="360" w:lineRule="auto"/>
        <w:rPr>
          <w:rFonts w:ascii="Times New Roman" w:hAnsi="Times New Roman"/>
          <w:b/>
          <w:bCs/>
          <w:sz w:val="24"/>
          <w:szCs w:val="24"/>
        </w:rPr>
      </w:pPr>
      <w:r>
        <w:rPr>
          <w:rFonts w:ascii="Times New Roman" w:hAnsi="Times New Roman"/>
          <w:b/>
          <w:bCs/>
          <w:sz w:val="24"/>
          <w:szCs w:val="24"/>
        </w:rPr>
        <w:t>Nature and Transmission</w:t>
      </w:r>
    </w:p>
    <w:p w14:paraId="1BC4F8E0"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Communicable diseases are those that spread via human contact, vectors (e.g., mosquitoes), bodily fluids, or environmental reservoirs. Outbreaks tend to be sudden, often carry high mortality or morbidity in short time periods, and are intensively covered by media. The visibility of these outbreaks tends to amplify fear and risk perceptions among potential tourists.</w:t>
      </w:r>
    </w:p>
    <w:p w14:paraId="6E8C7A72" w14:textId="77777777" w:rsidR="00A1560E" w:rsidRDefault="00A1560E">
      <w:pPr>
        <w:spacing w:line="360" w:lineRule="auto"/>
        <w:rPr>
          <w:rFonts w:ascii="Times New Roman" w:hAnsi="Times New Roman"/>
          <w:sz w:val="24"/>
          <w:szCs w:val="24"/>
        </w:rPr>
      </w:pPr>
    </w:p>
    <w:p w14:paraId="1E4255C9" w14:textId="77777777" w:rsidR="00A1560E" w:rsidRDefault="00A1560E">
      <w:pPr>
        <w:spacing w:line="360" w:lineRule="auto"/>
        <w:rPr>
          <w:rFonts w:ascii="Times New Roman" w:hAnsi="Times New Roman"/>
          <w:sz w:val="24"/>
          <w:szCs w:val="24"/>
        </w:rPr>
      </w:pPr>
    </w:p>
    <w:p w14:paraId="71E1C8EC" w14:textId="77777777" w:rsidR="00A1560E" w:rsidRDefault="0061338A">
      <w:pPr>
        <w:pStyle w:val="ListParagraph"/>
        <w:numPr>
          <w:ilvl w:val="1"/>
          <w:numId w:val="2"/>
        </w:numPr>
        <w:spacing w:line="360" w:lineRule="auto"/>
        <w:rPr>
          <w:rFonts w:ascii="Times New Roman" w:hAnsi="Times New Roman"/>
          <w:b/>
          <w:bCs/>
          <w:sz w:val="24"/>
          <w:szCs w:val="24"/>
        </w:rPr>
      </w:pPr>
      <w:r>
        <w:rPr>
          <w:rFonts w:ascii="Times New Roman" w:hAnsi="Times New Roman"/>
          <w:b/>
          <w:bCs/>
          <w:sz w:val="24"/>
          <w:szCs w:val="24"/>
        </w:rPr>
        <w:t>Impacts on Tourism Demand</w:t>
      </w:r>
    </w:p>
    <w:p w14:paraId="7DE5FBD1"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Research shows that infectious disease outbreaks can result in steep declines in tourist arrivals and revenues. For example, a study using a gravity model of international tourism flows found that eradication of diseases like malaria, dengue, yellow fever, and Ebola in affected countries would lead to substantial increases in tourist numbers and expenditures globally approximately 10 million more tourists and USD 12 billion more in tourist expenditure if those diseases were eliminated in those regions.</w:t>
      </w:r>
    </w:p>
    <w:p w14:paraId="7AFA8B51"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In the case of Uganda, past frequent outbreaks such as Ebola and Marburg have exposed vulnerabilities in the tourism sector. When COVID</w:t>
      </w:r>
      <w:r>
        <w:rPr>
          <w:rFonts w:ascii="Times New Roman" w:hAnsi="Times New Roman"/>
          <w:sz w:val="24"/>
          <w:szCs w:val="24"/>
        </w:rPr>
        <w:noBreakHyphen/>
        <w:t>19 arrived, the country drew upon lessons from previous outbreaks to manage impacts. Mugizi, Ayorekire, and Obua’s study (“Uganda Tourism Sector COVID</w:t>
      </w:r>
      <w:r>
        <w:rPr>
          <w:rFonts w:ascii="Times New Roman" w:hAnsi="Times New Roman"/>
          <w:sz w:val="24"/>
          <w:szCs w:val="24"/>
        </w:rPr>
        <w:noBreakHyphen/>
        <w:t>19 Response, Recovery and Sustainability Strategies”) describes how COVID</w:t>
      </w:r>
      <w:r>
        <w:rPr>
          <w:rFonts w:ascii="Times New Roman" w:hAnsi="Times New Roman"/>
          <w:sz w:val="24"/>
          <w:szCs w:val="24"/>
        </w:rPr>
        <w:noBreakHyphen/>
        <w:t>19 led to both immediate halts in inbound tourism and long</w:t>
      </w:r>
      <w:r>
        <w:rPr>
          <w:rFonts w:ascii="Times New Roman" w:hAnsi="Times New Roman"/>
          <w:sz w:val="24"/>
          <w:szCs w:val="24"/>
        </w:rPr>
        <w:noBreakHyphen/>
        <w:t>term reputational concerns.</w:t>
      </w:r>
    </w:p>
    <w:p w14:paraId="78BF8F25"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The risk perception among intermediaries (transport drivers in border districts in Uganda) during the Ebola outbreak and COVID</w:t>
      </w:r>
      <w:r>
        <w:rPr>
          <w:rFonts w:ascii="Times New Roman" w:hAnsi="Times New Roman"/>
          <w:sz w:val="24"/>
          <w:szCs w:val="24"/>
        </w:rPr>
        <w:noBreakHyphen/>
        <w:t>19 was studied by researchers: movements, willingness to transport, and cross</w:t>
      </w:r>
      <w:r>
        <w:rPr>
          <w:rFonts w:ascii="Times New Roman" w:hAnsi="Times New Roman"/>
          <w:sz w:val="24"/>
          <w:szCs w:val="24"/>
        </w:rPr>
        <w:noBreakHyphen/>
        <w:t>border flow reductions were influenced by perceived risk, education, and the clarity of health messages.</w:t>
      </w:r>
    </w:p>
    <w:p w14:paraId="67E36DDC" w14:textId="77777777" w:rsidR="00A1560E" w:rsidRDefault="0061338A">
      <w:pPr>
        <w:pStyle w:val="ListParagraph"/>
        <w:numPr>
          <w:ilvl w:val="1"/>
          <w:numId w:val="2"/>
        </w:numPr>
        <w:spacing w:line="360" w:lineRule="auto"/>
        <w:rPr>
          <w:rFonts w:ascii="Times New Roman" w:hAnsi="Times New Roman"/>
          <w:b/>
          <w:bCs/>
          <w:sz w:val="24"/>
          <w:szCs w:val="24"/>
        </w:rPr>
      </w:pPr>
      <w:r>
        <w:rPr>
          <w:rFonts w:ascii="Times New Roman" w:hAnsi="Times New Roman"/>
          <w:b/>
          <w:bCs/>
          <w:sz w:val="24"/>
          <w:szCs w:val="24"/>
        </w:rPr>
        <w:t>Effects on Destination Image</w:t>
      </w:r>
    </w:p>
    <w:p w14:paraId="1AFA6EA9"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Destination image consists of both tangible (infrastructure, environment, healthcare) and intangible components (safety, cleanliness, risk). Communicable disease outbreaks tend to damage both: tourists may see images of overwhelmed hospitals, quarantines, or travel bans, each of which undermines perceptions of safety. Media coverage often emphasizes worst</w:t>
      </w:r>
      <w:r>
        <w:rPr>
          <w:rFonts w:ascii="Times New Roman" w:hAnsi="Times New Roman"/>
          <w:sz w:val="24"/>
          <w:szCs w:val="24"/>
        </w:rPr>
        <w:noBreakHyphen/>
        <w:t>case scenarios, sometimes with incomplete context, worsening reputational damage.</w:t>
      </w:r>
    </w:p>
    <w:p w14:paraId="147405CA"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For example, during the Ebola outbreaks, many international tourists avoided parts of West Africa, even those not directly affected. This ‘spillover’ effect harms neighbouring countries by association, regardless of actual risk. The “Infectious disease risk and international tourism demand” study notes that negative associations with disease can depress demand even if risks are localized.</w:t>
      </w:r>
    </w:p>
    <w:p w14:paraId="420ED94B" w14:textId="77777777" w:rsidR="00A1560E" w:rsidRDefault="00A1560E">
      <w:pPr>
        <w:spacing w:line="360" w:lineRule="auto"/>
        <w:rPr>
          <w:rFonts w:ascii="Times New Roman" w:hAnsi="Times New Roman"/>
          <w:sz w:val="24"/>
          <w:szCs w:val="24"/>
        </w:rPr>
      </w:pPr>
    </w:p>
    <w:p w14:paraId="4EB2F3F4" w14:textId="77777777" w:rsidR="00A1560E" w:rsidRDefault="00A1560E">
      <w:pPr>
        <w:spacing w:line="360" w:lineRule="auto"/>
        <w:rPr>
          <w:rFonts w:ascii="Times New Roman" w:hAnsi="Times New Roman"/>
          <w:sz w:val="24"/>
          <w:szCs w:val="24"/>
        </w:rPr>
      </w:pPr>
    </w:p>
    <w:p w14:paraId="4245AC16" w14:textId="77777777" w:rsidR="00A1560E" w:rsidRDefault="0061338A">
      <w:pPr>
        <w:pStyle w:val="ListParagraph"/>
        <w:numPr>
          <w:ilvl w:val="1"/>
          <w:numId w:val="2"/>
        </w:numPr>
        <w:spacing w:line="360" w:lineRule="auto"/>
        <w:rPr>
          <w:rFonts w:ascii="Times New Roman" w:hAnsi="Times New Roman"/>
          <w:b/>
          <w:bCs/>
          <w:sz w:val="24"/>
          <w:szCs w:val="24"/>
        </w:rPr>
      </w:pPr>
      <w:r>
        <w:rPr>
          <w:rFonts w:ascii="Times New Roman" w:hAnsi="Times New Roman"/>
          <w:b/>
          <w:bCs/>
          <w:sz w:val="24"/>
          <w:szCs w:val="24"/>
        </w:rPr>
        <w:t>Duration and Recovery</w:t>
      </w:r>
    </w:p>
    <w:p w14:paraId="05E796AC"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While the impact of CDs can be rapid and sharp, recovery is often uneven and slow. Travel advisories, border restrictions, and cancelled flights contribute to immediate economic loss; however, reputation effects linger. The Uganda case demonstrates that past experiences with Ebola/Marburg helped shape COVID</w:t>
      </w:r>
      <w:r>
        <w:rPr>
          <w:rFonts w:ascii="Times New Roman" w:hAnsi="Times New Roman"/>
          <w:sz w:val="24"/>
          <w:szCs w:val="24"/>
        </w:rPr>
        <w:noBreakHyphen/>
        <w:t>19 recovery efforts, but also that recovery has been protracted.</w:t>
      </w:r>
    </w:p>
    <w:p w14:paraId="208BED53" w14:textId="77777777" w:rsidR="00A1560E" w:rsidRDefault="00A1560E">
      <w:pPr>
        <w:spacing w:line="360" w:lineRule="auto"/>
        <w:rPr>
          <w:rFonts w:ascii="Times New Roman" w:hAnsi="Times New Roman"/>
          <w:sz w:val="24"/>
          <w:szCs w:val="24"/>
        </w:rPr>
      </w:pPr>
    </w:p>
    <w:p w14:paraId="331C3C68"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2. Non</w:t>
      </w:r>
      <w:r>
        <w:rPr>
          <w:rFonts w:ascii="Times New Roman" w:hAnsi="Times New Roman"/>
          <w:b/>
          <w:bCs/>
          <w:sz w:val="24"/>
          <w:szCs w:val="24"/>
        </w:rPr>
        <w:noBreakHyphen/>
        <w:t>Communicable Diseases: Chronic Risks, Environmental Health, and Long</w:t>
      </w:r>
      <w:r>
        <w:rPr>
          <w:rFonts w:ascii="Times New Roman" w:hAnsi="Times New Roman"/>
          <w:b/>
          <w:bCs/>
          <w:sz w:val="24"/>
          <w:szCs w:val="24"/>
        </w:rPr>
        <w:noBreakHyphen/>
        <w:t>Term Impacts</w:t>
      </w:r>
    </w:p>
    <w:p w14:paraId="5D461E8C"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2.1 Nature of Non</w:t>
      </w:r>
      <w:r>
        <w:rPr>
          <w:rFonts w:ascii="Times New Roman" w:hAnsi="Times New Roman"/>
          <w:b/>
          <w:bCs/>
          <w:sz w:val="24"/>
          <w:szCs w:val="24"/>
        </w:rPr>
        <w:noBreakHyphen/>
        <w:t>Communicable Disease Risks</w:t>
      </w:r>
    </w:p>
    <w:p w14:paraId="660EC69C" w14:textId="77777777" w:rsidR="00A1560E" w:rsidRDefault="0061338A">
      <w:pPr>
        <w:pStyle w:val="ListParagraph"/>
        <w:numPr>
          <w:ilvl w:val="0"/>
          <w:numId w:val="1"/>
        </w:numPr>
        <w:spacing w:line="360" w:lineRule="auto"/>
      </w:pPr>
      <w:r>
        <w:rPr>
          <w:rFonts w:ascii="Times New Roman" w:hAnsi="Times New Roman"/>
          <w:sz w:val="24"/>
          <w:szCs w:val="24"/>
        </w:rPr>
        <w:t>Non</w:t>
      </w:r>
      <w:r>
        <w:rPr>
          <w:rFonts w:ascii="Times New Roman" w:hAnsi="Times New Roman"/>
          <w:sz w:val="24"/>
          <w:szCs w:val="24"/>
        </w:rPr>
        <w:noBreakHyphen/>
        <w:t>communicable diseases include chronic illnesses such as cardiovascular disease, chronic respiratory diseases (often tied to pollution), diabetes, cancer, and health risks due to environmental degradation (e.g. poor air or water quality, heat extremes). These do not spread via contagion, but are linked to behavioural, environmental, and infrastructural factors. ((, 2024)</w:t>
      </w:r>
    </w:p>
    <w:p w14:paraId="5FE64222"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2.2 Impacts on Health and Tourist Decision‐Making</w:t>
      </w:r>
    </w:p>
    <w:p w14:paraId="1F840F09"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Although NCDs are less immediately dramatic than communicable disease outbreaks, they matter because:</w:t>
      </w:r>
    </w:p>
    <w:p w14:paraId="28418956" w14:textId="77777777" w:rsidR="00A1560E" w:rsidRDefault="0061338A">
      <w:pPr>
        <w:numPr>
          <w:ilvl w:val="0"/>
          <w:numId w:val="1"/>
        </w:numPr>
        <w:spacing w:line="360" w:lineRule="auto"/>
        <w:rPr>
          <w:rFonts w:ascii="Times New Roman" w:hAnsi="Times New Roman"/>
          <w:sz w:val="24"/>
          <w:szCs w:val="24"/>
        </w:rPr>
      </w:pPr>
      <w:r>
        <w:rPr>
          <w:rFonts w:ascii="Times New Roman" w:hAnsi="Times New Roman"/>
          <w:sz w:val="24"/>
          <w:szCs w:val="24"/>
        </w:rPr>
        <w:t>Some tourists may avoid destinations where air pollution, extreme heat, or poor sanitation are visible or scientifically measured to be poor.</w:t>
      </w:r>
    </w:p>
    <w:p w14:paraId="753E8380" w14:textId="77777777" w:rsidR="00A1560E" w:rsidRDefault="0061338A">
      <w:pPr>
        <w:numPr>
          <w:ilvl w:val="0"/>
          <w:numId w:val="1"/>
        </w:numPr>
        <w:spacing w:line="360" w:lineRule="auto"/>
        <w:rPr>
          <w:rFonts w:ascii="Times New Roman" w:hAnsi="Times New Roman"/>
          <w:sz w:val="24"/>
          <w:szCs w:val="24"/>
        </w:rPr>
      </w:pPr>
      <w:r>
        <w:rPr>
          <w:rFonts w:ascii="Times New Roman" w:hAnsi="Times New Roman"/>
          <w:sz w:val="24"/>
          <w:szCs w:val="24"/>
        </w:rPr>
        <w:t>Wellness and health tourism (spas, retreats, clean air/nature) are markets especially sensitive to NCD</w:t>
      </w:r>
      <w:r>
        <w:rPr>
          <w:rFonts w:ascii="Times New Roman" w:hAnsi="Times New Roman"/>
          <w:sz w:val="24"/>
          <w:szCs w:val="24"/>
        </w:rPr>
        <w:noBreakHyphen/>
        <w:t>linked environmental health metrics.</w:t>
      </w:r>
    </w:p>
    <w:p w14:paraId="7A47CED7" w14:textId="77777777" w:rsidR="00A1560E" w:rsidRDefault="0061338A">
      <w:pPr>
        <w:numPr>
          <w:ilvl w:val="0"/>
          <w:numId w:val="1"/>
        </w:numPr>
        <w:spacing w:line="360" w:lineRule="auto"/>
        <w:rPr>
          <w:rFonts w:ascii="Times New Roman" w:hAnsi="Times New Roman"/>
          <w:sz w:val="24"/>
          <w:szCs w:val="24"/>
        </w:rPr>
      </w:pPr>
      <w:r>
        <w:rPr>
          <w:rFonts w:ascii="Times New Roman" w:hAnsi="Times New Roman"/>
          <w:sz w:val="24"/>
          <w:szCs w:val="24"/>
        </w:rPr>
        <w:t>Visitors with pre</w:t>
      </w:r>
      <w:r>
        <w:rPr>
          <w:rFonts w:ascii="Times New Roman" w:hAnsi="Times New Roman"/>
          <w:sz w:val="24"/>
          <w:szCs w:val="24"/>
        </w:rPr>
        <w:noBreakHyphen/>
        <w:t>existing conditions are especially vulnerable; perceptions of inadequate healthcare provision or environmental risk can discourage travel.</w:t>
      </w:r>
    </w:p>
    <w:p w14:paraId="2FD70C5C"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Empirical work is less abundant here compared to CDs, but existing literature (e.g. environmental health, built</w:t>
      </w:r>
      <w:r>
        <w:rPr>
          <w:rFonts w:ascii="Times New Roman" w:hAnsi="Times New Roman"/>
          <w:sz w:val="24"/>
          <w:szCs w:val="24"/>
        </w:rPr>
        <w:noBreakHyphen/>
        <w:t>environment studies, urban air quality) shows increasing association between environmental risk and negative destination image. For example, research using street</w:t>
      </w:r>
      <w:r>
        <w:rPr>
          <w:rFonts w:ascii="Times New Roman" w:hAnsi="Times New Roman"/>
          <w:sz w:val="24"/>
          <w:szCs w:val="24"/>
        </w:rPr>
        <w:noBreakHyphen/>
        <w:t>view imagery to infer exposure risks for communicable and non</w:t>
      </w:r>
      <w:r>
        <w:rPr>
          <w:rFonts w:ascii="Times New Roman" w:hAnsi="Times New Roman"/>
          <w:sz w:val="24"/>
          <w:szCs w:val="24"/>
        </w:rPr>
        <w:noBreakHyphen/>
        <w:t>communicable disease suggests that built environment features correlate significantly with health risk perceptions.</w:t>
      </w:r>
    </w:p>
    <w:p w14:paraId="680201CE"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2.3 Effects on Destination Image</w:t>
      </w:r>
    </w:p>
    <w:p w14:paraId="300C3A9E"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NCD risks degrade what might be called a destining’s “health profile” over time. Visible pollution, frequent smog, water</w:t>
      </w:r>
      <w:r>
        <w:rPr>
          <w:rFonts w:ascii="Times New Roman" w:hAnsi="Times New Roman"/>
          <w:sz w:val="24"/>
          <w:szCs w:val="24"/>
        </w:rPr>
        <w:noBreakHyphen/>
        <w:t>borne illnesses, poor sanitation, vector environments, or lack of physical infrastructure (e.g., hospitals) can undermine trust. Even without a disease outbreak, destinations may be rated poorly in traveller reviews or rankings based on health/climate/environment, discouraging repeat visits or particular tourist segments (older travellers, wellness tourists).</w:t>
      </w:r>
    </w:p>
    <w:p w14:paraId="60317FC3"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2.4 Interaction with Communicable Diseases</w:t>
      </w:r>
    </w:p>
    <w:p w14:paraId="65FF36CD"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Destinations with high prevalence of NCDs often have weaker health systems or populations more vulnerable to communicable disease outbreaks. For example, persons with pre</w:t>
      </w:r>
      <w:r>
        <w:rPr>
          <w:rFonts w:ascii="Times New Roman" w:hAnsi="Times New Roman"/>
          <w:sz w:val="24"/>
          <w:szCs w:val="24"/>
        </w:rPr>
        <w:noBreakHyphen/>
        <w:t>existing respiratory or cardiovascular conditions tend to suffer more severe outcomes during influenza, COVID</w:t>
      </w:r>
      <w:r>
        <w:rPr>
          <w:rFonts w:ascii="Times New Roman" w:hAnsi="Times New Roman"/>
          <w:sz w:val="24"/>
          <w:szCs w:val="24"/>
        </w:rPr>
        <w:noBreakHyphen/>
        <w:t>19, or other epidemic events. Thus, NCD burdens amplify the impact of CDs both in health outcomes and in the perception of risk among tourists.</w:t>
      </w:r>
    </w:p>
    <w:p w14:paraId="0AE643F2"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3. Crisis Management &amp; Recovery Strategies</w:t>
      </w:r>
    </w:p>
    <w:p w14:paraId="3EC95CDA"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Having discussed impacts, we now explore how destinations manage, mitigate, and recover from disease</w:t>
      </w:r>
      <w:r>
        <w:rPr>
          <w:rFonts w:ascii="Times New Roman" w:hAnsi="Times New Roman"/>
          <w:sz w:val="24"/>
          <w:szCs w:val="24"/>
        </w:rPr>
        <w:noBreakHyphen/>
        <w:t>related crises (both communicable and non</w:t>
      </w:r>
      <w:r>
        <w:rPr>
          <w:rFonts w:ascii="Times New Roman" w:hAnsi="Times New Roman"/>
          <w:sz w:val="24"/>
          <w:szCs w:val="24"/>
        </w:rPr>
        <w:noBreakHyphen/>
        <w:t>communicable). Successful strategies often combine immediate response with long</w:t>
      </w:r>
      <w:r>
        <w:rPr>
          <w:rFonts w:ascii="Times New Roman" w:hAnsi="Times New Roman"/>
          <w:sz w:val="24"/>
          <w:szCs w:val="24"/>
        </w:rPr>
        <w:noBreakHyphen/>
        <w:t>term planning.</w:t>
      </w:r>
    </w:p>
    <w:p w14:paraId="4DFBEB0A"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3.1 Frameworks and Preparedness</w:t>
      </w:r>
    </w:p>
    <w:p w14:paraId="5474C249"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A meta</w:t>
      </w:r>
      <w:r>
        <w:rPr>
          <w:rFonts w:ascii="Times New Roman" w:hAnsi="Times New Roman"/>
          <w:sz w:val="24"/>
          <w:szCs w:val="24"/>
        </w:rPr>
        <w:noBreakHyphen/>
        <w:t>analysis of crisis management frameworks in tourism and hospitality (2000</w:t>
      </w:r>
      <w:r>
        <w:rPr>
          <w:rFonts w:ascii="Times New Roman" w:hAnsi="Times New Roman"/>
          <w:sz w:val="24"/>
          <w:szCs w:val="24"/>
        </w:rPr>
        <w:noBreakHyphen/>
        <w:t>2022) identified 14 key frameworks. A common element among effective ones is proactive planning: anticipating potential disease outbreaks, having structures for stakeholder coordination, and integrating health safety into tourism policy and planning.</w:t>
      </w:r>
    </w:p>
    <w:p w14:paraId="1E4E5AB1"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Authors Jong &amp; Goossen (2025) note that risk &amp; crisis communication in tourism needs improvement, especially in informing tourists before arrival, ensuring information is accessible, in multiple languages and via channels they trust.</w:t>
      </w:r>
    </w:p>
    <w:p w14:paraId="3EF9E88E"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3.2 Response to Communicable Disease Outbreaks</w:t>
      </w:r>
    </w:p>
    <w:p w14:paraId="145B6887" w14:textId="77777777" w:rsidR="00A1560E" w:rsidRDefault="0061338A">
      <w:pPr>
        <w:numPr>
          <w:ilvl w:val="0"/>
          <w:numId w:val="1"/>
        </w:numPr>
        <w:spacing w:line="360" w:lineRule="auto"/>
      </w:pPr>
      <w:r>
        <w:rPr>
          <w:rFonts w:ascii="Times New Roman" w:hAnsi="Times New Roman"/>
          <w:b/>
          <w:bCs/>
          <w:sz w:val="24"/>
          <w:szCs w:val="24"/>
        </w:rPr>
        <w:t>Surveillance, containment, and biosecurity measures</w:t>
      </w:r>
      <w:r>
        <w:rPr>
          <w:rFonts w:ascii="Times New Roman" w:hAnsi="Times New Roman"/>
          <w:sz w:val="24"/>
          <w:szCs w:val="24"/>
        </w:rPr>
        <w:t>: Quick detection, isolation, contact tracing, quarantine. For example, Uganda’s Ministry of Health has in recent Ebola outbreaks identified contacts (hundreds), implemented follow</w:t>
      </w:r>
      <w:r>
        <w:rPr>
          <w:rFonts w:ascii="Times New Roman" w:hAnsi="Times New Roman"/>
          <w:sz w:val="24"/>
          <w:szCs w:val="24"/>
        </w:rPr>
        <w:noBreakHyphen/>
        <w:t>ups, and engaged with tourism stakeholders to minimize spread and coordinate messaging.</w:t>
      </w:r>
    </w:p>
    <w:p w14:paraId="11C5CDD3" w14:textId="77777777" w:rsidR="00A1560E" w:rsidRDefault="0061338A">
      <w:pPr>
        <w:numPr>
          <w:ilvl w:val="0"/>
          <w:numId w:val="1"/>
        </w:numPr>
        <w:spacing w:line="360" w:lineRule="auto"/>
      </w:pPr>
      <w:r>
        <w:rPr>
          <w:rFonts w:ascii="Times New Roman" w:hAnsi="Times New Roman"/>
          <w:b/>
          <w:bCs/>
          <w:sz w:val="24"/>
          <w:szCs w:val="24"/>
        </w:rPr>
        <w:t>Risk communication</w:t>
      </w:r>
      <w:r>
        <w:rPr>
          <w:rFonts w:ascii="Times New Roman" w:hAnsi="Times New Roman"/>
          <w:sz w:val="24"/>
          <w:szCs w:val="24"/>
        </w:rPr>
        <w:t>: To reduce panic, misinformation, and to restore trust. Transparent communication about what is known, what is being done, and what travel restrictions or safety measures are in place. In Uganda, during recent outbreaks, officials communicated that tourism is safe in areas not affected, to reassure travellers and trade partners.</w:t>
      </w:r>
    </w:p>
    <w:p w14:paraId="6C75D5C4" w14:textId="77777777" w:rsidR="00A1560E" w:rsidRDefault="0061338A">
      <w:pPr>
        <w:numPr>
          <w:ilvl w:val="0"/>
          <w:numId w:val="1"/>
        </w:numPr>
        <w:spacing w:line="360" w:lineRule="auto"/>
      </w:pPr>
      <w:r>
        <w:rPr>
          <w:rFonts w:ascii="Times New Roman" w:hAnsi="Times New Roman"/>
          <w:b/>
          <w:bCs/>
          <w:sz w:val="24"/>
          <w:szCs w:val="24"/>
        </w:rPr>
        <w:t>Policy flexibility</w:t>
      </w:r>
      <w:r>
        <w:rPr>
          <w:rFonts w:ascii="Times New Roman" w:hAnsi="Times New Roman"/>
          <w:sz w:val="24"/>
          <w:szCs w:val="24"/>
        </w:rPr>
        <w:t>: Adjusting travel advisories, refund/cancellation policies, insurance coverage, flexible booking to accommodate changing situation.</w:t>
      </w:r>
    </w:p>
    <w:p w14:paraId="7F96B04B"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3.3 Managing Non</w:t>
      </w:r>
      <w:r>
        <w:rPr>
          <w:rFonts w:ascii="Times New Roman" w:hAnsi="Times New Roman"/>
          <w:b/>
          <w:bCs/>
          <w:sz w:val="24"/>
          <w:szCs w:val="24"/>
        </w:rPr>
        <w:noBreakHyphen/>
        <w:t>Communicable Disease Risks &amp; Environmental Health</w:t>
      </w:r>
    </w:p>
    <w:p w14:paraId="52F62342" w14:textId="77777777" w:rsidR="00A1560E" w:rsidRDefault="0061338A">
      <w:pPr>
        <w:numPr>
          <w:ilvl w:val="0"/>
          <w:numId w:val="1"/>
        </w:numPr>
        <w:spacing w:line="360" w:lineRule="auto"/>
      </w:pPr>
      <w:r>
        <w:rPr>
          <w:rFonts w:ascii="Times New Roman" w:hAnsi="Times New Roman"/>
          <w:b/>
          <w:bCs/>
          <w:sz w:val="24"/>
          <w:szCs w:val="24"/>
        </w:rPr>
        <w:t>Environmental regulation and policy</w:t>
      </w:r>
      <w:r>
        <w:rPr>
          <w:rFonts w:ascii="Times New Roman" w:hAnsi="Times New Roman"/>
          <w:sz w:val="24"/>
          <w:szCs w:val="24"/>
        </w:rPr>
        <w:t>: Controlling air pollution, improving urban design, ensuring clean water, sanitation, vector control.</w:t>
      </w:r>
    </w:p>
    <w:p w14:paraId="47B3781D" w14:textId="77777777" w:rsidR="00A1560E" w:rsidRDefault="0061338A">
      <w:pPr>
        <w:numPr>
          <w:ilvl w:val="0"/>
          <w:numId w:val="1"/>
        </w:numPr>
        <w:spacing w:line="360" w:lineRule="auto"/>
      </w:pPr>
      <w:r>
        <w:rPr>
          <w:rFonts w:ascii="Times New Roman" w:hAnsi="Times New Roman"/>
          <w:b/>
          <w:bCs/>
          <w:sz w:val="24"/>
          <w:szCs w:val="24"/>
        </w:rPr>
        <w:t>Health infrastructure strengthening</w:t>
      </w:r>
      <w:r>
        <w:rPr>
          <w:rFonts w:ascii="Times New Roman" w:hAnsi="Times New Roman"/>
          <w:sz w:val="24"/>
          <w:szCs w:val="24"/>
        </w:rPr>
        <w:t>: Ensuring healthcare access for both residents and tourists, with capacity to cope with both chronic disease management and emergency care.</w:t>
      </w:r>
    </w:p>
    <w:p w14:paraId="4B13C1E8" w14:textId="77777777" w:rsidR="00A1560E" w:rsidRDefault="0061338A">
      <w:pPr>
        <w:numPr>
          <w:ilvl w:val="0"/>
          <w:numId w:val="1"/>
        </w:numPr>
        <w:spacing w:line="360" w:lineRule="auto"/>
      </w:pPr>
      <w:r>
        <w:rPr>
          <w:rFonts w:ascii="Times New Roman" w:hAnsi="Times New Roman"/>
          <w:b/>
          <w:bCs/>
          <w:sz w:val="24"/>
          <w:szCs w:val="24"/>
        </w:rPr>
        <w:t>Wellness tourism development</w:t>
      </w:r>
      <w:r>
        <w:rPr>
          <w:rFonts w:ascii="Times New Roman" w:hAnsi="Times New Roman"/>
          <w:sz w:val="24"/>
          <w:szCs w:val="24"/>
        </w:rPr>
        <w:t>: Leveraging natural environments (clean air, nature reserves, etc.), health safety branding, and promoting preventative health among tourists and local population to improve image. (worldwide, n.d.)</w:t>
      </w:r>
    </w:p>
    <w:p w14:paraId="5002C529"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3.4 Recovery and Image Rehabilitation</w:t>
      </w:r>
    </w:p>
    <w:p w14:paraId="1552949B" w14:textId="77777777" w:rsidR="00A1560E" w:rsidRDefault="0061338A">
      <w:pPr>
        <w:numPr>
          <w:ilvl w:val="0"/>
          <w:numId w:val="1"/>
        </w:numPr>
        <w:spacing w:line="360" w:lineRule="auto"/>
      </w:pPr>
      <w:r>
        <w:rPr>
          <w:rFonts w:ascii="Times New Roman" w:hAnsi="Times New Roman"/>
          <w:b/>
          <w:bCs/>
          <w:sz w:val="24"/>
          <w:szCs w:val="24"/>
        </w:rPr>
        <w:t>Destination Image Management</w:t>
      </w:r>
      <w:r>
        <w:rPr>
          <w:rFonts w:ascii="Times New Roman" w:hAnsi="Times New Roman"/>
          <w:sz w:val="24"/>
          <w:szCs w:val="24"/>
        </w:rPr>
        <w:t>: Post</w:t>
      </w:r>
      <w:r>
        <w:rPr>
          <w:rFonts w:ascii="Times New Roman" w:hAnsi="Times New Roman"/>
          <w:sz w:val="24"/>
          <w:szCs w:val="24"/>
        </w:rPr>
        <w:noBreakHyphen/>
        <w:t>crisis marketing that emphasizes recovery, safety, and improved health infrastructure. Use of third</w:t>
      </w:r>
      <w:r>
        <w:rPr>
          <w:rFonts w:ascii="Times New Roman" w:hAnsi="Times New Roman"/>
          <w:sz w:val="24"/>
          <w:szCs w:val="24"/>
        </w:rPr>
        <w:noBreakHyphen/>
        <w:t>party endorsements (WHO, regional health authorities), health certifications, media campaigns to rebuild trust.</w:t>
      </w:r>
    </w:p>
    <w:p w14:paraId="1C1BC891" w14:textId="77777777" w:rsidR="00A1560E" w:rsidRDefault="0061338A">
      <w:pPr>
        <w:numPr>
          <w:ilvl w:val="0"/>
          <w:numId w:val="1"/>
        </w:numPr>
        <w:spacing w:line="360" w:lineRule="auto"/>
      </w:pPr>
      <w:r>
        <w:rPr>
          <w:rFonts w:ascii="Times New Roman" w:hAnsi="Times New Roman"/>
          <w:b/>
          <w:bCs/>
          <w:sz w:val="24"/>
          <w:szCs w:val="24"/>
        </w:rPr>
        <w:t>Focus on domestic / regional tourism</w:t>
      </w:r>
      <w:r>
        <w:rPr>
          <w:rFonts w:ascii="Times New Roman" w:hAnsi="Times New Roman"/>
          <w:sz w:val="24"/>
          <w:szCs w:val="24"/>
        </w:rPr>
        <w:t>: Many destinations first revive tourism from nearer markets or locals, who perceive lower risk, to generate revenue and build momentum. Uganda’s strategies during COVID</w:t>
      </w:r>
      <w:r>
        <w:rPr>
          <w:rFonts w:ascii="Times New Roman" w:hAnsi="Times New Roman"/>
          <w:sz w:val="24"/>
          <w:szCs w:val="24"/>
        </w:rPr>
        <w:noBreakHyphen/>
        <w:t>19 included emphasizing domestic tourism, which provided some buffer during international travel restrictions.</w:t>
      </w:r>
    </w:p>
    <w:p w14:paraId="70EA1660" w14:textId="77777777" w:rsidR="00A1560E" w:rsidRDefault="0061338A">
      <w:pPr>
        <w:numPr>
          <w:ilvl w:val="0"/>
          <w:numId w:val="1"/>
        </w:numPr>
        <w:spacing w:line="360" w:lineRule="auto"/>
      </w:pPr>
      <w:r>
        <w:rPr>
          <w:rFonts w:ascii="Times New Roman" w:hAnsi="Times New Roman"/>
          <w:b/>
          <w:bCs/>
          <w:sz w:val="24"/>
          <w:szCs w:val="24"/>
        </w:rPr>
        <w:t>Monitoring and feedback loops</w:t>
      </w:r>
      <w:r>
        <w:rPr>
          <w:rFonts w:ascii="Times New Roman" w:hAnsi="Times New Roman"/>
          <w:sz w:val="24"/>
          <w:szCs w:val="24"/>
        </w:rPr>
        <w:t>: Collect data on tourist perceptions, health system performance, environmental health indicators to adjust strategy. Academic reviews emphasize need for interdisciplinary research to track both immediate crisis and long</w:t>
      </w:r>
      <w:r>
        <w:rPr>
          <w:rFonts w:ascii="Times New Roman" w:hAnsi="Times New Roman"/>
          <w:sz w:val="24"/>
          <w:szCs w:val="24"/>
        </w:rPr>
        <w:noBreakHyphen/>
        <w:t>term disease risk impacts.</w:t>
      </w:r>
    </w:p>
    <w:p w14:paraId="5F694773" w14:textId="77777777" w:rsidR="00A1560E" w:rsidRDefault="0061338A">
      <w:pPr>
        <w:numPr>
          <w:ilvl w:val="0"/>
          <w:numId w:val="1"/>
        </w:numPr>
        <w:spacing w:line="360" w:lineRule="auto"/>
      </w:pPr>
      <w:r>
        <w:rPr>
          <w:rFonts w:ascii="Times New Roman" w:hAnsi="Times New Roman"/>
          <w:b/>
          <w:bCs/>
          <w:sz w:val="24"/>
          <w:szCs w:val="24"/>
        </w:rPr>
        <w:t>Resilience through diversification</w:t>
      </w:r>
      <w:r>
        <w:rPr>
          <w:rFonts w:ascii="Times New Roman" w:hAnsi="Times New Roman"/>
          <w:sz w:val="24"/>
          <w:szCs w:val="24"/>
        </w:rPr>
        <w:t>: Both in markets (not relying on one source country) and product (wellness, nature, culture), to reduce vulnerability to specific health crises.</w:t>
      </w:r>
    </w:p>
    <w:p w14:paraId="64E6FA3D"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4. Case Study: Uganda</w:t>
      </w:r>
    </w:p>
    <w:p w14:paraId="0C1AF2D8"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Uganda is a useful example because it has experienced multiple communicable disease outbreaks (Ebola, Marburg, COVID</w:t>
      </w:r>
      <w:r>
        <w:rPr>
          <w:rFonts w:ascii="Times New Roman" w:hAnsi="Times New Roman"/>
          <w:sz w:val="24"/>
          <w:szCs w:val="24"/>
        </w:rPr>
        <w:noBreakHyphen/>
        <w:t>19) and has also confronted non</w:t>
      </w:r>
      <w:r>
        <w:rPr>
          <w:rFonts w:ascii="Times New Roman" w:hAnsi="Times New Roman"/>
          <w:sz w:val="24"/>
          <w:szCs w:val="24"/>
        </w:rPr>
        <w:noBreakHyphen/>
        <w:t>communicable health burdens and environmental health risks.</w:t>
      </w:r>
    </w:p>
    <w:p w14:paraId="00E3058A" w14:textId="77777777" w:rsidR="00A1560E" w:rsidRDefault="0061338A">
      <w:pPr>
        <w:numPr>
          <w:ilvl w:val="0"/>
          <w:numId w:val="1"/>
        </w:numPr>
        <w:spacing w:line="360" w:lineRule="auto"/>
      </w:pPr>
      <w:r>
        <w:rPr>
          <w:rFonts w:ascii="Times New Roman" w:hAnsi="Times New Roman"/>
          <w:sz w:val="24"/>
          <w:szCs w:val="24"/>
        </w:rPr>
        <w:t xml:space="preserve">(sustainable, 2021)In </w:t>
      </w:r>
      <w:r>
        <w:rPr>
          <w:rFonts w:ascii="Times New Roman" w:hAnsi="Times New Roman"/>
          <w:i/>
          <w:iCs/>
          <w:sz w:val="24"/>
          <w:szCs w:val="24"/>
        </w:rPr>
        <w:t>Uganda Tourism Sector COVID</w:t>
      </w:r>
      <w:r>
        <w:rPr>
          <w:rFonts w:ascii="Times New Roman" w:hAnsi="Times New Roman"/>
          <w:i/>
          <w:iCs/>
          <w:sz w:val="24"/>
          <w:szCs w:val="24"/>
        </w:rPr>
        <w:noBreakHyphen/>
        <w:t>19 Response, Recovery and Sustainability Strategies</w:t>
      </w:r>
      <w:r>
        <w:rPr>
          <w:rFonts w:ascii="Times New Roman" w:hAnsi="Times New Roman"/>
          <w:sz w:val="24"/>
          <w:szCs w:val="24"/>
        </w:rPr>
        <w:t>, researchers report that tourism industry stakeholders drew from past experience with Ebola/Marburg to mount responses to COVID</w:t>
      </w:r>
      <w:r>
        <w:rPr>
          <w:rFonts w:ascii="Times New Roman" w:hAnsi="Times New Roman"/>
          <w:sz w:val="24"/>
          <w:szCs w:val="24"/>
        </w:rPr>
        <w:noBreakHyphen/>
        <w:t>19. They found gaps in health service capacity, issues of risk communication, and challenges in sustaining recovery. (global, 2023)</w:t>
      </w:r>
    </w:p>
    <w:p w14:paraId="20583409" w14:textId="77777777" w:rsidR="00A1560E" w:rsidRDefault="0061338A">
      <w:pPr>
        <w:numPr>
          <w:ilvl w:val="0"/>
          <w:numId w:val="1"/>
        </w:numPr>
        <w:spacing w:line="360" w:lineRule="auto"/>
      </w:pPr>
      <w:r>
        <w:rPr>
          <w:rFonts w:ascii="Times New Roman" w:hAnsi="Times New Roman"/>
          <w:sz w:val="24"/>
          <w:szCs w:val="24"/>
        </w:rPr>
        <w:t xml:space="preserve">The study </w:t>
      </w:r>
      <w:r>
        <w:rPr>
          <w:rFonts w:ascii="Times New Roman" w:hAnsi="Times New Roman"/>
          <w:i/>
          <w:iCs/>
          <w:sz w:val="24"/>
          <w:szCs w:val="24"/>
        </w:rPr>
        <w:t>Risk perception of Ebola virus disease and COVID</w:t>
      </w:r>
      <w:r>
        <w:rPr>
          <w:rFonts w:ascii="Times New Roman" w:hAnsi="Times New Roman"/>
          <w:i/>
          <w:iCs/>
          <w:sz w:val="24"/>
          <w:szCs w:val="24"/>
        </w:rPr>
        <w:noBreakHyphen/>
        <w:t>19 among transport drivers in Ugandan border districts</w:t>
      </w:r>
      <w:r>
        <w:rPr>
          <w:rFonts w:ascii="Times New Roman" w:hAnsi="Times New Roman"/>
          <w:sz w:val="24"/>
          <w:szCs w:val="24"/>
        </w:rPr>
        <w:t xml:space="preserve"> shows that those most exposed to risk (drivers who cross borders) modify their behaviour, which affects tourism supply chains, cross</w:t>
      </w:r>
      <w:r>
        <w:rPr>
          <w:rFonts w:ascii="Times New Roman" w:hAnsi="Times New Roman"/>
          <w:sz w:val="24"/>
          <w:szCs w:val="24"/>
        </w:rPr>
        <w:noBreakHyphen/>
        <w:t>border journeys, and thus tourist mobility.</w:t>
      </w:r>
    </w:p>
    <w:p w14:paraId="72D0F9E3" w14:textId="77777777" w:rsidR="00A1560E" w:rsidRDefault="0061338A">
      <w:pPr>
        <w:numPr>
          <w:ilvl w:val="0"/>
          <w:numId w:val="1"/>
        </w:numPr>
        <w:spacing w:line="360" w:lineRule="auto"/>
      </w:pPr>
      <w:r>
        <w:rPr>
          <w:rFonts w:ascii="Times New Roman" w:hAnsi="Times New Roman"/>
          <w:sz w:val="24"/>
          <w:szCs w:val="24"/>
        </w:rPr>
        <w:t>Uganda’s Ministry of Health in recent Ebola outbreaks has engaged the tourism industry directly, isolating contact cases, communicating risk, and assuring travellers that many areas remain safe. (Corporation, 2025)</w:t>
      </w:r>
    </w:p>
    <w:p w14:paraId="560F5CC8"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These strategies, however, face constraints: resource shortages, delays in infrastructure improvements, local community distrust or misinformation, and spillover regionally even when the outbreak is localized.</w:t>
      </w:r>
    </w:p>
    <w:p w14:paraId="266748B0" w14:textId="77777777" w:rsidR="00A1560E" w:rsidRDefault="0061338A">
      <w:pPr>
        <w:pStyle w:val="ListParagraph"/>
        <w:numPr>
          <w:ilvl w:val="0"/>
          <w:numId w:val="1"/>
        </w:numPr>
        <w:spacing w:line="360" w:lineRule="auto"/>
      </w:pPr>
      <w:r>
        <w:rPr>
          <w:rFonts w:ascii="Times New Roman" w:hAnsi="Times New Roman"/>
          <w:b/>
          <w:bCs/>
          <w:sz w:val="24"/>
          <w:szCs w:val="24"/>
        </w:rPr>
        <w:t>Discussion</w:t>
      </w:r>
    </w:p>
    <w:p w14:paraId="635C4E38"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Through the synthesized literature and the Uganda case example, some key patterns and trade</w:t>
      </w:r>
      <w:r>
        <w:rPr>
          <w:rFonts w:ascii="Times New Roman" w:hAnsi="Times New Roman"/>
          <w:sz w:val="24"/>
          <w:szCs w:val="24"/>
        </w:rPr>
        <w:noBreakHyphen/>
        <w:t>offs emerge.</w:t>
      </w:r>
    </w:p>
    <w:p w14:paraId="6731A2B7"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First, speed and transparency of communication are consistently important. Delayed disclosure or opaque messaging intensifies fear and reputational harm. Destinations that communicate early, clearly, and via trusted channels tend to retain more tourist confidence. Uganda’s efforts during Ebola and COVID</w:t>
      </w:r>
      <w:r>
        <w:rPr>
          <w:rFonts w:ascii="Times New Roman" w:hAnsi="Times New Roman"/>
          <w:sz w:val="24"/>
          <w:szCs w:val="24"/>
        </w:rPr>
        <w:noBreakHyphen/>
        <w:t>19 show that when health authorities engage tourism stakeholders openly, and clarify which zones are affected, the backlash is reduced.</w:t>
      </w:r>
    </w:p>
    <w:p w14:paraId="763C47A7"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Second, there is often a tension between minimizing panic and avoiding complacency. Over</w:t>
      </w:r>
      <w:r>
        <w:rPr>
          <w:rFonts w:ascii="Times New Roman" w:hAnsi="Times New Roman"/>
          <w:sz w:val="24"/>
          <w:szCs w:val="24"/>
        </w:rPr>
        <w:noBreakHyphen/>
        <w:t>reassurance can lead to under</w:t>
      </w:r>
      <w:r>
        <w:rPr>
          <w:rFonts w:ascii="Times New Roman" w:hAnsi="Times New Roman"/>
          <w:sz w:val="24"/>
          <w:szCs w:val="24"/>
        </w:rPr>
        <w:noBreakHyphen/>
        <w:t>preparedness; overly dramatic communication can scare off visitors even if risk is low. The “safe for tourism/trade” messaging in Uganda during Ebola outbreaks is an example of balancing the two.</w:t>
      </w:r>
    </w:p>
    <w:p w14:paraId="0195D792"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Third, non</w:t>
      </w:r>
      <w:r>
        <w:rPr>
          <w:rFonts w:ascii="Times New Roman" w:hAnsi="Times New Roman"/>
          <w:sz w:val="24"/>
          <w:szCs w:val="24"/>
        </w:rPr>
        <w:noBreakHyphen/>
        <w:t>communicable disease risks often receive less attention in crisis response, though their cumulative effects may rival or exceed those of acute outbreaks in terms of destination image. Environmental health, climate change effects, pollution must become part of the risk and crisis planning framework, not a separate domain.</w:t>
      </w:r>
    </w:p>
    <w:p w14:paraId="6C7B9FED"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Fourth, resource constraints matter. Many destinations suffering from recurring disease outbreaks also has under</w:t>
      </w:r>
      <w:r>
        <w:rPr>
          <w:rFonts w:ascii="Times New Roman" w:hAnsi="Times New Roman"/>
          <w:sz w:val="24"/>
          <w:szCs w:val="24"/>
        </w:rPr>
        <w:noBreakHyphen/>
        <w:t>resourced health and environmental governance systems, which limit both preventive and reactive capacities. International aid, partnerships, and health emergency funding (e.g. WHO appeals) help, but long</w:t>
      </w:r>
      <w:r>
        <w:rPr>
          <w:rFonts w:ascii="Times New Roman" w:hAnsi="Times New Roman"/>
          <w:sz w:val="24"/>
          <w:szCs w:val="24"/>
        </w:rPr>
        <w:noBreakHyphen/>
        <w:t>term investment is needed. Uganda’s frequent inclusion in WHO health emergency appeals underscores constant vulnerability.</w:t>
      </w:r>
    </w:p>
    <w:p w14:paraId="5DB34786"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Fifth, recovery is more durable when built on resilience: diversified tourism markets, strong health and hygiene standards, visible safety measures, wellness and environmental tourism sectors, and strong stakeholder networks are all advantageous.</w:t>
      </w:r>
    </w:p>
    <w:p w14:paraId="41CBD1CC" w14:textId="77777777" w:rsidR="00A1560E" w:rsidRDefault="0061338A">
      <w:pPr>
        <w:pStyle w:val="ListParagraph"/>
        <w:numPr>
          <w:ilvl w:val="0"/>
          <w:numId w:val="1"/>
        </w:numPr>
        <w:spacing w:line="360" w:lineRule="auto"/>
      </w:pPr>
      <w:r>
        <w:rPr>
          <w:rFonts w:ascii="Times New Roman" w:hAnsi="Times New Roman"/>
          <w:sz w:val="24"/>
          <w:szCs w:val="24"/>
        </w:rPr>
        <w:t>Finally, research gaps remain: more empirical work is needed on how NCD risks (air pollution, heat stress, etc.) (Eusébio, 2021)affect tourists' destination choices; evaluation of the long</w:t>
      </w:r>
      <w:r>
        <w:rPr>
          <w:rFonts w:ascii="Times New Roman" w:hAnsi="Times New Roman"/>
          <w:sz w:val="24"/>
          <w:szCs w:val="24"/>
        </w:rPr>
        <w:noBreakHyphen/>
        <w:t xml:space="preserve">term effectiveness of image rehabilitation campaigns; the role of local communities in crisis management; and better integration of interdisciplinary perspectives (health, environment, tourism, communication). (Vong, (2021).)The systematic review </w:t>
      </w:r>
      <w:r>
        <w:rPr>
          <w:rFonts w:ascii="Times New Roman" w:hAnsi="Times New Roman"/>
          <w:i/>
          <w:iCs/>
          <w:sz w:val="24"/>
          <w:szCs w:val="24"/>
        </w:rPr>
        <w:t>Health</w:t>
      </w:r>
      <w:r>
        <w:rPr>
          <w:rFonts w:ascii="Times New Roman" w:hAnsi="Times New Roman"/>
          <w:i/>
          <w:iCs/>
          <w:sz w:val="24"/>
          <w:szCs w:val="24"/>
        </w:rPr>
        <w:noBreakHyphen/>
        <w:t>Related Crises in Tourism Destination Management</w:t>
      </w:r>
      <w:r>
        <w:rPr>
          <w:rFonts w:ascii="Times New Roman" w:hAnsi="Times New Roman"/>
          <w:sz w:val="24"/>
          <w:szCs w:val="24"/>
        </w:rPr>
        <w:t xml:space="preserve"> emphasizes that many studies focus on CDs (especially COVID</w:t>
      </w:r>
      <w:r>
        <w:rPr>
          <w:rFonts w:ascii="Times New Roman" w:hAnsi="Times New Roman"/>
          <w:sz w:val="24"/>
          <w:szCs w:val="24"/>
        </w:rPr>
        <w:noBreakHyphen/>
        <w:t>19), with fewer examining sustained NCD concerns.</w:t>
      </w:r>
    </w:p>
    <w:p w14:paraId="433C4B16" w14:textId="77777777" w:rsidR="00A1560E" w:rsidRDefault="00A1560E">
      <w:pPr>
        <w:spacing w:line="360" w:lineRule="auto"/>
        <w:rPr>
          <w:rFonts w:ascii="Times New Roman" w:hAnsi="Times New Roman"/>
          <w:sz w:val="24"/>
          <w:szCs w:val="24"/>
        </w:rPr>
      </w:pPr>
    </w:p>
    <w:p w14:paraId="7B196BDF" w14:textId="77777777" w:rsidR="00A1560E" w:rsidRDefault="00A1560E">
      <w:pPr>
        <w:spacing w:line="360" w:lineRule="auto"/>
        <w:rPr>
          <w:rFonts w:ascii="Times New Roman" w:hAnsi="Times New Roman"/>
          <w:sz w:val="24"/>
          <w:szCs w:val="24"/>
        </w:rPr>
      </w:pPr>
    </w:p>
    <w:p w14:paraId="194C44E6" w14:textId="77777777" w:rsidR="00A1560E" w:rsidRDefault="00A1560E">
      <w:pPr>
        <w:spacing w:line="360" w:lineRule="auto"/>
        <w:rPr>
          <w:rFonts w:ascii="Times New Roman" w:hAnsi="Times New Roman"/>
          <w:sz w:val="24"/>
          <w:szCs w:val="24"/>
        </w:rPr>
      </w:pPr>
    </w:p>
    <w:p w14:paraId="1DFBDAD6" w14:textId="77777777" w:rsidR="00A1560E" w:rsidRDefault="00A1560E">
      <w:pPr>
        <w:spacing w:line="360" w:lineRule="auto"/>
        <w:rPr>
          <w:rFonts w:ascii="Times New Roman" w:hAnsi="Times New Roman"/>
          <w:sz w:val="24"/>
          <w:szCs w:val="24"/>
        </w:rPr>
      </w:pPr>
    </w:p>
    <w:p w14:paraId="62070ED2" w14:textId="77777777" w:rsidR="00A1560E" w:rsidRDefault="00A1560E">
      <w:pPr>
        <w:spacing w:line="360" w:lineRule="auto"/>
        <w:rPr>
          <w:rFonts w:ascii="Times New Roman" w:hAnsi="Times New Roman"/>
          <w:sz w:val="24"/>
          <w:szCs w:val="24"/>
        </w:rPr>
      </w:pPr>
    </w:p>
    <w:p w14:paraId="43D06847" w14:textId="77777777" w:rsidR="00A1560E" w:rsidRDefault="00A1560E">
      <w:pPr>
        <w:spacing w:line="360" w:lineRule="auto"/>
        <w:rPr>
          <w:rFonts w:ascii="Times New Roman" w:hAnsi="Times New Roman"/>
          <w:sz w:val="24"/>
          <w:szCs w:val="24"/>
        </w:rPr>
      </w:pPr>
    </w:p>
    <w:p w14:paraId="2D3D4B67" w14:textId="77777777" w:rsidR="00A1560E" w:rsidRDefault="0061338A">
      <w:pPr>
        <w:pStyle w:val="ListParagraph"/>
        <w:numPr>
          <w:ilvl w:val="0"/>
          <w:numId w:val="1"/>
        </w:numPr>
        <w:spacing w:line="360" w:lineRule="auto"/>
        <w:rPr>
          <w:rFonts w:ascii="Times New Roman" w:hAnsi="Times New Roman"/>
          <w:b/>
          <w:bCs/>
          <w:sz w:val="24"/>
          <w:szCs w:val="24"/>
        </w:rPr>
      </w:pPr>
      <w:r>
        <w:rPr>
          <w:rFonts w:ascii="Times New Roman" w:hAnsi="Times New Roman"/>
          <w:b/>
          <w:bCs/>
          <w:sz w:val="24"/>
          <w:szCs w:val="24"/>
        </w:rPr>
        <w:t>Conclusion</w:t>
      </w:r>
    </w:p>
    <w:p w14:paraId="23827F91"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In conclusion, communicable and non</w:t>
      </w:r>
      <w:r>
        <w:rPr>
          <w:rFonts w:ascii="Times New Roman" w:hAnsi="Times New Roman"/>
          <w:sz w:val="24"/>
          <w:szCs w:val="24"/>
        </w:rPr>
        <w:noBreakHyphen/>
        <w:t>communicable diseases both pose significant challenges to tourism destinations, though their impacts differ in timing, visibility, and nature. Communicable disease outbreaks tend to cause sudden, often dramatic declines in tourist arrivals and damage to reputation, magnified by media coverage, travel restrictions, and risk perception. Non</w:t>
      </w:r>
      <w:r>
        <w:rPr>
          <w:rFonts w:ascii="Times New Roman" w:hAnsi="Times New Roman"/>
          <w:sz w:val="24"/>
          <w:szCs w:val="24"/>
        </w:rPr>
        <w:noBreakHyphen/>
        <w:t>communicable diseases, while less immediately dramatic, create chronic health and environmental burdens that degrade destination image over time, influence visitor segments sensitive to health risks, and amplify the effects of future communicable disease crises.</w:t>
      </w:r>
    </w:p>
    <w:p w14:paraId="6064ACA6"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Destinations like Uganda illustrate both the risks and the possibilities: past outbreaks forced weaknesses to the surface (health infrastructure, risk communication, tourism policy) yet also provided learning opportunities which have been leveraged in responses to COVID</w:t>
      </w:r>
      <w:r>
        <w:rPr>
          <w:rFonts w:ascii="Times New Roman" w:hAnsi="Times New Roman"/>
          <w:sz w:val="24"/>
          <w:szCs w:val="24"/>
        </w:rPr>
        <w:noBreakHyphen/>
        <w:t>19. Uganda’s engagement of tourism stakeholders, efforts to communicate transparently and to reassure travellers beyond affected areas, and attempts to integrate disease response into tourism planning demonstrate important best practices.</w:t>
      </w:r>
    </w:p>
    <w:p w14:paraId="11404761" w14:textId="77777777" w:rsidR="00A1560E" w:rsidRDefault="0061338A">
      <w:pPr>
        <w:pStyle w:val="ListParagraph"/>
        <w:numPr>
          <w:ilvl w:val="0"/>
          <w:numId w:val="1"/>
        </w:numPr>
        <w:spacing w:line="360" w:lineRule="auto"/>
        <w:rPr>
          <w:rFonts w:ascii="Times New Roman" w:hAnsi="Times New Roman"/>
          <w:sz w:val="24"/>
          <w:szCs w:val="24"/>
        </w:rPr>
      </w:pPr>
      <w:r>
        <w:rPr>
          <w:rFonts w:ascii="Times New Roman" w:hAnsi="Times New Roman"/>
          <w:sz w:val="24"/>
          <w:szCs w:val="24"/>
        </w:rPr>
        <w:t>Effective crisis management thus requires multi</w:t>
      </w:r>
      <w:r>
        <w:rPr>
          <w:rFonts w:ascii="Times New Roman" w:hAnsi="Times New Roman"/>
          <w:sz w:val="24"/>
          <w:szCs w:val="24"/>
        </w:rPr>
        <w:noBreakHyphen/>
        <w:t>layered, proactive strategies. Key components include early and transparent communication, stakeholder coordination, health infrastructure strengthening, environmental health policy, flexible travel and business policies, wellness and health branding, diversification of markets, and continuous monitoring of both disease risk and tourist perception. Both short</w:t>
      </w:r>
      <w:r>
        <w:rPr>
          <w:rFonts w:ascii="Times New Roman" w:hAnsi="Times New Roman"/>
          <w:sz w:val="24"/>
          <w:szCs w:val="24"/>
        </w:rPr>
        <w:noBreakHyphen/>
        <w:t>term crisis responses and longer</w:t>
      </w:r>
      <w:r>
        <w:rPr>
          <w:rFonts w:ascii="Times New Roman" w:hAnsi="Times New Roman"/>
          <w:sz w:val="24"/>
          <w:szCs w:val="24"/>
        </w:rPr>
        <w:noBreakHyphen/>
        <w:t>term strategies toward sustainability and resilience are essential.</w:t>
      </w:r>
    </w:p>
    <w:p w14:paraId="69FF1D5E" w14:textId="77777777" w:rsidR="00A1560E" w:rsidRDefault="0061338A">
      <w:pPr>
        <w:pStyle w:val="ListParagraph"/>
        <w:numPr>
          <w:ilvl w:val="0"/>
          <w:numId w:val="1"/>
        </w:numPr>
        <w:spacing w:line="360" w:lineRule="auto"/>
      </w:pPr>
      <w:r>
        <w:rPr>
          <w:rFonts w:ascii="Times New Roman" w:hAnsi="Times New Roman"/>
          <w:sz w:val="24"/>
          <w:szCs w:val="24"/>
        </w:rPr>
        <w:t>For destination competitiveness in the 21st century, health safety (both from communicable and non</w:t>
      </w:r>
      <w:r>
        <w:rPr>
          <w:rFonts w:ascii="Times New Roman" w:hAnsi="Times New Roman"/>
          <w:sz w:val="24"/>
          <w:szCs w:val="24"/>
        </w:rPr>
        <w:noBreakHyphen/>
        <w:t>communicable disease risks) (León, 2020)will likely be among the leading determinants of tourist choice. Tourism policy, marketing, and destination management must treat health as integral not adjunct to planning. Further research is needed to understand how chronic health risks shape tourist behaviour, how image recovery strategies can be optimized, and how poorer and smaller destinations can build resilience with limited resources.</w:t>
      </w:r>
    </w:p>
    <w:p w14:paraId="7B1683C6" w14:textId="77777777" w:rsidR="00A1560E" w:rsidRDefault="00A1560E">
      <w:pPr>
        <w:spacing w:line="360" w:lineRule="auto"/>
      </w:pPr>
    </w:p>
    <w:p w14:paraId="29CA40F6" w14:textId="77777777" w:rsidR="00A1560E" w:rsidRDefault="00A1560E">
      <w:pPr>
        <w:pageBreakBefore/>
      </w:pPr>
    </w:p>
    <w:p w14:paraId="4F2AE4C6" w14:textId="77777777" w:rsidR="00A1560E" w:rsidRDefault="0061338A">
      <w:pPr>
        <w:pStyle w:val="Heading1"/>
        <w:spacing w:line="360" w:lineRule="auto"/>
        <w:jc w:val="center"/>
      </w:pPr>
      <w:r>
        <w:rPr>
          <w:rFonts w:ascii="Times New Roman" w:hAnsi="Times New Roman"/>
          <w:sz w:val="24"/>
          <w:szCs w:val="24"/>
        </w:rPr>
        <w:t>References</w:t>
      </w:r>
    </w:p>
    <w:p w14:paraId="3B975DBE" w14:textId="77777777" w:rsidR="00A1560E" w:rsidRDefault="0061338A">
      <w:pPr>
        <w:pStyle w:val="Bibliography"/>
        <w:spacing w:line="360" w:lineRule="auto"/>
        <w:ind w:left="720" w:hanging="720"/>
        <w:jc w:val="center"/>
      </w:pPr>
      <w:r>
        <w:rPr>
          <w:rFonts w:ascii="Times New Roman" w:hAnsi="Times New Roman"/>
          <w:sz w:val="24"/>
          <w:szCs w:val="24"/>
        </w:rPr>
        <w:t>(, W. H. (2024, december 23). Retrieved from https://www.who.int/news%E2%80%91room/fact%E2%80%91sheets/detail/noncommunicable%E2%80%91diseases</w:t>
      </w:r>
    </w:p>
    <w:p w14:paraId="38F40562" w14:textId="77777777" w:rsidR="00A1560E" w:rsidRDefault="0061338A">
      <w:pPr>
        <w:pStyle w:val="Bibliography"/>
        <w:spacing w:line="360" w:lineRule="auto"/>
        <w:ind w:left="720" w:hanging="720"/>
        <w:jc w:val="center"/>
        <w:rPr>
          <w:rFonts w:ascii="Times New Roman" w:hAnsi="Times New Roman"/>
          <w:sz w:val="24"/>
          <w:szCs w:val="24"/>
        </w:rPr>
      </w:pPr>
      <w:r>
        <w:rPr>
          <w:rFonts w:ascii="Times New Roman" w:hAnsi="Times New Roman"/>
          <w:sz w:val="24"/>
          <w:szCs w:val="24"/>
        </w:rPr>
        <w:t>Corporation, U. B. (2025, february 3). Retrieved from Ministry of Health engages tourism industry on current health situation. UBC News.: https://ubc.go.ug/2025/02/03/ebola</w:t>
      </w:r>
      <w:r>
        <w:rPr>
          <w:rFonts w:ascii="Times New Roman" w:hAnsi="Times New Roman"/>
          <w:sz w:val="24"/>
          <w:szCs w:val="24"/>
        </w:rPr>
        <w:noBreakHyphen/>
        <w:t>update</w:t>
      </w:r>
      <w:r>
        <w:rPr>
          <w:rFonts w:ascii="Times New Roman" w:hAnsi="Times New Roman"/>
          <w:sz w:val="24"/>
          <w:szCs w:val="24"/>
        </w:rPr>
        <w:noBreakHyphen/>
        <w:t>ministry</w:t>
      </w:r>
      <w:r>
        <w:rPr>
          <w:rFonts w:ascii="Times New Roman" w:hAnsi="Times New Roman"/>
          <w:sz w:val="24"/>
          <w:szCs w:val="24"/>
        </w:rPr>
        <w:noBreakHyphen/>
        <w:t>of</w:t>
      </w:r>
      <w:r>
        <w:rPr>
          <w:rFonts w:ascii="Times New Roman" w:hAnsi="Times New Roman"/>
          <w:sz w:val="24"/>
          <w:szCs w:val="24"/>
        </w:rPr>
        <w:noBreakHyphen/>
        <w:t>health</w:t>
      </w:r>
      <w:r>
        <w:rPr>
          <w:rFonts w:ascii="Times New Roman" w:hAnsi="Times New Roman"/>
          <w:sz w:val="24"/>
          <w:szCs w:val="24"/>
        </w:rPr>
        <w:noBreakHyphen/>
        <w:t>engages</w:t>
      </w:r>
      <w:r>
        <w:rPr>
          <w:rFonts w:ascii="Times New Roman" w:hAnsi="Times New Roman"/>
          <w:sz w:val="24"/>
          <w:szCs w:val="24"/>
        </w:rPr>
        <w:noBreakHyphen/>
        <w:t>tourism</w:t>
      </w:r>
      <w:r>
        <w:rPr>
          <w:rFonts w:ascii="Times New Roman" w:hAnsi="Times New Roman"/>
          <w:sz w:val="24"/>
          <w:szCs w:val="24"/>
        </w:rPr>
        <w:noBreakHyphen/>
        <w:t>industry</w:t>
      </w:r>
      <w:r>
        <w:rPr>
          <w:rFonts w:ascii="Times New Roman" w:hAnsi="Times New Roman"/>
          <w:sz w:val="24"/>
          <w:szCs w:val="24"/>
        </w:rPr>
        <w:noBreakHyphen/>
        <w:t>on</w:t>
      </w:r>
      <w:r>
        <w:rPr>
          <w:rFonts w:ascii="Times New Roman" w:hAnsi="Times New Roman"/>
          <w:sz w:val="24"/>
          <w:szCs w:val="24"/>
        </w:rPr>
        <w:noBreakHyphen/>
        <w:t>current</w:t>
      </w:r>
      <w:r>
        <w:rPr>
          <w:rFonts w:ascii="Times New Roman" w:hAnsi="Times New Roman"/>
          <w:sz w:val="24"/>
          <w:szCs w:val="24"/>
        </w:rPr>
        <w:noBreakHyphen/>
        <w:t>health</w:t>
      </w:r>
      <w:r>
        <w:rPr>
          <w:rFonts w:ascii="Times New Roman" w:hAnsi="Times New Roman"/>
          <w:sz w:val="24"/>
          <w:szCs w:val="24"/>
        </w:rPr>
        <w:noBreakHyphen/>
        <w:t>situation/</w:t>
      </w:r>
    </w:p>
    <w:p w14:paraId="047F65C2" w14:textId="77777777" w:rsidR="00A1560E" w:rsidRDefault="0061338A">
      <w:pPr>
        <w:pStyle w:val="Bibliography"/>
        <w:spacing w:line="360" w:lineRule="auto"/>
        <w:ind w:left="720" w:hanging="720"/>
        <w:jc w:val="center"/>
        <w:rPr>
          <w:rFonts w:ascii="Times New Roman" w:hAnsi="Times New Roman"/>
          <w:sz w:val="24"/>
          <w:szCs w:val="24"/>
        </w:rPr>
      </w:pPr>
      <w:r>
        <w:rPr>
          <w:rFonts w:ascii="Times New Roman" w:hAnsi="Times New Roman"/>
          <w:sz w:val="24"/>
          <w:szCs w:val="24"/>
        </w:rPr>
        <w:t>Eusébio, C. C. (2021). the impact of air quality on tourism: a systematic literature review. . Retrieved from he impact of air quality on tourism: a systematic literature review.: https://doi.org/10.1108/JTF%E2%80%9106%E2%80%912019%E2%80%910049</w:t>
      </w:r>
    </w:p>
    <w:p w14:paraId="266F7F32" w14:textId="77777777" w:rsidR="00A1560E" w:rsidRDefault="0061338A">
      <w:pPr>
        <w:pStyle w:val="Bibliography"/>
        <w:spacing w:line="360" w:lineRule="auto"/>
        <w:ind w:left="720" w:hanging="720"/>
        <w:jc w:val="center"/>
        <w:rPr>
          <w:rFonts w:ascii="Times New Roman" w:hAnsi="Times New Roman"/>
          <w:sz w:val="24"/>
          <w:szCs w:val="24"/>
        </w:rPr>
      </w:pPr>
      <w:r>
        <w:rPr>
          <w:rFonts w:ascii="Times New Roman" w:hAnsi="Times New Roman"/>
          <w:sz w:val="24"/>
          <w:szCs w:val="24"/>
        </w:rPr>
        <w:t>global. (2023). Retrieved from LOS Global Public Health: https://doi.org/10.1371/journal.pgph.0001466</w:t>
      </w:r>
    </w:p>
    <w:p w14:paraId="1E6F7217" w14:textId="77777777" w:rsidR="00A1560E" w:rsidRDefault="0061338A">
      <w:pPr>
        <w:pStyle w:val="Bibliography"/>
        <w:spacing w:line="360" w:lineRule="auto"/>
        <w:ind w:left="720" w:hanging="720"/>
        <w:jc w:val="center"/>
        <w:rPr>
          <w:rFonts w:ascii="Times New Roman" w:hAnsi="Times New Roman"/>
          <w:sz w:val="24"/>
          <w:szCs w:val="24"/>
        </w:rPr>
      </w:pPr>
      <w:r>
        <w:rPr>
          <w:rFonts w:ascii="Times New Roman" w:hAnsi="Times New Roman"/>
          <w:sz w:val="24"/>
          <w:szCs w:val="24"/>
        </w:rPr>
        <w:t>León, C. J.</w:t>
      </w:r>
      <w:r>
        <w:rPr>
          <w:rFonts w:ascii="Times New Roman" w:hAnsi="Times New Roman"/>
          <w:sz w:val="24"/>
          <w:szCs w:val="24"/>
        </w:rPr>
        <w:noBreakHyphen/>
        <w:t>G. (2020). Retrieved from Impact of Infectious Diseases on Tourists’ Willingness to Pay to Visit Island Destinations: https://doi.org/10.3390/atmos11101117</w:t>
      </w:r>
    </w:p>
    <w:p w14:paraId="3478966D" w14:textId="77777777" w:rsidR="00A1560E" w:rsidRDefault="0061338A">
      <w:pPr>
        <w:pStyle w:val="Bibliography"/>
        <w:spacing w:line="360" w:lineRule="auto"/>
        <w:ind w:left="720" w:hanging="720"/>
        <w:jc w:val="center"/>
        <w:rPr>
          <w:rFonts w:ascii="Times New Roman" w:hAnsi="Times New Roman"/>
          <w:sz w:val="24"/>
          <w:szCs w:val="24"/>
        </w:rPr>
      </w:pPr>
      <w:r>
        <w:rPr>
          <w:rFonts w:ascii="Times New Roman" w:hAnsi="Times New Roman"/>
          <w:sz w:val="24"/>
          <w:szCs w:val="24"/>
        </w:rPr>
        <w:t>sustainable. (2021). Retrieved from sustainable destination: https://doi.org/10.1108/978</w:t>
      </w:r>
      <w:r>
        <w:rPr>
          <w:rFonts w:ascii="Times New Roman" w:hAnsi="Times New Roman"/>
          <w:sz w:val="24"/>
          <w:szCs w:val="24"/>
        </w:rPr>
        <w:noBreakHyphen/>
        <w:t>1</w:t>
      </w:r>
      <w:r>
        <w:rPr>
          <w:rFonts w:ascii="Times New Roman" w:hAnsi="Times New Roman"/>
          <w:sz w:val="24"/>
          <w:szCs w:val="24"/>
        </w:rPr>
        <w:noBreakHyphen/>
        <w:t>80071</w:t>
      </w:r>
      <w:r>
        <w:rPr>
          <w:rFonts w:ascii="Times New Roman" w:hAnsi="Times New Roman"/>
          <w:sz w:val="24"/>
          <w:szCs w:val="24"/>
        </w:rPr>
        <w:noBreakHyphen/>
        <w:t>511</w:t>
      </w:r>
      <w:r>
        <w:rPr>
          <w:rFonts w:ascii="Times New Roman" w:hAnsi="Times New Roman"/>
          <w:sz w:val="24"/>
          <w:szCs w:val="24"/>
        </w:rPr>
        <w:noBreakHyphen/>
        <w:t>020211007</w:t>
      </w:r>
    </w:p>
    <w:p w14:paraId="112FA4AC" w14:textId="77777777" w:rsidR="00A1560E" w:rsidRDefault="0061338A">
      <w:pPr>
        <w:pStyle w:val="Bibliography"/>
        <w:spacing w:line="360" w:lineRule="auto"/>
        <w:ind w:left="720" w:hanging="720"/>
        <w:jc w:val="center"/>
        <w:rPr>
          <w:rFonts w:ascii="Times New Roman" w:hAnsi="Times New Roman"/>
          <w:sz w:val="24"/>
          <w:szCs w:val="24"/>
        </w:rPr>
      </w:pPr>
      <w:r>
        <w:rPr>
          <w:rFonts w:ascii="Times New Roman" w:hAnsi="Times New Roman"/>
          <w:sz w:val="24"/>
          <w:szCs w:val="24"/>
        </w:rPr>
        <w:t>Vong, C. R. ( (2021).). Retrieved from Health</w:t>
      </w:r>
      <w:r>
        <w:rPr>
          <w:rFonts w:ascii="Times New Roman" w:hAnsi="Times New Roman"/>
          <w:sz w:val="24"/>
          <w:szCs w:val="24"/>
        </w:rPr>
        <w:noBreakHyphen/>
        <w:t>Related Crises in Tourism Destination Management: https://doi.org/10.3390/su132413738</w:t>
      </w:r>
    </w:p>
    <w:p w14:paraId="6BCD227D" w14:textId="77777777" w:rsidR="00A1560E" w:rsidRDefault="0061338A">
      <w:pPr>
        <w:pStyle w:val="Bibliography"/>
        <w:spacing w:line="360" w:lineRule="auto"/>
        <w:ind w:left="720" w:hanging="720"/>
        <w:jc w:val="center"/>
      </w:pPr>
      <w:r>
        <w:rPr>
          <w:rFonts w:ascii="Times New Roman" w:hAnsi="Times New Roman"/>
          <w:sz w:val="24"/>
          <w:szCs w:val="24"/>
        </w:rPr>
        <w:t xml:space="preserve">worldwide. (n.d.). </w:t>
      </w:r>
      <w:r>
        <w:rPr>
          <w:rFonts w:ascii="Times New Roman" w:hAnsi="Times New Roman"/>
          <w:i/>
          <w:iCs/>
          <w:sz w:val="24"/>
          <w:szCs w:val="24"/>
        </w:rPr>
        <w:t>worldwide organization</w:t>
      </w:r>
      <w:r>
        <w:rPr>
          <w:rFonts w:ascii="Times New Roman" w:hAnsi="Times New Roman"/>
          <w:sz w:val="24"/>
          <w:szCs w:val="24"/>
        </w:rPr>
        <w:t>. Retrieved from https://www.who.int/teams/noncommunicable%E2%80%91diseases/integrated%E2%80%91support/environmental%E2%80%91risk%E2%80%91factors%E2%80%91and%E2%80%91ncds</w:t>
      </w:r>
    </w:p>
    <w:p w14:paraId="37B1049B" w14:textId="77777777" w:rsidR="00A1560E" w:rsidRDefault="00A1560E">
      <w:pPr>
        <w:spacing w:line="360" w:lineRule="auto"/>
        <w:jc w:val="center"/>
      </w:pPr>
    </w:p>
    <w:p w14:paraId="1D0A7711" w14:textId="77777777" w:rsidR="00A1560E" w:rsidRDefault="00A1560E">
      <w:pPr>
        <w:spacing w:line="360" w:lineRule="auto"/>
      </w:pPr>
    </w:p>
    <w:sectPr w:rsidR="00A1560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942D7" w14:textId="77777777" w:rsidR="0061338A" w:rsidRDefault="0061338A">
      <w:pPr>
        <w:spacing w:after="0" w:line="240" w:lineRule="auto"/>
      </w:pPr>
      <w:r>
        <w:separator/>
      </w:r>
    </w:p>
  </w:endnote>
  <w:endnote w:type="continuationSeparator" w:id="0">
    <w:p w14:paraId="6AAF8681" w14:textId="77777777" w:rsidR="0061338A" w:rsidRDefault="006133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85184" w14:textId="77777777" w:rsidR="0061338A" w:rsidRDefault="0061338A">
      <w:pPr>
        <w:spacing w:after="0" w:line="240" w:lineRule="auto"/>
      </w:pPr>
      <w:r>
        <w:rPr>
          <w:color w:val="000000"/>
        </w:rPr>
        <w:separator/>
      </w:r>
    </w:p>
  </w:footnote>
  <w:footnote w:type="continuationSeparator" w:id="0">
    <w:p w14:paraId="4ADB100E" w14:textId="77777777" w:rsidR="0061338A" w:rsidRDefault="006133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C375D"/>
    <w:multiLevelType w:val="multilevel"/>
    <w:tmpl w:val="6542257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5C741733"/>
    <w:multiLevelType w:val="multilevel"/>
    <w:tmpl w:val="6B7849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06783257">
    <w:abstractNumId w:val="1"/>
  </w:num>
  <w:num w:numId="2" w16cid:durableId="1850018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60E"/>
    <w:rsid w:val="00056EDC"/>
    <w:rsid w:val="0061338A"/>
    <w:rsid w:val="008814C9"/>
    <w:rsid w:val="00A1560E"/>
    <w:rsid w:val="00F206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17C19F0"/>
  <w15:docId w15:val="{2470A133-676A-44C8-ACB5-7A61E145C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2989</Words>
  <Characters>17038</Characters>
  <Application>Microsoft Office Word</Application>
  <DocSecurity>0</DocSecurity>
  <Lines>141</Lines>
  <Paragraphs>39</Paragraphs>
  <ScaleCrop>false</ScaleCrop>
  <Company/>
  <LinksUpToDate>false</LinksUpToDate>
  <CharactersWithSpaces>19988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Tshering Choden</dc:creator>
  <dc:description/>
  <cp:lastModifiedBy>Yoesel Pema Yuden</cp:lastModifiedBy>
  <cp:revision>2</cp:revision>
  <dcterms:created xsi:type="dcterms:W3CDTF">2025-09-18T14:06:00Z</dcterms:created>
  <dcterms:modified xsi:type="dcterms:W3CDTF">2025-09-18T14:06:00Z</dcterms:modified>
</cp:coreProperties>
</file>