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C612" w14:textId="131D3BAC" w:rsidR="0056617A" w:rsidRPr="00CB667A" w:rsidRDefault="0056617A" w:rsidP="0056617A">
      <w:pPr>
        <w:rPr>
          <w:rFonts w:ascii="Times New Roman" w:hAnsi="Times New Roman" w:cs="Times New Roman"/>
        </w:rPr>
      </w:pPr>
      <w:r w:rsidRPr="00CB667A">
        <w:rPr>
          <w:rFonts w:ascii="Times New Roman" w:hAnsi="Times New Roman" w:cs="Times New Roman"/>
          <w:noProof/>
          <w:lang w:val="en-US"/>
        </w:rPr>
        <w:drawing>
          <wp:anchor distT="0" distB="0" distL="114300" distR="114300" simplePos="0" relativeHeight="251659264" behindDoc="1" locked="0" layoutInCell="1" allowOverlap="1" wp14:anchorId="6386F240" wp14:editId="49CD183E">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D4C7E1E"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 xml:space="preserve">Cultural Heritage Management </w:t>
      </w:r>
    </w:p>
    <w:p w14:paraId="3A8F1A2B"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Assignment 5</w:t>
      </w:r>
    </w:p>
    <w:p w14:paraId="1EEBB239"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12.05.2026</w:t>
      </w:r>
    </w:p>
    <w:p w14:paraId="3A545DD5" w14:textId="77777777" w:rsidR="0056617A" w:rsidRPr="00CB667A" w:rsidRDefault="0056617A" w:rsidP="0056617A">
      <w:pPr>
        <w:rPr>
          <w:rFonts w:ascii="Times New Roman" w:hAnsi="Times New Roman" w:cs="Times New Roman"/>
        </w:rPr>
      </w:pPr>
    </w:p>
    <w:p w14:paraId="3124E14F" w14:textId="77777777" w:rsidR="0056617A" w:rsidRPr="00CB667A" w:rsidRDefault="0056617A" w:rsidP="0056617A">
      <w:pPr>
        <w:spacing w:line="276" w:lineRule="auto"/>
        <w:rPr>
          <w:rFonts w:ascii="Times New Roman" w:hAnsi="Times New Roman" w:cs="Times New Roman"/>
          <w:lang w:val="en-US"/>
        </w:rPr>
      </w:pPr>
    </w:p>
    <w:p w14:paraId="4973D986" w14:textId="77777777" w:rsidR="0056617A" w:rsidRPr="00CB667A" w:rsidRDefault="0056617A" w:rsidP="0056617A">
      <w:pPr>
        <w:spacing w:line="276" w:lineRule="auto"/>
        <w:rPr>
          <w:rFonts w:ascii="Times New Roman" w:hAnsi="Times New Roman" w:cs="Times New Roman"/>
          <w:lang w:val="en-US"/>
        </w:rPr>
      </w:pPr>
    </w:p>
    <w:p w14:paraId="748CCBDD" w14:textId="77777777" w:rsidR="0056617A" w:rsidRPr="00CB667A" w:rsidRDefault="0056617A" w:rsidP="0056617A">
      <w:pPr>
        <w:spacing w:line="276" w:lineRule="auto"/>
        <w:rPr>
          <w:rFonts w:ascii="Times New Roman" w:hAnsi="Times New Roman" w:cs="Times New Roman"/>
          <w:lang w:val="en-US"/>
        </w:rPr>
      </w:pPr>
    </w:p>
    <w:p w14:paraId="3B4EE6B6" w14:textId="77777777" w:rsidR="0056617A" w:rsidRPr="00CB667A" w:rsidRDefault="0056617A" w:rsidP="0056617A">
      <w:pPr>
        <w:spacing w:line="276" w:lineRule="auto"/>
        <w:rPr>
          <w:rFonts w:ascii="Times New Roman" w:hAnsi="Times New Roman" w:cs="Times New Roman"/>
          <w:lang w:val="en-US"/>
        </w:rPr>
      </w:pPr>
    </w:p>
    <w:p w14:paraId="009F6910" w14:textId="77777777" w:rsidR="0056617A" w:rsidRPr="00CB667A" w:rsidRDefault="0056617A" w:rsidP="0056617A">
      <w:pPr>
        <w:spacing w:line="276" w:lineRule="auto"/>
        <w:rPr>
          <w:rFonts w:ascii="Times New Roman" w:hAnsi="Times New Roman" w:cs="Times New Roman"/>
          <w:lang w:val="en-US"/>
        </w:rPr>
      </w:pPr>
    </w:p>
    <w:p w14:paraId="33E6D850" w14:textId="77777777" w:rsidR="0056617A" w:rsidRPr="00CB667A" w:rsidRDefault="0056617A" w:rsidP="0056617A">
      <w:pPr>
        <w:spacing w:line="276" w:lineRule="auto"/>
        <w:rPr>
          <w:rFonts w:ascii="Times New Roman" w:hAnsi="Times New Roman" w:cs="Times New Roman"/>
          <w:lang w:val="en-US"/>
        </w:rPr>
      </w:pPr>
    </w:p>
    <w:p w14:paraId="779CD201" w14:textId="77777777" w:rsidR="0056617A" w:rsidRPr="00CB667A" w:rsidRDefault="0056617A" w:rsidP="0056617A">
      <w:pPr>
        <w:spacing w:line="276" w:lineRule="auto"/>
        <w:rPr>
          <w:rFonts w:ascii="Times New Roman" w:hAnsi="Times New Roman" w:cs="Times New Roman"/>
          <w:lang w:val="en-US"/>
        </w:rPr>
      </w:pPr>
    </w:p>
    <w:p w14:paraId="3DB32AB9" w14:textId="77777777" w:rsidR="0056617A" w:rsidRPr="00CB667A" w:rsidRDefault="0056617A" w:rsidP="0056617A">
      <w:pPr>
        <w:spacing w:line="276" w:lineRule="auto"/>
        <w:rPr>
          <w:rFonts w:ascii="Times New Roman" w:hAnsi="Times New Roman" w:cs="Times New Roman"/>
          <w:lang w:val="en-US"/>
        </w:rPr>
      </w:pPr>
    </w:p>
    <w:p w14:paraId="0A26F7BC" w14:textId="77777777" w:rsidR="0056617A" w:rsidRPr="00CB667A" w:rsidRDefault="0056617A" w:rsidP="0056617A">
      <w:pPr>
        <w:spacing w:line="276" w:lineRule="auto"/>
        <w:rPr>
          <w:rFonts w:ascii="Times New Roman" w:hAnsi="Times New Roman" w:cs="Times New Roman"/>
          <w:lang w:val="en-US"/>
        </w:rPr>
      </w:pPr>
    </w:p>
    <w:p w14:paraId="51A07E2F" w14:textId="1D7AC6BD" w:rsidR="0056617A" w:rsidRPr="00CB667A" w:rsidRDefault="0056617A" w:rsidP="0056617A">
      <w:pPr>
        <w:spacing w:line="276" w:lineRule="auto"/>
        <w:rPr>
          <w:rFonts w:ascii="Times New Roman" w:hAnsi="Times New Roman" w:cs="Times New Roman"/>
          <w:lang w:val="en-US"/>
        </w:rPr>
      </w:pPr>
      <w:r w:rsidRPr="00CB667A">
        <w:rPr>
          <w:rFonts w:ascii="Times New Roman" w:hAnsi="Times New Roman" w:cs="Times New Roman"/>
          <w:lang w:val="en-US"/>
        </w:rPr>
        <w:t>In no more than 500 words each, explain and 2-4 references:</w:t>
      </w:r>
    </w:p>
    <w:p w14:paraId="1515A7B2" w14:textId="77777777" w:rsidR="0056617A" w:rsidRPr="00CB667A" w:rsidRDefault="0056617A" w:rsidP="0056617A">
      <w:pPr>
        <w:rPr>
          <w:rFonts w:ascii="Times New Roman" w:hAnsi="Times New Roman" w:cs="Times New Roman"/>
          <w:lang w:val="en-US"/>
        </w:rPr>
      </w:pPr>
    </w:p>
    <w:p w14:paraId="7ACF0A3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What is meant by “Outstanding Universal Value (OUV)” in World Heritage management?</w:t>
      </w:r>
    </w:p>
    <w:p w14:paraId="73C8B74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Explain the relationship between planning, implementation, and monitoring in heritage management systems.</w:t>
      </w:r>
    </w:p>
    <w:p w14:paraId="762CE999" w14:textId="77777777" w:rsidR="0056617A" w:rsidRPr="00CB667A" w:rsidRDefault="0056617A" w:rsidP="0056617A">
      <w:pPr>
        <w:pStyle w:val="ListParagraph"/>
        <w:spacing w:line="276" w:lineRule="auto"/>
        <w:ind w:left="0"/>
        <w:rPr>
          <w:rFonts w:ascii="Times New Roman" w:hAnsi="Times New Roman" w:cs="Times New Roman"/>
          <w:lang w:val="en-US"/>
        </w:rPr>
      </w:pPr>
    </w:p>
    <w:p w14:paraId="5B054BFC" w14:textId="77777777" w:rsidR="0056617A" w:rsidRPr="00CB667A" w:rsidRDefault="0056617A">
      <w:pPr>
        <w:rPr>
          <w:rFonts w:ascii="Times New Roman" w:hAnsi="Times New Roman" w:cs="Times New Roman"/>
          <w:lang w:val="en-US"/>
        </w:rPr>
      </w:pPr>
    </w:p>
    <w:p w14:paraId="339460ED" w14:textId="77777777" w:rsidR="0056617A" w:rsidRPr="00CB667A" w:rsidRDefault="0056617A">
      <w:pPr>
        <w:rPr>
          <w:rFonts w:ascii="Times New Roman" w:hAnsi="Times New Roman" w:cs="Times New Roman"/>
          <w:lang w:val="en-US"/>
        </w:rPr>
      </w:pPr>
    </w:p>
    <w:p w14:paraId="4F8644AF" w14:textId="77777777" w:rsidR="0056617A" w:rsidRPr="00CB667A" w:rsidRDefault="0056617A">
      <w:pPr>
        <w:rPr>
          <w:rFonts w:ascii="Times New Roman" w:hAnsi="Times New Roman" w:cs="Times New Roman"/>
          <w:lang w:val="en-US"/>
        </w:rPr>
      </w:pPr>
    </w:p>
    <w:p w14:paraId="12EDD19B" w14:textId="77777777" w:rsidR="0056617A" w:rsidRPr="00CB667A" w:rsidRDefault="0056617A">
      <w:pPr>
        <w:rPr>
          <w:rFonts w:ascii="Times New Roman" w:hAnsi="Times New Roman" w:cs="Times New Roman"/>
          <w:lang w:val="en-US"/>
        </w:rPr>
      </w:pPr>
    </w:p>
    <w:p w14:paraId="29C2B5D5" w14:textId="77777777" w:rsidR="0056617A" w:rsidRPr="00CB667A" w:rsidRDefault="0056617A">
      <w:pPr>
        <w:rPr>
          <w:rFonts w:ascii="Times New Roman" w:hAnsi="Times New Roman" w:cs="Times New Roman"/>
          <w:lang w:val="en-US"/>
        </w:rPr>
      </w:pPr>
    </w:p>
    <w:p w14:paraId="3BB58E21" w14:textId="77777777" w:rsidR="0056617A" w:rsidRPr="00CB667A" w:rsidRDefault="0056617A">
      <w:pPr>
        <w:rPr>
          <w:rFonts w:ascii="Times New Roman" w:hAnsi="Times New Roman" w:cs="Times New Roman"/>
          <w:lang w:val="en-US"/>
        </w:rPr>
      </w:pPr>
    </w:p>
    <w:p w14:paraId="709565CA" w14:textId="77777777" w:rsidR="0056617A" w:rsidRPr="00CB667A" w:rsidRDefault="0056617A">
      <w:pPr>
        <w:rPr>
          <w:rFonts w:ascii="Times New Roman" w:hAnsi="Times New Roman" w:cs="Times New Roman"/>
          <w:lang w:val="en-US"/>
        </w:rPr>
      </w:pPr>
    </w:p>
    <w:p w14:paraId="721EE86D" w14:textId="77777777" w:rsidR="0056617A" w:rsidRPr="00CB667A" w:rsidRDefault="0056617A">
      <w:pPr>
        <w:rPr>
          <w:rFonts w:ascii="Times New Roman" w:hAnsi="Times New Roman" w:cs="Times New Roman"/>
          <w:lang w:val="en-US"/>
        </w:rPr>
      </w:pPr>
    </w:p>
    <w:p w14:paraId="51120942" w14:textId="77777777" w:rsidR="0056617A" w:rsidRPr="00CB667A" w:rsidRDefault="0056617A">
      <w:pPr>
        <w:rPr>
          <w:rFonts w:ascii="Times New Roman" w:hAnsi="Times New Roman" w:cs="Times New Roman"/>
          <w:lang w:val="en-US"/>
        </w:rPr>
      </w:pPr>
    </w:p>
    <w:p w14:paraId="0358E5EF" w14:textId="77777777" w:rsidR="0056617A" w:rsidRPr="00CB667A" w:rsidRDefault="0056617A">
      <w:pPr>
        <w:rPr>
          <w:rFonts w:ascii="Times New Roman" w:hAnsi="Times New Roman" w:cs="Times New Roman"/>
          <w:lang w:val="en-US"/>
        </w:rPr>
      </w:pPr>
    </w:p>
    <w:p w14:paraId="4E12E6CA" w14:textId="77777777" w:rsidR="0056617A" w:rsidRPr="00CB667A" w:rsidRDefault="0056617A">
      <w:pPr>
        <w:rPr>
          <w:rFonts w:ascii="Times New Roman" w:hAnsi="Times New Roman" w:cs="Times New Roman"/>
          <w:lang w:val="en-US"/>
        </w:rPr>
      </w:pPr>
    </w:p>
    <w:p w14:paraId="3A09E05F" w14:textId="77777777" w:rsidR="0056617A" w:rsidRPr="00CB667A" w:rsidRDefault="0056617A">
      <w:pPr>
        <w:rPr>
          <w:rFonts w:ascii="Times New Roman" w:hAnsi="Times New Roman" w:cs="Times New Roman"/>
          <w:lang w:val="en-US"/>
        </w:rPr>
      </w:pPr>
    </w:p>
    <w:p w14:paraId="7605847A" w14:textId="77777777" w:rsidR="0056617A" w:rsidRPr="00CB667A" w:rsidRDefault="0056617A">
      <w:pPr>
        <w:rPr>
          <w:rFonts w:ascii="Times New Roman" w:hAnsi="Times New Roman" w:cs="Times New Roman"/>
          <w:lang w:val="en-US"/>
        </w:rPr>
      </w:pPr>
    </w:p>
    <w:p w14:paraId="4FB7F7E0" w14:textId="77777777" w:rsidR="0056617A" w:rsidRPr="00CB667A" w:rsidRDefault="0056617A">
      <w:pPr>
        <w:rPr>
          <w:rFonts w:ascii="Times New Roman" w:hAnsi="Times New Roman" w:cs="Times New Roman"/>
          <w:lang w:val="en-US"/>
        </w:rPr>
      </w:pPr>
    </w:p>
    <w:p w14:paraId="12E76367" w14:textId="77777777" w:rsidR="0056617A" w:rsidRPr="00CB667A" w:rsidRDefault="0056617A">
      <w:pPr>
        <w:rPr>
          <w:rFonts w:ascii="Times New Roman" w:hAnsi="Times New Roman" w:cs="Times New Roman"/>
          <w:lang w:val="en-US"/>
        </w:rPr>
      </w:pPr>
    </w:p>
    <w:p w14:paraId="2B428BD6" w14:textId="77777777" w:rsidR="0056617A" w:rsidRPr="00CB667A" w:rsidRDefault="0056617A">
      <w:pPr>
        <w:rPr>
          <w:rFonts w:ascii="Times New Roman" w:hAnsi="Times New Roman" w:cs="Times New Roman"/>
          <w:lang w:val="en-US"/>
        </w:rPr>
      </w:pPr>
    </w:p>
    <w:p w14:paraId="7231C7ED" w14:textId="77777777" w:rsidR="0056617A" w:rsidRPr="00CB667A" w:rsidRDefault="0056617A">
      <w:pPr>
        <w:rPr>
          <w:rFonts w:ascii="Times New Roman" w:hAnsi="Times New Roman" w:cs="Times New Roman"/>
          <w:lang w:val="en-US"/>
        </w:rPr>
      </w:pPr>
    </w:p>
    <w:p w14:paraId="7061B955" w14:textId="77777777" w:rsidR="00EB6E1C" w:rsidRPr="00CB667A" w:rsidRDefault="00EB6E1C">
      <w:pPr>
        <w:rPr>
          <w:rFonts w:ascii="Times New Roman" w:hAnsi="Times New Roman" w:cs="Times New Roman"/>
          <w:lang w:val="en-US"/>
        </w:rPr>
      </w:pPr>
    </w:p>
    <w:p w14:paraId="2AAAD0B6" w14:textId="77777777" w:rsidR="00EB6E1C" w:rsidRPr="00CB667A" w:rsidRDefault="00EB6E1C">
      <w:pPr>
        <w:rPr>
          <w:rFonts w:ascii="Times New Roman" w:hAnsi="Times New Roman" w:cs="Times New Roman"/>
          <w:lang w:val="en-US"/>
        </w:rPr>
      </w:pPr>
    </w:p>
    <w:p w14:paraId="361AFD8F" w14:textId="77777777" w:rsidR="00EB6E1C" w:rsidRPr="00CB667A" w:rsidRDefault="00EB6E1C">
      <w:pPr>
        <w:rPr>
          <w:rFonts w:ascii="Times New Roman" w:hAnsi="Times New Roman" w:cs="Times New Roman"/>
          <w:lang w:val="en-US"/>
        </w:rPr>
      </w:pPr>
    </w:p>
    <w:p w14:paraId="11DD6850" w14:textId="77777777" w:rsidR="0056617A" w:rsidRPr="00CB667A" w:rsidRDefault="0056617A">
      <w:pPr>
        <w:rPr>
          <w:rFonts w:ascii="Times New Roman" w:hAnsi="Times New Roman" w:cs="Times New Roman"/>
          <w:lang w:val="en-US"/>
        </w:rPr>
      </w:pPr>
    </w:p>
    <w:p w14:paraId="3045A9E9" w14:textId="77777777" w:rsidR="0056617A" w:rsidRPr="00CB667A" w:rsidRDefault="0056617A">
      <w:pPr>
        <w:rPr>
          <w:rFonts w:ascii="Times New Roman" w:hAnsi="Times New Roman" w:cs="Times New Roman"/>
          <w:lang w:val="en-US"/>
        </w:rPr>
      </w:pPr>
    </w:p>
    <w:p w14:paraId="184FE467" w14:textId="77777777" w:rsidR="0056617A" w:rsidRPr="00CB667A" w:rsidRDefault="0056617A">
      <w:pPr>
        <w:rPr>
          <w:rFonts w:ascii="Times New Roman" w:hAnsi="Times New Roman" w:cs="Times New Roman"/>
          <w:lang w:val="en-US"/>
        </w:rPr>
      </w:pPr>
    </w:p>
    <w:p w14:paraId="708871AA" w14:textId="77777777" w:rsidR="004E366E" w:rsidRDefault="004E366E" w:rsidP="004E366E">
      <w:pPr>
        <w:rPr>
          <w:rFonts w:ascii="Times New Roman" w:hAnsi="Times New Roman" w:cs="Times New Roman"/>
          <w:b/>
          <w:bCs/>
          <w:lang w:val="en-GB"/>
        </w:rPr>
      </w:pPr>
      <w:r w:rsidRPr="004E366E">
        <w:rPr>
          <w:rFonts w:ascii="Times New Roman" w:hAnsi="Times New Roman" w:cs="Times New Roman"/>
          <w:b/>
          <w:bCs/>
          <w:lang w:val="en-GB"/>
        </w:rPr>
        <w:lastRenderedPageBreak/>
        <w:t>1. Outstanding Universal Value (OUV) in World Heritage Management</w:t>
      </w:r>
    </w:p>
    <w:p w14:paraId="14A2B617" w14:textId="77777777" w:rsidR="006733BE" w:rsidRPr="004E366E" w:rsidRDefault="006733BE" w:rsidP="004E366E">
      <w:pPr>
        <w:rPr>
          <w:rFonts w:ascii="Times New Roman" w:hAnsi="Times New Roman" w:cs="Times New Roman"/>
          <w:b/>
          <w:bCs/>
          <w:lang w:val="en-GB"/>
        </w:rPr>
      </w:pPr>
    </w:p>
    <w:p w14:paraId="3D7D7C8C"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Outstanding Universal Value (OUV) is the basic principle that determines whether a cultural or natural property can be included on UNESCO’s World Heritage List. OUV refers to heritage significance that is considered exceptional at a global level and important for all humanity rather than only for a single nation or community (UNESCO, 2015). The concept was developed through the World Heritage Convention of 1972 to encourage international cooperation in the protection of significant cultural and natural sites.</w:t>
      </w:r>
    </w:p>
    <w:p w14:paraId="121FCF05"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To be recognized as having OUV, a site must satisfy one or more of UNESCO’s established criteria and demonstrate authenticity, integrity, and effective management systems (King, 2011). Cultural sites may represent artistic masterpieces, historic settlements, archaeological remains, or cultural traditions, while natural sites may contain exceptional ecosystems, geological formations, or biodiversity. Examples include the Historic Centre of Prague, the Pyramids of Giza, and the Galápagos Islands.</w:t>
      </w:r>
    </w:p>
    <w:p w14:paraId="6955A338"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In heritage management, OUV functions as the foundation for conservation planning and policy decisions. Heritage managers are responsible for identifying and protecting the attributes that express the site’s universal significance, such as monuments, landscapes, cultural practices, or environmental systems (Rössler, 2006). All development projects, tourism activities, and conservation interventions must therefore be assessed according to their potential impact on OUV.</w:t>
      </w:r>
    </w:p>
    <w:p w14:paraId="15638239"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OUV also strengthens international cooperation in heritage conservation. Since World Heritage Sites are regarded as part of the shared heritage of humanity, governments and international organizations collaborate through technical assistance, financial support, and research programs (Strasser, 2002). Community participation has also become increasingly important because local populations play a major role in preserving cultural traditions and maintaining heritage values.</w:t>
      </w:r>
    </w:p>
    <w:p w14:paraId="2587873F"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Modern heritage management further connects OUV with sustainable development. Managers must balance conservation needs with tourism, urbanization, and economic growth while ensuring that the authenticity and integrity of the property are maintained (</w:t>
      </w:r>
      <w:proofErr w:type="spellStart"/>
      <w:r w:rsidRPr="006733BE">
        <w:rPr>
          <w:rFonts w:ascii="Times New Roman" w:hAnsi="Times New Roman" w:cs="Times New Roman"/>
          <w:lang w:val="en-GB"/>
        </w:rPr>
        <w:t>Rebanks</w:t>
      </w:r>
      <w:proofErr w:type="spellEnd"/>
      <w:r w:rsidRPr="006733BE">
        <w:rPr>
          <w:rFonts w:ascii="Times New Roman" w:hAnsi="Times New Roman" w:cs="Times New Roman"/>
          <w:lang w:val="en-GB"/>
        </w:rPr>
        <w:t xml:space="preserve"> Consulting Ltd &amp; Trends Business Research Ltd, 2009). Challenges such as climate change, pollution, and over-tourism require adaptive management and long-term monitoring systems.</w:t>
      </w:r>
    </w:p>
    <w:p w14:paraId="5B5C3AC0"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In conclusion, OUV is both a recognition of global importance and a practical framework for conservation. It guides the identification, management, and protection of World Heritage Sites to ensure their preservation for future generations.</w:t>
      </w:r>
    </w:p>
    <w:p w14:paraId="7C46C0CC" w14:textId="41305B0F" w:rsidR="004E366E" w:rsidRDefault="004E366E" w:rsidP="004E366E">
      <w:pPr>
        <w:rPr>
          <w:rFonts w:ascii="Times New Roman" w:hAnsi="Times New Roman" w:cs="Times New Roman"/>
          <w:lang w:val="en-GB"/>
        </w:rPr>
      </w:pPr>
    </w:p>
    <w:p w14:paraId="27EE0EEE" w14:textId="77777777" w:rsidR="006733BE" w:rsidRDefault="006733BE" w:rsidP="004E366E">
      <w:pPr>
        <w:rPr>
          <w:rFonts w:ascii="Times New Roman" w:hAnsi="Times New Roman" w:cs="Times New Roman"/>
          <w:lang w:val="en-GB"/>
        </w:rPr>
      </w:pPr>
    </w:p>
    <w:p w14:paraId="37032206" w14:textId="77777777" w:rsidR="006733BE" w:rsidRDefault="006733BE" w:rsidP="004E366E">
      <w:pPr>
        <w:rPr>
          <w:rFonts w:ascii="Times New Roman" w:hAnsi="Times New Roman" w:cs="Times New Roman"/>
          <w:lang w:val="en-GB"/>
        </w:rPr>
      </w:pPr>
    </w:p>
    <w:p w14:paraId="563664DA" w14:textId="77777777" w:rsidR="006733BE" w:rsidRDefault="006733BE" w:rsidP="004E366E">
      <w:pPr>
        <w:rPr>
          <w:rFonts w:ascii="Times New Roman" w:hAnsi="Times New Roman" w:cs="Times New Roman"/>
          <w:lang w:val="en-GB"/>
        </w:rPr>
      </w:pPr>
    </w:p>
    <w:p w14:paraId="34E8D163" w14:textId="77777777" w:rsidR="006733BE" w:rsidRDefault="006733BE" w:rsidP="004E366E">
      <w:pPr>
        <w:rPr>
          <w:rFonts w:ascii="Times New Roman" w:hAnsi="Times New Roman" w:cs="Times New Roman"/>
          <w:lang w:val="en-GB"/>
        </w:rPr>
      </w:pPr>
    </w:p>
    <w:p w14:paraId="68650983" w14:textId="77777777" w:rsidR="006733BE" w:rsidRDefault="006733BE" w:rsidP="004E366E">
      <w:pPr>
        <w:rPr>
          <w:rFonts w:ascii="Times New Roman" w:hAnsi="Times New Roman" w:cs="Times New Roman"/>
          <w:lang w:val="en-GB"/>
        </w:rPr>
      </w:pPr>
    </w:p>
    <w:p w14:paraId="10473510" w14:textId="77777777" w:rsidR="006733BE" w:rsidRDefault="006733BE" w:rsidP="004E366E">
      <w:pPr>
        <w:rPr>
          <w:rFonts w:ascii="Times New Roman" w:hAnsi="Times New Roman" w:cs="Times New Roman"/>
          <w:lang w:val="en-GB"/>
        </w:rPr>
      </w:pPr>
    </w:p>
    <w:p w14:paraId="15A67447" w14:textId="77777777" w:rsidR="006733BE" w:rsidRDefault="006733BE" w:rsidP="004E366E">
      <w:pPr>
        <w:rPr>
          <w:rFonts w:ascii="Times New Roman" w:hAnsi="Times New Roman" w:cs="Times New Roman"/>
          <w:lang w:val="en-GB"/>
        </w:rPr>
      </w:pPr>
    </w:p>
    <w:p w14:paraId="59EA8B10" w14:textId="77777777" w:rsidR="006733BE" w:rsidRDefault="006733BE" w:rsidP="004E366E">
      <w:pPr>
        <w:rPr>
          <w:rFonts w:ascii="Times New Roman" w:hAnsi="Times New Roman" w:cs="Times New Roman"/>
          <w:lang w:val="en-GB"/>
        </w:rPr>
      </w:pPr>
    </w:p>
    <w:p w14:paraId="2C763FD2" w14:textId="77777777" w:rsidR="006733BE" w:rsidRDefault="006733BE" w:rsidP="004E366E">
      <w:pPr>
        <w:rPr>
          <w:rFonts w:ascii="Times New Roman" w:hAnsi="Times New Roman" w:cs="Times New Roman"/>
          <w:lang w:val="en-GB"/>
        </w:rPr>
      </w:pPr>
    </w:p>
    <w:p w14:paraId="429B5CB7" w14:textId="77777777" w:rsidR="006733BE" w:rsidRDefault="006733BE" w:rsidP="004E366E">
      <w:pPr>
        <w:rPr>
          <w:rFonts w:ascii="Times New Roman" w:hAnsi="Times New Roman" w:cs="Times New Roman"/>
          <w:lang w:val="en-GB"/>
        </w:rPr>
      </w:pPr>
    </w:p>
    <w:p w14:paraId="15D7C788" w14:textId="77777777" w:rsidR="006733BE" w:rsidRPr="006733BE" w:rsidRDefault="006733BE" w:rsidP="004E366E">
      <w:pPr>
        <w:rPr>
          <w:rFonts w:ascii="Times New Roman" w:hAnsi="Times New Roman" w:cs="Times New Roman"/>
          <w:lang w:val="en-GB"/>
        </w:rPr>
      </w:pPr>
    </w:p>
    <w:p w14:paraId="415F4546" w14:textId="77777777" w:rsidR="004E366E" w:rsidRPr="006733BE" w:rsidRDefault="004E366E" w:rsidP="004E366E">
      <w:pPr>
        <w:rPr>
          <w:rFonts w:ascii="Times New Roman" w:hAnsi="Times New Roman" w:cs="Times New Roman"/>
          <w:b/>
          <w:bCs/>
          <w:lang w:val="en-GB"/>
        </w:rPr>
      </w:pPr>
      <w:r w:rsidRPr="006733BE">
        <w:rPr>
          <w:rFonts w:ascii="Times New Roman" w:hAnsi="Times New Roman" w:cs="Times New Roman"/>
          <w:b/>
          <w:bCs/>
          <w:lang w:val="en-GB"/>
        </w:rPr>
        <w:lastRenderedPageBreak/>
        <w:t>2. Relationship Between Planning, Implementation, and Monitoring in Heritage Management Systems</w:t>
      </w:r>
    </w:p>
    <w:p w14:paraId="74FD4A37" w14:textId="77777777" w:rsidR="006733BE" w:rsidRPr="006733BE" w:rsidRDefault="006733BE" w:rsidP="004E366E">
      <w:pPr>
        <w:rPr>
          <w:rFonts w:ascii="Times New Roman" w:hAnsi="Times New Roman" w:cs="Times New Roman"/>
          <w:lang w:val="en-GB"/>
        </w:rPr>
      </w:pPr>
    </w:p>
    <w:p w14:paraId="7EF16F4F"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Planning, implementation, and monitoring are interconnected processes that together form an effective heritage management system. These stages create a continuous cycle that supports the protection, conservation, and sustainable use of heritage properties.</w:t>
      </w:r>
    </w:p>
    <w:p w14:paraId="0F482496"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Planning is the first stage and involves identifying the significance of a heritage site, assessing risks, and developing conservation objectives and strategies. Heritage management plans commonly address tourism management, conservation priorities, stakeholder participation, financial planning, and environmental protection (</w:t>
      </w:r>
      <w:proofErr w:type="spellStart"/>
      <w:r w:rsidRPr="006733BE">
        <w:rPr>
          <w:rFonts w:ascii="Times New Roman" w:hAnsi="Times New Roman" w:cs="Times New Roman"/>
          <w:lang w:val="en-GB"/>
        </w:rPr>
        <w:t>Ringbeck</w:t>
      </w:r>
      <w:proofErr w:type="spellEnd"/>
      <w:r w:rsidRPr="006733BE">
        <w:rPr>
          <w:rFonts w:ascii="Times New Roman" w:hAnsi="Times New Roman" w:cs="Times New Roman"/>
          <w:lang w:val="en-GB"/>
        </w:rPr>
        <w:t>, 2008). Effective planning establishes a clear framework for protecting heritage values and allocating responsibilities.</w:t>
      </w:r>
    </w:p>
    <w:p w14:paraId="5DB03DC5"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Implementation refers to carrying out the policies and actions identified during the planning stage. This includes restoration projects, maintenance work, visitor management programs, educational activities, and enforcement of legal regulations. Successful implementation depends on cooperation among governments, heritage professionals, local communities, and international organizations (Matero, 2003). Financial resources, technical knowledge, and institutional coordination are also essential for achieving conservation goals.</w:t>
      </w:r>
    </w:p>
    <w:p w14:paraId="4D3EA002"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Monitoring is the process of evaluating whether management actions are successfully protecting the heritage site and maintaining its values. Monitoring systems involve collecting information about structural conditions, environmental changes, visitor impacts, and conservation outcomes (</w:t>
      </w:r>
      <w:proofErr w:type="spellStart"/>
      <w:r w:rsidRPr="006733BE">
        <w:rPr>
          <w:rFonts w:ascii="Times New Roman" w:hAnsi="Times New Roman" w:cs="Times New Roman"/>
          <w:lang w:val="en-GB"/>
        </w:rPr>
        <w:t>Cassatella</w:t>
      </w:r>
      <w:proofErr w:type="spellEnd"/>
      <w:r w:rsidRPr="006733BE">
        <w:rPr>
          <w:rFonts w:ascii="Times New Roman" w:hAnsi="Times New Roman" w:cs="Times New Roman"/>
          <w:lang w:val="en-GB"/>
        </w:rPr>
        <w:t xml:space="preserve"> &amp; Peano, 2011). Monitoring helps identify threats early and provides evidence for assessing management effectiveness.</w:t>
      </w:r>
    </w:p>
    <w:p w14:paraId="768D46B6"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The relationship between planning, implementation, and monitoring is cyclical and adaptive. Planning provides direction for management activities, implementation applies those strategies in practice, and monitoring evaluates the results. Information obtained through monitoring is then used to revise and improve future planning. For example, if monitoring reveals that increased tourism is causing deterioration to a heritage property, managers may introduce stricter visitor controls or revise conservation measures.</w:t>
      </w:r>
    </w:p>
    <w:p w14:paraId="24DEBA17"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This integrated process is important because heritage sites are constantly influenced by social, environmental, and economic changes. Adaptive management enables heritage managers to respond effectively to these challenges while preserving authenticity, integrity, and Outstanding Universal Value (OUV).</w:t>
      </w:r>
    </w:p>
    <w:p w14:paraId="0F95D582" w14:textId="77777777" w:rsidR="004E366E" w:rsidRPr="006733BE" w:rsidRDefault="004E366E" w:rsidP="004E366E">
      <w:pPr>
        <w:rPr>
          <w:rFonts w:ascii="Times New Roman" w:hAnsi="Times New Roman" w:cs="Times New Roman"/>
          <w:lang w:val="en-GB"/>
        </w:rPr>
      </w:pPr>
      <w:r w:rsidRPr="006733BE">
        <w:rPr>
          <w:rFonts w:ascii="Times New Roman" w:hAnsi="Times New Roman" w:cs="Times New Roman"/>
          <w:lang w:val="en-GB"/>
        </w:rPr>
        <w:t>Therefore, planning, implementation, and monitoring are closely connected processes that ensure the long-term conservation and sustainable management of heritage resources.</w:t>
      </w:r>
    </w:p>
    <w:p w14:paraId="022C84D8" w14:textId="5875F7E6" w:rsidR="004E366E" w:rsidRPr="006733BE" w:rsidRDefault="004E366E" w:rsidP="004E366E">
      <w:pPr>
        <w:rPr>
          <w:rFonts w:ascii="Times New Roman" w:hAnsi="Times New Roman" w:cs="Times New Roman"/>
          <w:lang w:val="en-GB"/>
        </w:rPr>
      </w:pPr>
    </w:p>
    <w:p w14:paraId="592F0F20" w14:textId="77777777" w:rsidR="004E366E" w:rsidRDefault="004E366E" w:rsidP="004E366E">
      <w:pPr>
        <w:rPr>
          <w:rFonts w:ascii="Times New Roman" w:hAnsi="Times New Roman" w:cs="Times New Roman"/>
          <w:b/>
          <w:bCs/>
          <w:lang w:val="en-GB"/>
        </w:rPr>
      </w:pPr>
    </w:p>
    <w:p w14:paraId="063BE5B0" w14:textId="77777777" w:rsidR="004E366E" w:rsidRDefault="004E366E" w:rsidP="004E366E">
      <w:pPr>
        <w:rPr>
          <w:rFonts w:ascii="Times New Roman" w:hAnsi="Times New Roman" w:cs="Times New Roman"/>
          <w:b/>
          <w:bCs/>
          <w:lang w:val="en-GB"/>
        </w:rPr>
      </w:pPr>
    </w:p>
    <w:p w14:paraId="3D77A556" w14:textId="77777777" w:rsidR="004E366E" w:rsidRDefault="004E366E" w:rsidP="004E366E">
      <w:pPr>
        <w:rPr>
          <w:rFonts w:ascii="Times New Roman" w:hAnsi="Times New Roman" w:cs="Times New Roman"/>
          <w:b/>
          <w:bCs/>
          <w:lang w:val="en-GB"/>
        </w:rPr>
      </w:pPr>
    </w:p>
    <w:p w14:paraId="76114621" w14:textId="77777777" w:rsidR="004E366E" w:rsidRDefault="004E366E" w:rsidP="004E366E">
      <w:pPr>
        <w:rPr>
          <w:rFonts w:ascii="Times New Roman" w:hAnsi="Times New Roman" w:cs="Times New Roman"/>
          <w:b/>
          <w:bCs/>
          <w:lang w:val="en-GB"/>
        </w:rPr>
      </w:pPr>
    </w:p>
    <w:p w14:paraId="4689E327" w14:textId="77777777" w:rsidR="004E366E" w:rsidRDefault="004E366E" w:rsidP="004E366E">
      <w:pPr>
        <w:rPr>
          <w:rFonts w:ascii="Times New Roman" w:hAnsi="Times New Roman" w:cs="Times New Roman"/>
          <w:b/>
          <w:bCs/>
          <w:lang w:val="en-GB"/>
        </w:rPr>
      </w:pPr>
    </w:p>
    <w:p w14:paraId="45A4C64D" w14:textId="77777777" w:rsidR="004E366E" w:rsidRDefault="004E366E" w:rsidP="004E366E">
      <w:pPr>
        <w:rPr>
          <w:rFonts w:ascii="Times New Roman" w:hAnsi="Times New Roman" w:cs="Times New Roman"/>
          <w:b/>
          <w:bCs/>
          <w:lang w:val="en-GB"/>
        </w:rPr>
      </w:pPr>
    </w:p>
    <w:p w14:paraId="1F3C1644" w14:textId="77777777" w:rsidR="004E366E" w:rsidRDefault="004E366E" w:rsidP="004E366E">
      <w:pPr>
        <w:rPr>
          <w:rFonts w:ascii="Times New Roman" w:hAnsi="Times New Roman" w:cs="Times New Roman"/>
          <w:b/>
          <w:bCs/>
          <w:lang w:val="en-GB"/>
        </w:rPr>
      </w:pPr>
    </w:p>
    <w:p w14:paraId="248831CF" w14:textId="77777777" w:rsidR="004E366E" w:rsidRDefault="004E366E" w:rsidP="004E366E">
      <w:pPr>
        <w:rPr>
          <w:rFonts w:ascii="Times New Roman" w:hAnsi="Times New Roman" w:cs="Times New Roman"/>
          <w:b/>
          <w:bCs/>
          <w:lang w:val="en-GB"/>
        </w:rPr>
      </w:pPr>
    </w:p>
    <w:p w14:paraId="426E2445" w14:textId="77777777" w:rsidR="004E366E" w:rsidRDefault="004E366E" w:rsidP="004E366E">
      <w:pPr>
        <w:rPr>
          <w:rFonts w:ascii="Times New Roman" w:hAnsi="Times New Roman" w:cs="Times New Roman"/>
          <w:b/>
          <w:bCs/>
          <w:lang w:val="en-GB"/>
        </w:rPr>
      </w:pPr>
    </w:p>
    <w:p w14:paraId="36BC419F" w14:textId="77777777" w:rsidR="004E366E" w:rsidRDefault="004E366E" w:rsidP="004E366E">
      <w:pPr>
        <w:rPr>
          <w:rFonts w:ascii="Times New Roman" w:hAnsi="Times New Roman" w:cs="Times New Roman"/>
          <w:b/>
          <w:bCs/>
          <w:lang w:val="en-GB"/>
        </w:rPr>
      </w:pPr>
    </w:p>
    <w:p w14:paraId="5BE87F06" w14:textId="77777777" w:rsidR="004E366E" w:rsidRDefault="004E366E" w:rsidP="004E366E">
      <w:pPr>
        <w:rPr>
          <w:rFonts w:ascii="Times New Roman" w:hAnsi="Times New Roman" w:cs="Times New Roman"/>
          <w:b/>
          <w:bCs/>
          <w:lang w:val="en-GB"/>
        </w:rPr>
      </w:pPr>
    </w:p>
    <w:p w14:paraId="0C592BC8" w14:textId="77777777" w:rsidR="004E366E" w:rsidRDefault="004E366E" w:rsidP="004E366E">
      <w:pPr>
        <w:rPr>
          <w:rFonts w:ascii="Times New Roman" w:hAnsi="Times New Roman" w:cs="Times New Roman"/>
          <w:b/>
          <w:bCs/>
          <w:lang w:val="en-GB"/>
        </w:rPr>
      </w:pPr>
    </w:p>
    <w:p w14:paraId="6BAB2B36" w14:textId="77777777" w:rsidR="004E366E" w:rsidRDefault="004E366E" w:rsidP="004E366E">
      <w:pPr>
        <w:rPr>
          <w:rFonts w:ascii="Times New Roman" w:hAnsi="Times New Roman" w:cs="Times New Roman"/>
          <w:b/>
          <w:bCs/>
          <w:lang w:val="en-GB"/>
        </w:rPr>
      </w:pPr>
    </w:p>
    <w:p w14:paraId="0E49E026" w14:textId="77777777" w:rsidR="004E366E" w:rsidRDefault="004E366E" w:rsidP="004E366E">
      <w:pPr>
        <w:rPr>
          <w:rFonts w:ascii="Times New Roman" w:hAnsi="Times New Roman" w:cs="Times New Roman"/>
          <w:b/>
          <w:bCs/>
          <w:lang w:val="en-GB"/>
        </w:rPr>
      </w:pPr>
    </w:p>
    <w:p w14:paraId="0E9547CA" w14:textId="77777777" w:rsidR="004E366E" w:rsidRDefault="004E366E" w:rsidP="004E366E">
      <w:pPr>
        <w:rPr>
          <w:rFonts w:ascii="Times New Roman" w:hAnsi="Times New Roman" w:cs="Times New Roman"/>
          <w:b/>
          <w:bCs/>
          <w:lang w:val="en-GB"/>
        </w:rPr>
      </w:pPr>
    </w:p>
    <w:p w14:paraId="7B118DE9" w14:textId="77777777" w:rsidR="004E366E" w:rsidRDefault="004E366E" w:rsidP="004E366E">
      <w:pPr>
        <w:rPr>
          <w:rFonts w:ascii="Times New Roman" w:hAnsi="Times New Roman" w:cs="Times New Roman"/>
          <w:b/>
          <w:bCs/>
          <w:lang w:val="en-GB"/>
        </w:rPr>
      </w:pPr>
    </w:p>
    <w:p w14:paraId="617FAA29" w14:textId="77777777" w:rsidR="004E366E" w:rsidRDefault="004E366E" w:rsidP="004E366E">
      <w:pPr>
        <w:rPr>
          <w:rFonts w:ascii="Times New Roman" w:hAnsi="Times New Roman" w:cs="Times New Roman"/>
          <w:b/>
          <w:bCs/>
          <w:lang w:val="en-GB"/>
        </w:rPr>
      </w:pPr>
    </w:p>
    <w:p w14:paraId="691C9FF7" w14:textId="77777777" w:rsidR="004E366E" w:rsidRDefault="004E366E" w:rsidP="004E366E">
      <w:pPr>
        <w:rPr>
          <w:rFonts w:ascii="Times New Roman" w:hAnsi="Times New Roman" w:cs="Times New Roman"/>
          <w:b/>
          <w:bCs/>
          <w:lang w:val="en-GB"/>
        </w:rPr>
      </w:pPr>
    </w:p>
    <w:p w14:paraId="2D514E0E" w14:textId="77777777" w:rsidR="004E366E" w:rsidRDefault="004E366E" w:rsidP="004E366E">
      <w:pPr>
        <w:rPr>
          <w:rFonts w:ascii="Times New Roman" w:hAnsi="Times New Roman" w:cs="Times New Roman"/>
          <w:b/>
          <w:bCs/>
          <w:lang w:val="en-GB"/>
        </w:rPr>
      </w:pPr>
    </w:p>
    <w:p w14:paraId="75A8B5C0" w14:textId="77777777" w:rsidR="004E366E" w:rsidRDefault="004E366E" w:rsidP="004E366E">
      <w:pPr>
        <w:rPr>
          <w:rFonts w:ascii="Times New Roman" w:hAnsi="Times New Roman" w:cs="Times New Roman"/>
          <w:b/>
          <w:bCs/>
          <w:lang w:val="en-GB"/>
        </w:rPr>
      </w:pPr>
    </w:p>
    <w:p w14:paraId="22D63CE1" w14:textId="77777777" w:rsidR="004E366E" w:rsidRPr="004E366E" w:rsidRDefault="004E366E" w:rsidP="004E366E">
      <w:pPr>
        <w:rPr>
          <w:rFonts w:ascii="Times New Roman" w:hAnsi="Times New Roman" w:cs="Times New Roman"/>
          <w:b/>
          <w:bCs/>
          <w:lang w:val="en-GB"/>
        </w:rPr>
      </w:pPr>
    </w:p>
    <w:p w14:paraId="00F0F0D2" w14:textId="77777777" w:rsidR="004E366E" w:rsidRPr="004E366E" w:rsidRDefault="004E366E" w:rsidP="004E366E">
      <w:pPr>
        <w:rPr>
          <w:rFonts w:ascii="Times New Roman" w:hAnsi="Times New Roman" w:cs="Times New Roman"/>
          <w:b/>
          <w:bCs/>
          <w:lang w:val="en-GB"/>
        </w:rPr>
      </w:pPr>
      <w:r w:rsidRPr="004E366E">
        <w:rPr>
          <w:rFonts w:ascii="Times New Roman" w:hAnsi="Times New Roman" w:cs="Times New Roman"/>
          <w:b/>
          <w:bCs/>
          <w:lang w:val="en-GB"/>
        </w:rPr>
        <w:t>References</w:t>
      </w:r>
    </w:p>
    <w:p w14:paraId="36534B0F" w14:textId="77777777" w:rsidR="004E366E" w:rsidRPr="004E366E" w:rsidRDefault="004E366E" w:rsidP="004E366E">
      <w:pPr>
        <w:rPr>
          <w:rFonts w:ascii="Times New Roman" w:hAnsi="Times New Roman" w:cs="Times New Roman"/>
          <w:lang w:val="en-GB"/>
        </w:rPr>
      </w:pPr>
      <w:proofErr w:type="spellStart"/>
      <w:r w:rsidRPr="004E366E">
        <w:rPr>
          <w:rFonts w:ascii="Times New Roman" w:hAnsi="Times New Roman" w:cs="Times New Roman"/>
          <w:lang w:val="en-GB"/>
        </w:rPr>
        <w:t>Cassatella</w:t>
      </w:r>
      <w:proofErr w:type="spellEnd"/>
      <w:r w:rsidRPr="004E366E">
        <w:rPr>
          <w:rFonts w:ascii="Times New Roman" w:hAnsi="Times New Roman" w:cs="Times New Roman"/>
          <w:lang w:val="en-GB"/>
        </w:rPr>
        <w:t xml:space="preserve">, C., &amp; Peano, A. (2011). </w:t>
      </w:r>
      <w:r w:rsidRPr="004E366E">
        <w:rPr>
          <w:rFonts w:ascii="Times New Roman" w:hAnsi="Times New Roman" w:cs="Times New Roman"/>
          <w:i/>
          <w:iCs/>
          <w:lang w:val="en-GB"/>
        </w:rPr>
        <w:t>Landscape Indicators: Assessing and Monitoring Landscape Quality</w:t>
      </w:r>
      <w:r w:rsidRPr="004E366E">
        <w:rPr>
          <w:rFonts w:ascii="Times New Roman" w:hAnsi="Times New Roman" w:cs="Times New Roman"/>
          <w:lang w:val="en-GB"/>
        </w:rPr>
        <w:t>. Springer. https://doi.org/10.1007/978-94-007-0366-7</w:t>
      </w:r>
    </w:p>
    <w:p w14:paraId="347353B6" w14:textId="77777777" w:rsidR="004E366E" w:rsidRPr="004E366E" w:rsidRDefault="004E366E" w:rsidP="004E366E">
      <w:pPr>
        <w:rPr>
          <w:rFonts w:ascii="Times New Roman" w:hAnsi="Times New Roman" w:cs="Times New Roman"/>
          <w:lang w:val="en-GB"/>
        </w:rPr>
      </w:pPr>
      <w:r w:rsidRPr="004E366E">
        <w:rPr>
          <w:rFonts w:ascii="Times New Roman" w:hAnsi="Times New Roman" w:cs="Times New Roman"/>
          <w:lang w:val="en-GB"/>
        </w:rPr>
        <w:t xml:space="preserve">King, T. F. (2011). </w:t>
      </w:r>
      <w:r w:rsidRPr="004E366E">
        <w:rPr>
          <w:rFonts w:ascii="Times New Roman" w:hAnsi="Times New Roman" w:cs="Times New Roman"/>
          <w:i/>
          <w:iCs/>
          <w:lang w:val="en-GB"/>
        </w:rPr>
        <w:t>Cultural Resource Laws and Practice</w:t>
      </w:r>
      <w:r w:rsidRPr="004E366E">
        <w:rPr>
          <w:rFonts w:ascii="Times New Roman" w:hAnsi="Times New Roman" w:cs="Times New Roman"/>
          <w:lang w:val="en-GB"/>
        </w:rPr>
        <w:t xml:space="preserve">. </w:t>
      </w:r>
      <w:proofErr w:type="spellStart"/>
      <w:r w:rsidRPr="004E366E">
        <w:rPr>
          <w:rFonts w:ascii="Times New Roman" w:hAnsi="Times New Roman" w:cs="Times New Roman"/>
          <w:lang w:val="en-GB"/>
        </w:rPr>
        <w:t>AltaMira</w:t>
      </w:r>
      <w:proofErr w:type="spellEnd"/>
      <w:r w:rsidRPr="004E366E">
        <w:rPr>
          <w:rFonts w:ascii="Times New Roman" w:hAnsi="Times New Roman" w:cs="Times New Roman"/>
          <w:lang w:val="en-GB"/>
        </w:rPr>
        <w:t xml:space="preserve"> Press.</w:t>
      </w:r>
    </w:p>
    <w:p w14:paraId="475F4EF9" w14:textId="77777777" w:rsidR="004E366E" w:rsidRPr="004E366E" w:rsidRDefault="004E366E" w:rsidP="004E366E">
      <w:pPr>
        <w:rPr>
          <w:rFonts w:ascii="Times New Roman" w:hAnsi="Times New Roman" w:cs="Times New Roman"/>
          <w:lang w:val="en-GB"/>
        </w:rPr>
      </w:pPr>
      <w:r w:rsidRPr="004E366E">
        <w:rPr>
          <w:rFonts w:ascii="Times New Roman" w:hAnsi="Times New Roman" w:cs="Times New Roman"/>
          <w:lang w:val="en-GB"/>
        </w:rPr>
        <w:t xml:space="preserve">Matero, F. G. (2003). Loss, compensation and authenticity: The contribution of Cesare Brandi to architectural conservation in America. </w:t>
      </w:r>
      <w:r w:rsidRPr="004E366E">
        <w:rPr>
          <w:rFonts w:ascii="Times New Roman" w:hAnsi="Times New Roman" w:cs="Times New Roman"/>
          <w:i/>
          <w:iCs/>
          <w:lang w:val="en-GB"/>
        </w:rPr>
        <w:t>Conservation and Management of Archaeological Sites, 6</w:t>
      </w:r>
      <w:r w:rsidRPr="004E366E">
        <w:rPr>
          <w:rFonts w:ascii="Times New Roman" w:hAnsi="Times New Roman" w:cs="Times New Roman"/>
          <w:lang w:val="en-GB"/>
        </w:rPr>
        <w:t>(2), 97–105. https://doi.org/10.1179/135050303793138971</w:t>
      </w:r>
    </w:p>
    <w:p w14:paraId="2E6588D7" w14:textId="77777777" w:rsidR="004E366E" w:rsidRPr="004E366E" w:rsidRDefault="004E366E" w:rsidP="004E366E">
      <w:pPr>
        <w:rPr>
          <w:rFonts w:ascii="Times New Roman" w:hAnsi="Times New Roman" w:cs="Times New Roman"/>
          <w:lang w:val="en-GB"/>
        </w:rPr>
      </w:pPr>
      <w:proofErr w:type="spellStart"/>
      <w:r w:rsidRPr="004E366E">
        <w:rPr>
          <w:rFonts w:ascii="Times New Roman" w:hAnsi="Times New Roman" w:cs="Times New Roman"/>
          <w:lang w:val="en-GB"/>
        </w:rPr>
        <w:t>Rebanks</w:t>
      </w:r>
      <w:proofErr w:type="spellEnd"/>
      <w:r w:rsidRPr="004E366E">
        <w:rPr>
          <w:rFonts w:ascii="Times New Roman" w:hAnsi="Times New Roman" w:cs="Times New Roman"/>
          <w:lang w:val="en-GB"/>
        </w:rPr>
        <w:t xml:space="preserve"> Consulting Ltd &amp; Trends Business Research Ltd. (2009). </w:t>
      </w:r>
      <w:r w:rsidRPr="004E366E">
        <w:rPr>
          <w:rFonts w:ascii="Times New Roman" w:hAnsi="Times New Roman" w:cs="Times New Roman"/>
          <w:i/>
          <w:iCs/>
          <w:lang w:val="en-GB"/>
        </w:rPr>
        <w:t>World Heritage Status: Is there opportunity for economic gain?</w:t>
      </w:r>
      <w:r w:rsidRPr="004E366E">
        <w:rPr>
          <w:rFonts w:ascii="Times New Roman" w:hAnsi="Times New Roman" w:cs="Times New Roman"/>
          <w:lang w:val="en-GB"/>
        </w:rPr>
        <w:t xml:space="preserve"> UNESCO UK National Commission.</w:t>
      </w:r>
    </w:p>
    <w:p w14:paraId="083F668B" w14:textId="77777777" w:rsidR="004E366E" w:rsidRPr="004E366E" w:rsidRDefault="004E366E" w:rsidP="004E366E">
      <w:pPr>
        <w:rPr>
          <w:rFonts w:ascii="Times New Roman" w:hAnsi="Times New Roman" w:cs="Times New Roman"/>
          <w:lang w:val="en-GB"/>
        </w:rPr>
      </w:pPr>
      <w:proofErr w:type="spellStart"/>
      <w:r w:rsidRPr="004E366E">
        <w:rPr>
          <w:rFonts w:ascii="Times New Roman" w:hAnsi="Times New Roman" w:cs="Times New Roman"/>
          <w:lang w:val="en-GB"/>
        </w:rPr>
        <w:t>Ringbeck</w:t>
      </w:r>
      <w:proofErr w:type="spellEnd"/>
      <w:r w:rsidRPr="004E366E">
        <w:rPr>
          <w:rFonts w:ascii="Times New Roman" w:hAnsi="Times New Roman" w:cs="Times New Roman"/>
          <w:lang w:val="en-GB"/>
        </w:rPr>
        <w:t xml:space="preserve">, B. (2008). </w:t>
      </w:r>
      <w:r w:rsidRPr="004E366E">
        <w:rPr>
          <w:rFonts w:ascii="Times New Roman" w:hAnsi="Times New Roman" w:cs="Times New Roman"/>
          <w:i/>
          <w:iCs/>
          <w:lang w:val="en-GB"/>
        </w:rPr>
        <w:t>Management Plans for World Heritage Sites: A Practical Guide</w:t>
      </w:r>
      <w:r w:rsidRPr="004E366E">
        <w:rPr>
          <w:rFonts w:ascii="Times New Roman" w:hAnsi="Times New Roman" w:cs="Times New Roman"/>
          <w:lang w:val="en-GB"/>
        </w:rPr>
        <w:t>. German Commission for UNESCO.</w:t>
      </w:r>
    </w:p>
    <w:p w14:paraId="034D8C16" w14:textId="77777777" w:rsidR="004E366E" w:rsidRPr="004E366E" w:rsidRDefault="004E366E" w:rsidP="004E366E">
      <w:pPr>
        <w:rPr>
          <w:rFonts w:ascii="Times New Roman" w:hAnsi="Times New Roman" w:cs="Times New Roman"/>
          <w:lang w:val="en-GB"/>
        </w:rPr>
      </w:pPr>
      <w:r w:rsidRPr="004E366E">
        <w:rPr>
          <w:rFonts w:ascii="Times New Roman" w:hAnsi="Times New Roman" w:cs="Times New Roman"/>
          <w:lang w:val="en-GB"/>
        </w:rPr>
        <w:t xml:space="preserve">Rössler, M. (2006). World Heritage cultural landscapes: A UNESCO flagship programme 1992–2006. </w:t>
      </w:r>
      <w:r w:rsidRPr="004E366E">
        <w:rPr>
          <w:rFonts w:ascii="Times New Roman" w:hAnsi="Times New Roman" w:cs="Times New Roman"/>
          <w:i/>
          <w:iCs/>
          <w:lang w:val="en-GB"/>
        </w:rPr>
        <w:t>Landscape Research, 31</w:t>
      </w:r>
      <w:r w:rsidRPr="004E366E">
        <w:rPr>
          <w:rFonts w:ascii="Times New Roman" w:hAnsi="Times New Roman" w:cs="Times New Roman"/>
          <w:lang w:val="en-GB"/>
        </w:rPr>
        <w:t>(4), 333–353. https://doi.org/10.1080/01426390601004210</w:t>
      </w:r>
    </w:p>
    <w:p w14:paraId="5103D433" w14:textId="77777777" w:rsidR="004E366E" w:rsidRPr="004E366E" w:rsidRDefault="004E366E" w:rsidP="004E366E">
      <w:pPr>
        <w:rPr>
          <w:rFonts w:ascii="Times New Roman" w:hAnsi="Times New Roman" w:cs="Times New Roman"/>
          <w:lang w:val="en-GB"/>
        </w:rPr>
      </w:pPr>
      <w:r w:rsidRPr="004E366E">
        <w:rPr>
          <w:rFonts w:ascii="Times New Roman" w:hAnsi="Times New Roman" w:cs="Times New Roman"/>
          <w:lang w:val="en-GB"/>
        </w:rPr>
        <w:t xml:space="preserve">Strasser, P. (2002). “Putting reform into action” – Thirty years of the World Heritage Convention: How to reform a convention without changing its regulations. </w:t>
      </w:r>
      <w:r w:rsidRPr="004E366E">
        <w:rPr>
          <w:rFonts w:ascii="Times New Roman" w:hAnsi="Times New Roman" w:cs="Times New Roman"/>
          <w:i/>
          <w:iCs/>
          <w:lang w:val="en-GB"/>
        </w:rPr>
        <w:t>International Journal of Cultural Property, 11</w:t>
      </w:r>
      <w:r w:rsidRPr="004E366E">
        <w:rPr>
          <w:rFonts w:ascii="Times New Roman" w:hAnsi="Times New Roman" w:cs="Times New Roman"/>
          <w:lang w:val="en-GB"/>
        </w:rPr>
        <w:t>(2), 215–266. https://doi.org/10.1017/S0940739102771427</w:t>
      </w:r>
    </w:p>
    <w:p w14:paraId="1AF088D1" w14:textId="77777777" w:rsidR="004E366E" w:rsidRPr="004E366E" w:rsidRDefault="004E366E" w:rsidP="004E366E">
      <w:pPr>
        <w:rPr>
          <w:rFonts w:ascii="Times New Roman" w:hAnsi="Times New Roman" w:cs="Times New Roman"/>
          <w:lang w:val="en-GB"/>
        </w:rPr>
      </w:pPr>
      <w:r w:rsidRPr="004E366E">
        <w:rPr>
          <w:rFonts w:ascii="Times New Roman" w:hAnsi="Times New Roman" w:cs="Times New Roman"/>
          <w:lang w:val="en-GB"/>
        </w:rPr>
        <w:t xml:space="preserve">UNESCO. (2015). </w:t>
      </w:r>
      <w:r w:rsidRPr="004E366E">
        <w:rPr>
          <w:rFonts w:ascii="Times New Roman" w:hAnsi="Times New Roman" w:cs="Times New Roman"/>
          <w:i/>
          <w:iCs/>
          <w:lang w:val="en-GB"/>
        </w:rPr>
        <w:t>World Heritage and Sustainable Development Policy</w:t>
      </w:r>
      <w:r w:rsidRPr="004E366E">
        <w:rPr>
          <w:rFonts w:ascii="Times New Roman" w:hAnsi="Times New Roman" w:cs="Times New Roman"/>
          <w:lang w:val="en-GB"/>
        </w:rPr>
        <w:t>. UNESCO World Heritage Centre.</w:t>
      </w:r>
    </w:p>
    <w:p w14:paraId="18BD6DB4" w14:textId="77777777" w:rsidR="004E366E" w:rsidRPr="004E366E" w:rsidRDefault="004E366E" w:rsidP="004E366E">
      <w:pPr>
        <w:rPr>
          <w:rFonts w:ascii="Times New Roman" w:hAnsi="Times New Roman" w:cs="Times New Roman"/>
          <w:b/>
          <w:bCs/>
          <w:vanish/>
          <w:lang w:val="en-GB"/>
        </w:rPr>
      </w:pPr>
      <w:r w:rsidRPr="004E366E">
        <w:rPr>
          <w:rFonts w:ascii="Times New Roman" w:hAnsi="Times New Roman" w:cs="Times New Roman"/>
          <w:b/>
          <w:bCs/>
          <w:vanish/>
          <w:lang w:val="en-GB"/>
        </w:rPr>
        <w:t>Top of Form</w:t>
      </w:r>
    </w:p>
    <w:p w14:paraId="36265993" w14:textId="77777777" w:rsidR="004E366E" w:rsidRPr="004E366E" w:rsidRDefault="004E366E" w:rsidP="004E366E">
      <w:pPr>
        <w:rPr>
          <w:rFonts w:ascii="Times New Roman" w:hAnsi="Times New Roman" w:cs="Times New Roman"/>
          <w:b/>
          <w:bCs/>
          <w:vanish/>
          <w:lang w:val="en-GB"/>
        </w:rPr>
      </w:pPr>
      <w:r w:rsidRPr="004E366E">
        <w:rPr>
          <w:rFonts w:ascii="Times New Roman" w:hAnsi="Times New Roman" w:cs="Times New Roman"/>
          <w:b/>
          <w:bCs/>
          <w:vanish/>
          <w:lang w:val="en-GB"/>
        </w:rPr>
        <w:t>Bottom of Form</w:t>
      </w:r>
    </w:p>
    <w:p w14:paraId="591F43E9" w14:textId="77777777" w:rsidR="0056617A" w:rsidRPr="00CB667A" w:rsidRDefault="0056617A" w:rsidP="004E366E">
      <w:pPr>
        <w:rPr>
          <w:rFonts w:ascii="Times New Roman" w:hAnsi="Times New Roman" w:cs="Times New Roman"/>
          <w:lang w:val="en-US"/>
        </w:rPr>
      </w:pPr>
    </w:p>
    <w:sectPr w:rsidR="0056617A" w:rsidRPr="00CB66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30DB8"/>
    <w:multiLevelType w:val="hybridMultilevel"/>
    <w:tmpl w:val="EAA0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40664">
    <w:abstractNumId w:val="0"/>
  </w:num>
  <w:num w:numId="2" w16cid:durableId="51579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A"/>
    <w:rsid w:val="00011351"/>
    <w:rsid w:val="00104A32"/>
    <w:rsid w:val="004E366E"/>
    <w:rsid w:val="0056617A"/>
    <w:rsid w:val="005B1E2F"/>
    <w:rsid w:val="006733BE"/>
    <w:rsid w:val="00832D86"/>
    <w:rsid w:val="00BF4ADC"/>
    <w:rsid w:val="00C45288"/>
    <w:rsid w:val="00CB667A"/>
    <w:rsid w:val="00DF741F"/>
    <w:rsid w:val="00EB6E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2FE1"/>
  <w15:chartTrackingRefBased/>
  <w15:docId w15:val="{606885A0-529D-4C5D-86CF-B43CA284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7A"/>
    <w:pPr>
      <w:spacing w:after="0" w:line="240" w:lineRule="auto"/>
    </w:pPr>
    <w:rPr>
      <w:szCs w:val="24"/>
      <w:lang w:bidi="ar-SA"/>
    </w:rPr>
  </w:style>
  <w:style w:type="paragraph" w:styleId="Heading1">
    <w:name w:val="heading 1"/>
    <w:basedOn w:val="Normal"/>
    <w:next w:val="Normal"/>
    <w:link w:val="Heading1Char"/>
    <w:uiPriority w:val="9"/>
    <w:qFormat/>
    <w:rsid w:val="005661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661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661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6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661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661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6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7A"/>
    <w:rPr>
      <w:rFonts w:eastAsiaTheme="majorEastAsia" w:cstheme="majorBidi"/>
      <w:color w:val="272727" w:themeColor="text1" w:themeTint="D8"/>
    </w:rPr>
  </w:style>
  <w:style w:type="paragraph" w:styleId="Title">
    <w:name w:val="Title"/>
    <w:basedOn w:val="Normal"/>
    <w:next w:val="Normal"/>
    <w:link w:val="TitleChar"/>
    <w:uiPriority w:val="10"/>
    <w:qFormat/>
    <w:rsid w:val="0056617A"/>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661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661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661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6617A"/>
    <w:pPr>
      <w:spacing w:before="160"/>
      <w:jc w:val="center"/>
    </w:pPr>
    <w:rPr>
      <w:i/>
      <w:iCs/>
      <w:color w:val="404040" w:themeColor="text1" w:themeTint="BF"/>
    </w:rPr>
  </w:style>
  <w:style w:type="character" w:customStyle="1" w:styleId="QuoteChar">
    <w:name w:val="Quote Char"/>
    <w:basedOn w:val="DefaultParagraphFont"/>
    <w:link w:val="Quote"/>
    <w:uiPriority w:val="29"/>
    <w:rsid w:val="0056617A"/>
    <w:rPr>
      <w:i/>
      <w:iCs/>
      <w:color w:val="404040" w:themeColor="text1" w:themeTint="BF"/>
    </w:rPr>
  </w:style>
  <w:style w:type="paragraph" w:styleId="ListParagraph">
    <w:name w:val="List Paragraph"/>
    <w:basedOn w:val="Normal"/>
    <w:uiPriority w:val="34"/>
    <w:qFormat/>
    <w:rsid w:val="0056617A"/>
    <w:pPr>
      <w:ind w:left="720"/>
      <w:contextualSpacing/>
    </w:pPr>
  </w:style>
  <w:style w:type="character" w:styleId="IntenseEmphasis">
    <w:name w:val="Intense Emphasis"/>
    <w:basedOn w:val="DefaultParagraphFont"/>
    <w:uiPriority w:val="21"/>
    <w:qFormat/>
    <w:rsid w:val="0056617A"/>
    <w:rPr>
      <w:i/>
      <w:iCs/>
      <w:color w:val="0F4761" w:themeColor="accent1" w:themeShade="BF"/>
    </w:rPr>
  </w:style>
  <w:style w:type="paragraph" w:styleId="IntenseQuote">
    <w:name w:val="Intense Quote"/>
    <w:basedOn w:val="Normal"/>
    <w:next w:val="Normal"/>
    <w:link w:val="IntenseQuoteChar"/>
    <w:uiPriority w:val="30"/>
    <w:qFormat/>
    <w:rsid w:val="0056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7A"/>
    <w:rPr>
      <w:i/>
      <w:iCs/>
      <w:color w:val="0F4761" w:themeColor="accent1" w:themeShade="BF"/>
    </w:rPr>
  </w:style>
  <w:style w:type="character" w:styleId="IntenseReference">
    <w:name w:val="Intense Reference"/>
    <w:basedOn w:val="DefaultParagraphFont"/>
    <w:uiPriority w:val="32"/>
    <w:qFormat/>
    <w:rsid w:val="0056617A"/>
    <w:rPr>
      <w:b/>
      <w:bCs/>
      <w:smallCaps/>
      <w:color w:val="0F4761" w:themeColor="accent1" w:themeShade="BF"/>
      <w:spacing w:val="5"/>
    </w:rPr>
  </w:style>
  <w:style w:type="character" w:styleId="Hyperlink">
    <w:name w:val="Hyperlink"/>
    <w:basedOn w:val="DefaultParagraphFont"/>
    <w:uiPriority w:val="99"/>
    <w:unhideWhenUsed/>
    <w:rsid w:val="0056617A"/>
    <w:rPr>
      <w:color w:val="467886" w:themeColor="hyperlink"/>
      <w:u w:val="single"/>
    </w:rPr>
  </w:style>
  <w:style w:type="character" w:styleId="UnresolvedMention">
    <w:name w:val="Unresolved Mention"/>
    <w:basedOn w:val="DefaultParagraphFont"/>
    <w:uiPriority w:val="99"/>
    <w:semiHidden/>
    <w:unhideWhenUsed/>
    <w:rsid w:val="005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1067</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2026-05-17T13:24:00Z</dcterms:created>
  <dcterms:modified xsi:type="dcterms:W3CDTF">2026-05-17T13:24:00Z</dcterms:modified>
</cp:coreProperties>
</file>