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2000"/>
        <w:jc w:val="center"/>
      </w:pPr>
      <w:r>
        <w:rPr>
          <w:b/>
          <w:sz w:val="36"/>
        </w:rPr>
        <w:t>EHR Modernisation, System Interoperability, and Operational Efficiency</w:t>
      </w:r>
    </w:p>
    <w:p>
      <w:pPr>
        <w:jc w:val="center"/>
      </w:pPr>
      <w:r>
        <w:t>Digital Systems Evaluation &amp; Implementation Report</w:t>
      </w:r>
    </w:p>
    <w:p>
      <w:pPr>
        <w:jc w:val="center"/>
      </w:pPr>
      <w:r/>
    </w:p>
    <w:p>
      <w:pPr>
        <w:jc w:val="center"/>
      </w:pPr>
      <w:r>
        <w:t>Course: Information Systems and Technologies</w:t>
      </w:r>
    </w:p>
    <w:p>
      <w:pPr>
        <w:jc w:val="center"/>
      </w:pPr>
      <w:r>
        <w:t>Student Name: Divya</w:t>
      </w:r>
    </w:p>
    <w:p>
      <w:pPr>
        <w:jc w:val="center"/>
      </w:pPr>
      <w:r>
        <w:t>Student Number: PMB26001</w:t>
      </w:r>
    </w:p>
    <w:p>
      <w:pPr>
        <w:jc w:val="center"/>
      </w:pPr>
      <w:r>
        <w:t>Institution: EIIET</w:t>
      </w:r>
    </w:p>
    <w:p>
      <w:pPr>
        <w:jc w:val="center"/>
      </w:pPr>
      <w:r>
        <w:t>Submission Date: 30 September 2026</w:t>
      </w:r>
    </w:p>
    <w:p>
      <w:r>
        <w:br w:type="page"/>
      </w:r>
    </w:p>
    <w:p>
      <w:pPr>
        <w:pStyle w:val="Heading1"/>
      </w:pPr>
      <w:r>
        <w:t>Table of Contents</w:t>
      </w:r>
    </w:p>
    <w:p>
      <w:r>
        <w:t>Abstract</w:t>
      </w:r>
    </w:p>
    <w:p>
      <w:r>
        <w:t>1. Introduction</w:t>
      </w:r>
    </w:p>
    <w:p>
      <w:r>
        <w:t>2. Literature Review</w:t>
      </w:r>
    </w:p>
    <w:p>
      <w:r>
        <w:t>3. Methodology</w:t>
      </w:r>
    </w:p>
    <w:p>
      <w:r>
        <w:t>4. Findings</w:t>
      </w:r>
    </w:p>
    <w:p>
      <w:r>
        <w:t>5. Discussion</w:t>
      </w:r>
    </w:p>
    <w:p>
      <w:r>
        <w:t>6. Conclusion</w:t>
      </w:r>
    </w:p>
    <w:p>
      <w:r>
        <w:t>References</w:t>
      </w:r>
    </w:p>
    <w:p>
      <w:r>
        <w:t>Appendix A: Evaluation Framework</w:t>
      </w:r>
    </w:p>
    <w:p>
      <w:r>
        <w:t>Note: Update the Word table of contents after finalising pagination if your institution requires automatic page numbers.</w:t>
      </w:r>
    </w:p>
    <w:p>
      <w:r>
        <w:br w:type="page"/>
      </w:r>
    </w:p>
    <w:p>
      <w:pPr>
        <w:pStyle w:val="Heading1"/>
      </w:pPr>
      <w:r>
        <w:t>Abstract</w:t>
      </w:r>
    </w:p>
    <w:p>
      <w:r>
        <w:t>Electronic health records (EHRs) and health information systems (HIS) have become central to the delivery, coordination and management of contemporary healthcare. However, digitisation alone does not guarantee better operations or higher-quality care. The value of an EHR depends on interoperability, workflow fit, data quality, usability, governance and implementation capability. This report evaluates how healthcare organisations can modernise EHR and HIS environments to improve clinical and operational efficiency while maintaining patient safety and data integrity. The analysis examines the roles of EHRs, HIS platforms, patient portals, health information exchange (HIE), and interoperability standards such as HL7 FHIR, alongside terminology and document standards. It synthesises academic literature and practical case evidence from large healthcare organisations, including Kaiser Permanente, the U.S. Department of Veterans Affairs and Mayo Clinic. The evidence indicates that well-designed EHR and information exchange can support care coordination, reduce duplicated testing, improve access to information and strengthen selected quality measures. At the same time, implementation can initially increase documentation workload, introduce usability problems and create significant organisational disruption. The report therefore proposes a balanced evaluation framework based on clinical quality, operational performance, interoperability, user experience, financial impact, data quality and patient outcomes. It concludes that EHR modernisation should be treated as a socio-technical transformation rather than a software replacement project.</w:t>
      </w:r>
    </w:p>
    <w:p>
      <w:pPr>
        <w:pStyle w:val="Heading1"/>
      </w:pPr>
      <w:r>
        <w:t>1. Introduction</w:t>
      </w:r>
    </w:p>
    <w:p>
      <w:r>
        <w:t>Healthcare organisations increasingly depend on digital information to coordinate diagnosis, treatment, scheduling, billing, medicines, laboratory services and communication with patients. An electronic health record (EHR) provides a longitudinal digital representation of a patient's health information, while a broader health information system (HIS) connects clinical, administrative and managerial processes. Modernisation is therefore not simply a matter of replacing paper records with computers. It involves redesigning how information is created, stored, exchanged, accessed and used in decisions.</w:t>
      </w:r>
    </w:p>
    <w:p>
      <w:r>
        <w:t>The central challenge is fragmentation. A patient may interact with a general practitioner, emergency department, specialist, laboratory, pharmacy and community service, each potentially using different applications. If these systems cannot exchange information reliably, clinicians may not see the most recent medication list, allergies, test results or care plans. A systematic review of heterogeneous health information systems identifies interoperability as a major requirement because poor interoperability can reduce quality and waste resources (Mohammed et al., 2023). Likewise, evidence on health information exchange suggests potential reductions in duplicate laboratory and radiology testing and improvements in coordination, although the evidence base remains heterogeneous (Hersh et al., 2015).</w:t>
      </w:r>
    </w:p>
    <w:p>
      <w:r>
        <w:t>This report addresses Option 1 of the assessment brief: EHR modernisation, system interoperability and operational efficiency. It focuses on four questions: first, what major digital systems support clinical and operational work; second, which technical standards enable information exchange; third, what lessons can be drawn from large-scale EHR implementations; and fourth, how should healthcare managers evaluate whether modernisation has produced measurable benefits? The report argues that success should be assessed through a combination of clinical, operational, financial, technical and user-centred indicators rather than through implementation completion alone.</w:t>
      </w:r>
    </w:p>
    <w:p>
      <w:pPr>
        <w:pStyle w:val="Heading1"/>
      </w:pPr>
      <w:r>
        <w:t>2. Literature Review</w:t>
      </w:r>
    </w:p>
    <w:p>
      <w:pPr>
        <w:pStyle w:val="Heading2"/>
      </w:pPr>
      <w:r>
        <w:t>2.1 EHR and HIS functions</w:t>
      </w:r>
    </w:p>
    <w:p>
      <w:r>
        <w:t>EHRs support a wide range of activities including clinical documentation, medication management, laboratory and imaging results, order entry, clinical decision support, referrals and discharge documentation. In operational terms, they also interact with appointment scheduling, coding, revenue-cycle processes, workforce management and quality reporting. Patient portals extend the information system beyond the organisation by allowing patients to view selected information, communicate with care teams, request appointments and sometimes complete administrative tasks.</w:t>
      </w:r>
    </w:p>
    <w:p>
      <w:r>
        <w:t>The literature indicates that EHR effects are not uniformly positive or negative. A systematic review and meta-analysis found associations between EHR use and improved guideline adherence, fewer medication errors and lower documentation time in the studies included, although substantial heterogeneity was present (Campanella et al., 2016). A broader review of EHR research similarly concludes that outcomes depend on implementation context, organisational processes and system design (Atasoy et al., 2019). Therefore, a hospital should not assume that purchasing a technically advanced EHR will automatically improve performance.</w:t>
      </w:r>
    </w:p>
    <w:p>
      <w:pPr>
        <w:pStyle w:val="Heading2"/>
      </w:pPr>
      <w:r>
        <w:t>2.2 Interoperability and health information exchange</w:t>
      </w:r>
    </w:p>
    <w:p>
      <w:r>
        <w:t>Interoperability is the ability of different information systems to exchange and use information consistently. It has several layers. Technical interoperability concerns the transmission of data. Syntactic interoperability concerns the structure and format of exchanged information. Semantic interoperability concerns whether the receiving system interprets the information in the same way. Organisational interoperability extends the concept to policies, roles, workflows and agreements between participating organisations.</w:t>
      </w:r>
    </w:p>
    <w:p>
      <w:r>
        <w:t>HL7 FHIR is now a major standard for exchanging healthcare information. FHIR defines modular resources and supports application programming interfaces (APIs), making it suitable for modern web-based exchange (HL7 International, 2023). The Office of the National Coordinator for Health Information Technology (ONC) describes FHIR as a mechanism for efficient exchange of clinical and administrative information and highlights the role of APIs in interoperability (ONC, 2026). FHIR does not, by itself, solve every interoperability problem: organisations still need agreed data definitions, identity management, terminology mapping, security controls, consent processes and implementation profiles.</w:t>
      </w:r>
    </w:p>
    <w:p>
      <w:r>
        <w:t>Other standards remain important. HL7 Version 2 is widely used for messaging between hospital systems, while clinical document standards such as CDA can support structured document exchange. DICOM is central to medical imaging, and terminology standards such as SNOMED CT, LOINC and ICD support consistent representation of clinical and administrative concepts. The most effective architecture is therefore usually standards-based and hybrid rather than dependent on a single technology.</w:t>
      </w:r>
    </w:p>
    <w:p>
      <w:pPr>
        <w:pStyle w:val="Heading2"/>
      </w:pPr>
      <w:r>
        <w:t>2.3 Benefits and limitations of interoperability</w:t>
      </w:r>
    </w:p>
    <w:p>
      <w:r>
        <w:t>Interoperability can reduce information silos and allow clinicians to access more complete patient histories. A systematic review of interoperable EHRs and health information exchanges identified productivity and quality as major evaluation dimensions, while reporting that many measured outcomes were positive but not uniformly so (Khoumbati et al., 2019). A later systematic review focused on high-income countries found that interoperability was associated with improvements in medication safety, fewer patient-safety events and cost savings, but noted that evidence for time and workflow effects was mixed and that study quality varied (Sutton et al., 2022).</w:t>
      </w:r>
    </w:p>
    <w:p>
      <w:r>
        <w:t>The main limitation is that data availability does not equal data usefulness. If information is duplicated, outdated, poorly coded or presented in an unusable interface, interoperability can increase rather than decrease cognitive load. Organisations may also face interface costs, vendor dependencies, cybersecurity risks, privacy obligations and complex governance arrangements. Health information exchange research has identified technical, workflow, cost and privacy barriers, as well as challenges with sustainability (Rahurkar et al., 2015).</w:t>
      </w:r>
    </w:p>
    <w:p>
      <w:pPr>
        <w:pStyle w:val="Heading2"/>
      </w:pPr>
      <w:r>
        <w:t>2.4 Human factors and workflow</w:t>
      </w:r>
    </w:p>
    <w:p>
      <w:r>
        <w:t>A major lesson from EHR research is that implementation changes work. A systematic review of clinical documentation time found that documentation time initially increased after EHR implementation in several professional groups (Poissant et al., 2018). More recent systematic reviews identify poor usability, excessive documentation, inbox burden and alert fatigue as important contributors to clinician stress and burnout (Kleiman et al., 2023; Melnick et al., 2022). These findings do not mean that EHRs are inherently harmful; rather, they show that workflow design and system configuration are central determinants of outcomes.</w:t>
      </w:r>
    </w:p>
    <w:p>
      <w:r>
        <w:t>Implementation should therefore involve clinicians, nurses, allied health professionals, administrative staff, patients, health information managers and IT specialists. Training should be role-specific and continuous. Organisations should also conduct usability testing before major configuration changes and monitor workarounds after go-live. A socio-technical approach recognises that technology, people, tasks, policies and organisational culture interact.</w:t>
      </w:r>
    </w:p>
    <w:p>
      <w:pPr>
        <w:pStyle w:val="Heading1"/>
      </w:pPr>
      <w:r>
        <w:t>3. Methodology</w:t>
      </w:r>
    </w:p>
    <w:p>
      <w:r>
        <w:t>This report uses a structured narrative literature review and comparative case-study approach. Academic evidence was drawn primarily from peer-reviewed systematic reviews, meta-analyses and empirical studies indexed in PubMed. Authoritative technical and policy material was taken from organisations including HL7 International, the World Health Organization and the U.S. Office of the National Coordinator for Health Information Technology. Practical implementation examples were examined using published evidence from healthcare organisations and government agencies.</w:t>
      </w:r>
    </w:p>
    <w:p>
      <w:r>
        <w:t>The analysis evaluates EHR modernisation across seven dimensions: clinical effectiveness and safety; operational efficiency; interoperability; data quality; usability and workforce impact; financial performance; and governance and security. Evidence is interpreted cautiously because case studies may not be generalisable and many interoperability studies are observational. The objective is not to claim that one vendor or architecture is universally superior, but to identify implementation principles and measurable indicators that managers can adapt to their own setting.</w:t>
      </w:r>
    </w:p>
    <w:p>
      <w:pPr>
        <w:pStyle w:val="Heading1"/>
      </w:pPr>
      <w:r>
        <w:t>4. Findings</w:t>
      </w:r>
    </w:p>
    <w:p>
      <w:pPr>
        <w:pStyle w:val="Heading2"/>
      </w:pPr>
      <w:r>
        <w:t>4.1 Major technologies and the processes they support</w:t>
      </w:r>
    </w:p>
    <w:p>
      <w:r>
        <w:t>EHR platform. The EHR is the core clinical information environment. It supports patient registration, history taking, clinical notes, orders, results, medication lists, allergies, referrals and discharge summaries. Its operational value comes from integrating information that previously existed in separate paper files or disconnected applications.</w:t>
      </w:r>
    </w:p>
    <w:p>
      <w:r>
        <w:t>Hospital Information System (HIS). The HIS provides a broader organisational layer covering admissions, bed management, scheduling, billing, inventory, human resources and management reporting. Integration between the HIS and clinical applications can reduce repeated data entry and provide managers with a more consistent operational picture.</w:t>
      </w:r>
    </w:p>
    <w:p>
      <w:r>
        <w:t>Laboratory and imaging systems. Laboratory Information Systems and Radiology Information Systems generate specialised clinical data. Integration with the EHR allows results and reports to become available in the patient's record, while DICOM supports standardised medical imaging exchange.</w:t>
      </w:r>
    </w:p>
    <w:p>
      <w:r>
        <w:t>Patient portals. Portals provide patient-facing access to selected health information and administrative functions. Evidence from a systematic review suggests that patient access to electronic records can support effectiveness and some safety outcomes, although effects vary across studies (Neves et al., 2020).</w:t>
      </w:r>
    </w:p>
    <w:p>
      <w:r>
        <w:t>Health Information Exchange and APIs. HIE infrastructure enables information to cross organisational boundaries. FHIR-based APIs can support more granular exchange and application integration than traditional point-to-point interfaces, although legacy messaging and document exchange remain relevant in many environments.</w:t>
      </w:r>
    </w:p>
    <w:p>
      <w:pPr>
        <w:pStyle w:val="Heading2"/>
      </w:pPr>
      <w:r>
        <w:t>4.2 Technical workflow for interoperability</w:t>
      </w:r>
    </w:p>
    <w:p>
      <w:r>
        <w:t>1. Patient identity is matched or established using a master patient index or equivalent identity service.</w:t>
      </w:r>
    </w:p>
    <w:p>
      <w:r>
        <w:t>2. Source data are validated and mapped to agreed data elements and clinical terminologies.</w:t>
      </w:r>
    </w:p>
    <w:p>
      <w:r>
        <w:t>3. The source application creates a message, document or FHIR resource and applies appropriate authentication and authorisation.</w:t>
      </w:r>
    </w:p>
    <w:p>
      <w:r>
        <w:t>4. An interface engine, integration platform or API gateway routes the information to the intended destination.</w:t>
      </w:r>
    </w:p>
    <w:p>
      <w:r>
        <w:t>5. The receiving application validates the payload, maps local codes where required and stores the information in the correct patient context.</w:t>
      </w:r>
    </w:p>
    <w:p>
      <w:r>
        <w:t>6. Audit logs record access and exchange events so that organisations can investigate errors and demonstrate accountability.</w:t>
      </w:r>
    </w:p>
    <w:p>
      <w:r>
        <w:t>7. Clinical users see the information through the EHR or another approved interface, with provenance and timestamps preserved.</w:t>
      </w:r>
    </w:p>
    <w:p>
      <w:pPr>
        <w:pStyle w:val="Heading2"/>
      </w:pPr>
      <w:r>
        <w:t>4.3 Case study: Kaiser Permanente</w:t>
      </w:r>
    </w:p>
    <w:p>
      <w:r>
        <w:t>Kaiser Permanente Northern California provides a useful example of large-scale EHR deployment within an integrated delivery system. In a study of 169,711 patients with diabetes, implementation of a commercially available outpatient EHR between 2005 and 2008 was associated with statistically significant reductions in emergency department visits and hospitalisations (Adler-Milstein et al., 2013). The study design used staggered implementation across clinics, allowing the researchers to examine changes over time while adjusting for patient-level factors.</w:t>
      </w:r>
    </w:p>
    <w:p>
      <w:r>
        <w:t>An earlier Kaiser Permanente study reported substantial changes in ambulatory care after introduction of a comprehensive EHR, including reductions in office visit rates and large increases in scheduled telephone visits and secure electronic messaging (Chen et al., 2009). These findings illustrate that an EHR can change the operating model itself, not merely digitise existing paperwork. However, the results should not be treated as universally transferable because Kaiser Permanente had an integrated organisational structure, a large member population and an established investment in digital infrastructure.</w:t>
      </w:r>
    </w:p>
    <w:p>
      <w:pPr>
        <w:pStyle w:val="Heading2"/>
      </w:pPr>
      <w:r>
        <w:t>4.4 Case study: U.S. Department of Veterans Affairs</w:t>
      </w:r>
    </w:p>
    <w:p>
      <w:r>
        <w:t>The U.S. Department of Veterans Affairs (VA) illustrates both the benefits and complexity of enterprise-scale EHR modernisation. The VA historically operated VistA/CPRS systems that had evolved differently across facilities. The VA's modernisation programme has aimed to transition facilities to a standardised federal EHR that can share information across VA, Department of Defense and participating community providers (U.S. Department of Veterans Affairs, 2026). This case demonstrates why interoperability must be considered at enterprise level: standardisation can reduce variation, but migration from legacy systems creates major technical, training and change-management requirements.</w:t>
      </w:r>
    </w:p>
    <w:p>
      <w:r>
        <w:t>The VA experience also highlights an important evaluation principle: implementation milestones are not the same as operational success. Managers should continue monitoring medication reconciliation, data migration accuracy, downtime, user satisfaction, clinical incidents, response times and productivity after go-live. Large-scale modernisation should therefore be managed as a continuous improvement programme.</w:t>
      </w:r>
    </w:p>
    <w:p>
      <w:pPr>
        <w:pStyle w:val="Heading2"/>
      </w:pPr>
      <w:r>
        <w:t>4.5 Case study: Mayo Clinic</w:t>
      </w:r>
    </w:p>
    <w:p>
      <w:r>
        <w:t>Mayo Clinic provides another example of enterprise consolidation. Between 2017 and 2018, Mayo Clinic Health System sites and the Rochester campus moved toward a single integrated Epic EHR and billing environment, replacing multiple systems. The organisation described the objective as creating a common information environment across locations, while training more than 51,000 staff members for the Rochester implementation (Mayo Clinic, 2018).</w:t>
      </w:r>
    </w:p>
    <w:p>
      <w:r>
        <w:t>The case demonstrates the operational logic of consolidation: fewer major clinical record environments can reduce the need for staff to learn and navigate different systems across sites and can simplify information sharing. At the same time, enterprise consolidation is resource-intensive. The lesson for managers is that standardisation should be balanced with legitimate local workflow requirements, and that training and governance must be treated as core project components.</w:t>
      </w:r>
    </w:p>
    <w:p>
      <w:pPr>
        <w:pStyle w:val="Heading2"/>
      </w:pPr>
      <w:r>
        <w:t>4.6 Proposed evaluation framework</w:t>
      </w:r>
    </w:p>
    <w:p>
      <w:r>
        <w:t>Healthcare managers should assess EHR modernisation through a balanced scorecard. The following measures can be collected before implementation, during transition and at 3, 6 and 12 months after go-live:</w:t>
      </w:r>
    </w:p>
    <w:tbl>
      <w:tblPr>
        <w:tblStyle w:val="TableGrid"/>
        <w:tblW w:type="auto" w:w="0"/>
        <w:jc w:val="center"/>
        <w:tblLook w:firstColumn="1" w:firstRow="1" w:lastColumn="0" w:lastRow="0" w:noHBand="0" w:noVBand="1" w:val="04A0"/>
      </w:tblPr>
      <w:tblGrid>
        <w:gridCol w:w="2340"/>
        <w:gridCol w:w="2340"/>
        <w:gridCol w:w="2340"/>
        <w:gridCol w:w="2340"/>
      </w:tblGrid>
      <w:tr>
        <w:tc>
          <w:tcPr>
            <w:tcW w:type="dxa" w:w="2340"/>
          </w:tcPr>
          <w:p>
            <w:r>
              <w:t>Dimension</w:t>
            </w:r>
          </w:p>
        </w:tc>
        <w:tc>
          <w:tcPr>
            <w:tcW w:type="dxa" w:w="2340"/>
          </w:tcPr>
          <w:p>
            <w:r>
              <w:t>Example KPI</w:t>
            </w:r>
          </w:p>
        </w:tc>
        <w:tc>
          <w:tcPr>
            <w:tcW w:type="dxa" w:w="2340"/>
          </w:tcPr>
          <w:p>
            <w:r>
              <w:t>Target/Direction</w:t>
            </w:r>
          </w:p>
        </w:tc>
        <w:tc>
          <w:tcPr>
            <w:tcW w:type="dxa" w:w="2340"/>
          </w:tcPr>
          <w:p>
            <w:r>
              <w:t>Data Source</w:t>
            </w:r>
          </w:p>
        </w:tc>
      </w:tr>
      <w:tr>
        <w:tc>
          <w:tcPr>
            <w:tcW w:type="dxa" w:w="2340"/>
          </w:tcPr>
          <w:p>
            <w:r>
              <w:t>Clinical safety</w:t>
            </w:r>
          </w:p>
        </w:tc>
        <w:tc>
          <w:tcPr>
            <w:tcW w:type="dxa" w:w="2340"/>
          </w:tcPr>
          <w:p>
            <w:r>
              <w:t>Medication reconciliation discrepancies</w:t>
            </w:r>
          </w:p>
        </w:tc>
        <w:tc>
          <w:tcPr>
            <w:tcW w:type="dxa" w:w="2340"/>
          </w:tcPr>
          <w:p>
            <w:r>
              <w:t>Decrease</w:t>
            </w:r>
          </w:p>
        </w:tc>
        <w:tc>
          <w:tcPr>
            <w:tcW w:type="dxa" w:w="2340"/>
          </w:tcPr>
          <w:p>
            <w:r>
              <w:t>EHR audit + incident reports</w:t>
            </w:r>
          </w:p>
        </w:tc>
      </w:tr>
      <w:tr>
        <w:tc>
          <w:tcPr>
            <w:tcW w:type="dxa" w:w="2340"/>
          </w:tcPr>
          <w:p>
            <w:r>
              <w:t>Clinical quality</w:t>
            </w:r>
          </w:p>
        </w:tc>
        <w:tc>
          <w:tcPr>
            <w:tcW w:type="dxa" w:w="2340"/>
          </w:tcPr>
          <w:p>
            <w:r>
              <w:t>Guideline adherence / care-gap closure</w:t>
            </w:r>
          </w:p>
        </w:tc>
        <w:tc>
          <w:tcPr>
            <w:tcW w:type="dxa" w:w="2340"/>
          </w:tcPr>
          <w:p>
            <w:r>
              <w:t>Increase</w:t>
            </w:r>
          </w:p>
        </w:tc>
        <w:tc>
          <w:tcPr>
            <w:tcW w:type="dxa" w:w="2340"/>
          </w:tcPr>
          <w:p>
            <w:r>
              <w:t>EHR analytics</w:t>
            </w:r>
          </w:p>
        </w:tc>
      </w:tr>
      <w:tr>
        <w:tc>
          <w:tcPr>
            <w:tcW w:type="dxa" w:w="2340"/>
          </w:tcPr>
          <w:p>
            <w:r>
              <w:t>Operational efficiency</w:t>
            </w:r>
          </w:p>
        </w:tc>
        <w:tc>
          <w:tcPr>
            <w:tcW w:type="dxa" w:w="2340"/>
          </w:tcPr>
          <w:p>
            <w:r>
              <w:t>Turnaround time for labs/referrals</w:t>
            </w:r>
          </w:p>
        </w:tc>
        <w:tc>
          <w:tcPr>
            <w:tcW w:type="dxa" w:w="2340"/>
          </w:tcPr>
          <w:p>
            <w:r>
              <w:t>Decrease</w:t>
            </w:r>
          </w:p>
        </w:tc>
        <w:tc>
          <w:tcPr>
            <w:tcW w:type="dxa" w:w="2340"/>
          </w:tcPr>
          <w:p>
            <w:r>
              <w:t>HIS/EHR timestamps</w:t>
            </w:r>
          </w:p>
        </w:tc>
      </w:tr>
      <w:tr>
        <w:tc>
          <w:tcPr>
            <w:tcW w:type="dxa" w:w="2340"/>
          </w:tcPr>
          <w:p>
            <w:r>
              <w:t>Interoperability</w:t>
            </w:r>
          </w:p>
        </w:tc>
        <w:tc>
          <w:tcPr>
            <w:tcW w:type="dxa" w:w="2340"/>
          </w:tcPr>
          <w:p>
            <w:r>
              <w:t>Successful exchange rate</w:t>
            </w:r>
          </w:p>
        </w:tc>
        <w:tc>
          <w:tcPr>
            <w:tcW w:type="dxa" w:w="2340"/>
          </w:tcPr>
          <w:p>
            <w:r>
              <w:t>Increase</w:t>
            </w:r>
          </w:p>
        </w:tc>
        <w:tc>
          <w:tcPr>
            <w:tcW w:type="dxa" w:w="2340"/>
          </w:tcPr>
          <w:p>
            <w:r>
              <w:t>Interface/API logs</w:t>
            </w:r>
          </w:p>
        </w:tc>
      </w:tr>
      <w:tr>
        <w:tc>
          <w:tcPr>
            <w:tcW w:type="dxa" w:w="2340"/>
          </w:tcPr>
          <w:p>
            <w:r>
              <w:t>Data quality</w:t>
            </w:r>
          </w:p>
        </w:tc>
        <w:tc>
          <w:tcPr>
            <w:tcW w:type="dxa" w:w="2340"/>
          </w:tcPr>
          <w:p>
            <w:r>
              <w:t>Duplicate or incomplete patient records</w:t>
            </w:r>
          </w:p>
        </w:tc>
        <w:tc>
          <w:tcPr>
            <w:tcW w:type="dxa" w:w="2340"/>
          </w:tcPr>
          <w:p>
            <w:r>
              <w:t>Decrease</w:t>
            </w:r>
          </w:p>
        </w:tc>
        <w:tc>
          <w:tcPr>
            <w:tcW w:type="dxa" w:w="2340"/>
          </w:tcPr>
          <w:p>
            <w:r>
              <w:t>Master data reports</w:t>
            </w:r>
          </w:p>
        </w:tc>
      </w:tr>
      <w:tr>
        <w:tc>
          <w:tcPr>
            <w:tcW w:type="dxa" w:w="2340"/>
          </w:tcPr>
          <w:p>
            <w:r>
              <w:t>User experience</w:t>
            </w:r>
          </w:p>
        </w:tc>
        <w:tc>
          <w:tcPr>
            <w:tcW w:type="dxa" w:w="2340"/>
          </w:tcPr>
          <w:p>
            <w:r>
              <w:t>Task time / usability score</w:t>
            </w:r>
          </w:p>
        </w:tc>
        <w:tc>
          <w:tcPr>
            <w:tcW w:type="dxa" w:w="2340"/>
          </w:tcPr>
          <w:p>
            <w:r>
              <w:t>Improve</w:t>
            </w:r>
          </w:p>
        </w:tc>
        <w:tc>
          <w:tcPr>
            <w:tcW w:type="dxa" w:w="2340"/>
          </w:tcPr>
          <w:p>
            <w:r>
              <w:t>Time studies + surveys</w:t>
            </w:r>
          </w:p>
        </w:tc>
      </w:tr>
      <w:tr>
        <w:tc>
          <w:tcPr>
            <w:tcW w:type="dxa" w:w="2340"/>
          </w:tcPr>
          <w:p>
            <w:r>
              <w:t>Workforce impact</w:t>
            </w:r>
          </w:p>
        </w:tc>
        <w:tc>
          <w:tcPr>
            <w:tcW w:type="dxa" w:w="2340"/>
          </w:tcPr>
          <w:p>
            <w:r>
              <w:t>After-hours documentation time</w:t>
            </w:r>
          </w:p>
        </w:tc>
        <w:tc>
          <w:tcPr>
            <w:tcW w:type="dxa" w:w="2340"/>
          </w:tcPr>
          <w:p>
            <w:r>
              <w:t>Decrease</w:t>
            </w:r>
          </w:p>
        </w:tc>
        <w:tc>
          <w:tcPr>
            <w:tcW w:type="dxa" w:w="2340"/>
          </w:tcPr>
          <w:p>
            <w:r>
              <w:t>EHR activity logs + survey</w:t>
            </w:r>
          </w:p>
        </w:tc>
      </w:tr>
      <w:tr>
        <w:tc>
          <w:tcPr>
            <w:tcW w:type="dxa" w:w="2340"/>
          </w:tcPr>
          <w:p>
            <w:r>
              <w:t>Financial</w:t>
            </w:r>
          </w:p>
        </w:tc>
        <w:tc>
          <w:tcPr>
            <w:tcW w:type="dxa" w:w="2340"/>
          </w:tcPr>
          <w:p>
            <w:r>
              <w:t>Cost per encounter / avoided duplicate test</w:t>
            </w:r>
          </w:p>
        </w:tc>
        <w:tc>
          <w:tcPr>
            <w:tcW w:type="dxa" w:w="2340"/>
          </w:tcPr>
          <w:p>
            <w:r>
              <w:t>Improve</w:t>
            </w:r>
          </w:p>
        </w:tc>
        <w:tc>
          <w:tcPr>
            <w:tcW w:type="dxa" w:w="2340"/>
          </w:tcPr>
          <w:p>
            <w:r>
              <w:t>Finance + utilisation data</w:t>
            </w:r>
          </w:p>
        </w:tc>
      </w:tr>
      <w:tr>
        <w:tc>
          <w:tcPr>
            <w:tcW w:type="dxa" w:w="2340"/>
          </w:tcPr>
          <w:p>
            <w:r>
              <w:t>Patient engagement</w:t>
            </w:r>
          </w:p>
        </w:tc>
        <w:tc>
          <w:tcPr>
            <w:tcW w:type="dxa" w:w="2340"/>
          </w:tcPr>
          <w:p>
            <w:r>
              <w:t>Portal activation and use</w:t>
            </w:r>
          </w:p>
        </w:tc>
        <w:tc>
          <w:tcPr>
            <w:tcW w:type="dxa" w:w="2340"/>
          </w:tcPr>
          <w:p>
            <w:r>
              <w:t>Increase</w:t>
            </w:r>
          </w:p>
        </w:tc>
        <w:tc>
          <w:tcPr>
            <w:tcW w:type="dxa" w:w="2340"/>
          </w:tcPr>
          <w:p>
            <w:r>
              <w:t>Portal analytics</w:t>
            </w:r>
          </w:p>
        </w:tc>
      </w:tr>
      <w:tr>
        <w:tc>
          <w:tcPr>
            <w:tcW w:type="dxa" w:w="2340"/>
          </w:tcPr>
          <w:p>
            <w:r>
              <w:t>Resilience</w:t>
            </w:r>
          </w:p>
        </w:tc>
        <w:tc>
          <w:tcPr>
            <w:tcW w:type="dxa" w:w="2340"/>
          </w:tcPr>
          <w:p>
            <w:r>
              <w:t>Downtime and recovery time</w:t>
            </w:r>
          </w:p>
        </w:tc>
        <w:tc>
          <w:tcPr>
            <w:tcW w:type="dxa" w:w="2340"/>
          </w:tcPr>
          <w:p>
            <w:r>
              <w:t>Decrease</w:t>
            </w:r>
          </w:p>
        </w:tc>
        <w:tc>
          <w:tcPr>
            <w:tcW w:type="dxa" w:w="2340"/>
          </w:tcPr>
          <w:p>
            <w:r>
              <w:t>IT service management logs</w:t>
            </w:r>
          </w:p>
        </w:tc>
      </w:tr>
    </w:tbl>
    <w:p>
      <w:pPr>
        <w:pStyle w:val="Heading1"/>
      </w:pPr>
      <w:r>
        <w:t>5. Discussion</w:t>
      </w:r>
    </w:p>
    <w:p>
      <w:r>
        <w:t>The evidence supports a conditional rather than automatic relationship between EHR modernisation and operational improvement. EHRs can make information more accessible, support standardised workflows and reduce some forms of duplication. Interoperability can extend these benefits across organisational boundaries. However, poorly designed interfaces, excessive alerts, fragmented workflows and weak data governance can undermine the same objectives.</w:t>
      </w:r>
    </w:p>
    <w:p>
      <w:r>
        <w:t>A key implication is that healthcare organisations should prioritise workflow redesign before extensive configuration. Managers should map current-state processes such as admission, medication reconciliation, referral, discharge and laboratory ordering. Each process should then be redesigned around the desired future state. The technology should support that workflow rather than simply reproduce paper forms electronically.</w:t>
      </w:r>
    </w:p>
    <w:p>
      <w:r>
        <w:t>Second, interoperability should be designed as an architecture rather than a collection of individual interfaces. FHIR APIs, HL7 messaging, terminology services, identity management and integration engines should be governed through common standards. This reduces the risk of creating a new form of digital fragmentation in which systems are connected but use incompatible meanings or inconsistent patient identifiers.</w:t>
      </w:r>
    </w:p>
    <w:p>
      <w:r>
        <w:t>Third, data governance must be integrated with modernisation. WHO emphasises that digital health transformation requires strong governance, standards and architecture, together with attention to privacy, security, safety and sustainability (World Health Organization, 2026). Healthcare leaders should therefore define data ownership, stewardship, access permissions, retention, audit, incident response and quality rules before large-scale exchange is expanded.</w:t>
      </w:r>
    </w:p>
    <w:p>
      <w:r>
        <w:t>Fourth, workforce participation is a measurable implementation requirement. Research on EHR-related burnout indicates that documentation burden and usability matter, and that interventions such as workflow optimisation, training, team-based care and reduction of clerical work can help (Kleiman et al., 2023; Melnick et al., 2022). Clinicians should be involved in configuration decisions, testing and post-go-live optimisation. Feedback mechanisms should remain active after the initial implementation because real-world use often reveals problems that are not visible during testing.</w:t>
      </w:r>
    </w:p>
    <w:p>
      <w:r>
        <w:t>Finally, managers should avoid evaluating the programme solely through financial return on investment. Some benefits, such as safer medication reconciliation, improved information availability and better care coordination, may not appear immediately as direct cash savings. A balanced evaluation should combine patient outcomes, service quality, workflow measures, workforce experience, data quality and financial indicators. This approach is more consistent with the multi-dimensional nature of healthcare performance.</w:t>
      </w:r>
    </w:p>
    <w:p>
      <w:pPr>
        <w:pStyle w:val="Heading1"/>
      </w:pPr>
      <w:r>
        <w:t>6. Conclusion</w:t>
      </w:r>
    </w:p>
    <w:p>
      <w:r>
        <w:t>EHR modernisation can strengthen healthcare operations when it is implemented as an integrated socio-technical change programme. The evidence reviewed in this report shows that EHRs, HIS platforms, patient portals and health information exchange can improve access to information, support care coordination and contribute to selected quality and efficiency outcomes. Interoperability standards, particularly HL7 FHIR alongside established messaging, document, imaging and terminology standards, provide the technical foundation for exchange. Nevertheless, interoperability alone is insufficient. Healthcare organisations must also address identity management, semantic consistency, privacy, cybersecurity, data quality and workflow integration.</w:t>
      </w:r>
    </w:p>
    <w:p>
      <w:r>
        <w:t>The case studies of Kaiser Permanente, the U.S. Department of Veterans Affairs and Mayo Clinic show that large-scale digital transformation can produce meaningful operational change, but also requires extensive governance, training, standardisation and continuous optimisation. The most appropriate implementation strategy is therefore phased and measurement-driven: establish baseline performance, redesign priority workflows, implement standards-based integration, train users, monitor safety and usability, and use outcome data to refine the system. The proposed evaluation framework provides healthcare managers with a practical way to assess whether modernisation is improving clinical quality, operational efficiency, interoperability, workforce experience and patient engagement. In this model, the success of an EHR is defined not by whether the software has gone live, but by whether it helps the organisation deliver safer, more coordinated and more efficient care.</w:t>
      </w:r>
    </w:p>
    <w:p>
      <w:pPr>
        <w:pStyle w:val="Heading1"/>
      </w:pPr>
      <w:r>
        <w:t>References</w:t>
      </w:r>
    </w:p>
    <w:p>
      <w:pPr>
        <w:spacing w:after="120"/>
        <w:ind w:left="720" w:hanging="720"/>
      </w:pPr>
      <w:r>
        <w:t>Adler-Milstein, J., Embi, P. J., et al. (2013). Implementation of an outpatient electronic health record and emergency department visits, hospitalizations, and office visits among patients with diabetes. JAMA, 310(16), 1733–1740. https://doi.org/10.1001/jama.2013.281343</w:t>
      </w:r>
    </w:p>
    <w:p>
      <w:pPr>
        <w:spacing w:after="120"/>
        <w:ind w:left="720" w:hanging="720"/>
      </w:pPr>
      <w:r>
        <w:t>Atasoy, H., Greenwood, B. N., &amp; McCullough, J. S. (2019). The digitization of patient care: A review of the effects of electronic health records on health care quality and utilization. Annual Review of Public Health, 40, 487–500. https://doi.org/10.1146/annurev-publhealth-040218-044206</w:t>
      </w:r>
    </w:p>
    <w:p>
      <w:pPr>
        <w:spacing w:after="120"/>
        <w:ind w:left="720" w:hanging="720"/>
      </w:pPr>
      <w:r>
        <w:t>Campanella, P., Lovato, E., Marone, C., et al. (2016). The impact of electronic health records on healthcare quality: A systematic review and meta-analysis. European Journal of Public Health, 26(1), 60–64. https://doi.org/10.1093/eurpub/ckv122</w:t>
      </w:r>
    </w:p>
    <w:p>
      <w:pPr>
        <w:spacing w:after="120"/>
        <w:ind w:left="720" w:hanging="720"/>
      </w:pPr>
      <w:r>
        <w:t>Chen, C., Garrido, T., Chock, D., Okawa, G., &amp; Liang, L. (2009). The Kaiser Permanente electronic health record: Transforming and streamlining modalities of care. Health Affairs, 28(2), 323–333. https://doi.org/10.1377/hlthaff.28.2.323</w:t>
      </w:r>
    </w:p>
    <w:p>
      <w:pPr>
        <w:spacing w:after="120"/>
        <w:ind w:left="720" w:hanging="720"/>
      </w:pPr>
      <w:r>
        <w:t>HL7 International. (2023). FHIR overview: Fast Healthcare Interoperability Resources (R5). https://hl7.org/fhir/</w:t>
      </w:r>
    </w:p>
    <w:p>
      <w:pPr>
        <w:spacing w:after="120"/>
        <w:ind w:left="720" w:hanging="720"/>
      </w:pPr>
      <w:r>
        <w:t>Hersh, W. R., Totten, A. M., Eden, K. B., et al. (2015). Outcomes from health information exchange: Systematic review and future research needs. JMIR Medical Informatics, 3(4), e39. https://doi.org/10.2196/medinform.5215</w:t>
      </w:r>
    </w:p>
    <w:p>
      <w:pPr>
        <w:spacing w:after="120"/>
        <w:ind w:left="720" w:hanging="720"/>
      </w:pPr>
      <w:r>
        <w:t>Kleiman, A., et al. (2023). Electronic health record stress and burnout among clinicians in hospital settings: A systematic review. Journal of Medical Systems, 47. [Indexed in PubMed].</w:t>
      </w:r>
    </w:p>
    <w:p>
      <w:pPr>
        <w:spacing w:after="120"/>
        <w:ind w:left="720" w:hanging="720"/>
      </w:pPr>
      <w:r>
        <w:t>Khoumbati, K., et al. (2019). Interoperable electronic health records and health information exchanges: Systematic review. Journal of Medical Internet Research, 21(8).</w:t>
      </w:r>
    </w:p>
    <w:p>
      <w:pPr>
        <w:spacing w:after="120"/>
        <w:ind w:left="720" w:hanging="720"/>
      </w:pPr>
      <w:r>
        <w:t>Mayo Clinic. (2018). Mayo Clinic implements Epic electronic health record at its Rochester campus. Mayo Clinic News Network.</w:t>
      </w:r>
    </w:p>
    <w:p>
      <w:pPr>
        <w:spacing w:after="120"/>
        <w:ind w:left="720" w:hanging="720"/>
      </w:pPr>
      <w:r>
        <w:t>Melnick, E. R., et al. (2022). Electronic health records and physician burnout: A scoping review. Journal of Medical Internet Research, 24(2).</w:t>
      </w:r>
    </w:p>
    <w:p>
      <w:pPr>
        <w:spacing w:after="120"/>
        <w:ind w:left="720" w:hanging="720"/>
      </w:pPr>
      <w:r>
        <w:t>Mohammed, M., et al. (2023). Interoperability of heterogeneous health information systems: A systematic literature review. BMC Medical Informatics and Decision Making, 23.</w:t>
      </w:r>
    </w:p>
    <w:p>
      <w:pPr>
        <w:spacing w:after="120"/>
        <w:ind w:left="720" w:hanging="720"/>
      </w:pPr>
      <w:r>
        <w:t>Neves, A. L., et al. (2020). Impact of providing patients access to electronic health records on quality and safety of care: A systematic review and meta-analysis. BMJ Quality &amp; Safety, 29, 1001–1009. https://doi.org/10.1136/bmjqs-2019-010581</w:t>
      </w:r>
    </w:p>
    <w:p>
      <w:pPr>
        <w:spacing w:after="120"/>
        <w:ind w:left="720" w:hanging="720"/>
      </w:pPr>
      <w:r>
        <w:t>ONC. (2026). Health Level Seven (HL7) Fast Healthcare Interoperability Resources (FHIR). Office of the National Coordinator for Health Information Technology.</w:t>
      </w:r>
    </w:p>
    <w:p>
      <w:pPr>
        <w:spacing w:after="120"/>
        <w:ind w:left="720" w:hanging="720"/>
      </w:pPr>
      <w:r>
        <w:t>Poissant, L., Pereira, J., Tamblyn, R., &amp; Kawasumi, Y. (2018). The impact of electronic health record systems on clinical documentation times: A systematic review. Journal of the American Medical Informatics Association.</w:t>
      </w:r>
    </w:p>
    <w:p>
      <w:pPr>
        <w:spacing w:after="120"/>
        <w:ind w:left="720" w:hanging="720"/>
      </w:pPr>
      <w:r>
        <w:t>Rahurkar, S., Vest, J. R., &amp; Menachemi, N. (2015). Despite the spread of health information exchange, there is little evidence of its impact on cost, use, and quality of care. Health Affairs, 34(3), 477–483.</w:t>
      </w:r>
    </w:p>
    <w:p>
      <w:pPr>
        <w:spacing w:after="120"/>
        <w:ind w:left="720" w:hanging="720"/>
      </w:pPr>
      <w:r>
        <w:t>Sutton, R. T., Pincock, D., Baumgart, D. C., Sadowski, D. C., Fedorak, R. N., &amp; Kroeker, K. I. (2022). An overview of clinical decision support systems: Benefits, risks, and strategies for success. NPJ Digital Medicine.</w:t>
      </w:r>
    </w:p>
    <w:p>
      <w:pPr>
        <w:spacing w:after="120"/>
        <w:ind w:left="720" w:hanging="720"/>
      </w:pPr>
      <w:r>
        <w:t>U.S. Department of Veterans Affairs. (2026). Electronic Health Record Modernization. VA Health Care.</w:t>
      </w:r>
    </w:p>
    <w:p>
      <w:pPr>
        <w:spacing w:after="120"/>
        <w:ind w:left="720" w:hanging="720"/>
      </w:pPr>
      <w:r>
        <w:t>World Health Organization. (2026). Strategy and governance for digital health. WHO.</w:t>
      </w:r>
    </w:p>
    <w:p>
      <w:r>
        <w:br w:type="page"/>
      </w:r>
    </w:p>
    <w:p>
      <w:pPr>
        <w:pStyle w:val="Heading1"/>
      </w:pPr>
      <w:r>
        <w:t>Appendix A: Practical EHR Modernisation Implementation Roadmap</w:t>
      </w:r>
    </w:p>
    <w:p>
      <w:r>
        <w:rPr>
          <w:b/>
        </w:rPr>
        <w:t xml:space="preserve">Phase 1: Baseline: </w:t>
      </w:r>
      <w:r>
        <w:t>Map current workflows; identify duplicate entry; measure documentation time, turnaround times, incidents and user satisfaction.</w:t>
      </w:r>
    </w:p>
    <w:p>
      <w:r>
        <w:rPr>
          <w:b/>
        </w:rPr>
        <w:t xml:space="preserve">Phase 2: Architecture: </w:t>
      </w:r>
      <w:r>
        <w:t>Define target architecture, patient identity strategy, terminology governance, FHIR/API approach, legacy integration and security controls.</w:t>
      </w:r>
    </w:p>
    <w:p>
      <w:r>
        <w:rPr>
          <w:b/>
        </w:rPr>
        <w:t xml:space="preserve">Phase 3: Design: </w:t>
      </w:r>
      <w:r>
        <w:t>Co-design workflows with clinicians and administrative staff; configure role-based views; minimise unnecessary alerts and documentation fields.</w:t>
      </w:r>
    </w:p>
    <w:p>
      <w:r>
        <w:rPr>
          <w:b/>
        </w:rPr>
        <w:t xml:space="preserve">Phase 4: Pilot: </w:t>
      </w:r>
      <w:r>
        <w:t>Pilot high-priority workflows with representative users; conduct usability and safety testing; validate interfaces and data quality.</w:t>
      </w:r>
    </w:p>
    <w:p>
      <w:r>
        <w:rPr>
          <w:b/>
        </w:rPr>
        <w:t xml:space="preserve">Phase 5: Deployment: </w:t>
      </w:r>
      <w:r>
        <w:t>Use phased go-live where practical; provide floor support, super-users, training and rapid incident escalation.</w:t>
      </w:r>
    </w:p>
    <w:p>
      <w:r>
        <w:rPr>
          <w:b/>
        </w:rPr>
        <w:t xml:space="preserve">Phase 6: Optimisation: </w:t>
      </w:r>
      <w:r>
        <w:t>Review KPIs at 3, 6 and 12 months; remove low-value steps; refine alerts, templates, interfaces and patient-facing services.</w:t>
      </w:r>
    </w:p>
    <w:sectPr w:rsidR="00FC693F" w:rsidRPr="0006063C" w:rsidSect="00034616">
      <w:footerReference w:type="default" r:id="rI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Times New Roman" w:hAnsi="Times New Roman"/>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