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800"/>
        <w:jc w:val="center"/>
      </w:pPr>
      <w:r>
        <w:rPr>
          <w:rFonts w:ascii="Times New Roman" w:hAnsi="Times New Roman"/>
          <w:b/>
          <w:color w:val="203864"/>
          <w:sz w:val="28"/>
        </w:rPr>
        <w:t>Business Administration Fundamentals</w:t>
      </w:r>
    </w:p>
    <w:p>
      <w:pPr>
        <w:spacing w:before="480" w:after="320"/>
        <w:jc w:val="center"/>
      </w:pPr>
      <w:r>
        <w:rPr>
          <w:rFonts w:ascii="Times New Roman" w:hAnsi="Times New Roman"/>
          <w:b/>
          <w:color w:val="1F1F1F"/>
          <w:sz w:val="40"/>
        </w:rPr>
        <w:t>Beyond the Hierarchy: AI, Algorithmic Coordination and the Redesign of Organisational Authority</w:t>
      </w:r>
    </w:p>
    <w:p>
      <w:pPr>
        <w:jc w:val="center"/>
      </w:pPr>
      <w:r>
        <w:rPr>
          <w:rFonts w:ascii="Times New Roman" w:hAnsi="Times New Roman"/>
          <w:i/>
          <w:color w:val="203864"/>
          <w:sz w:val="24"/>
        </w:rPr>
        <w:t>Option 2: Organisational Structure, Decision-Making and the Rise of AI</w:t>
      </w:r>
    </w:p>
    <w:p/>
    <w:p/>
    <w:p/>
    <w:p>
      <w:pPr>
        <w:spacing w:after="180"/>
        <w:jc w:val="center"/>
      </w:pPr>
      <w:r>
        <w:rPr>
          <w:rFonts w:ascii="Times New Roman" w:hAnsi="Times New Roman"/>
          <w:b w:val="0"/>
          <w:sz w:val="24"/>
        </w:rPr>
        <w:t>Student Name: ______________________________</w:t>
      </w:r>
    </w:p>
    <w:p>
      <w:pPr>
        <w:spacing w:after="180"/>
        <w:jc w:val="center"/>
      </w:pPr>
      <w:r>
        <w:rPr>
          <w:rFonts w:ascii="Times New Roman" w:hAnsi="Times New Roman"/>
          <w:b w:val="0"/>
          <w:sz w:val="24"/>
        </w:rPr>
        <w:t>Student ID: ________________________________</w:t>
      </w:r>
    </w:p>
    <w:p>
      <w:r>
        <w:br w:type="page"/>
      </w:r>
    </w:p>
    <w:p>
      <w:pPr>
        <w:pStyle w:val="TOCHeading"/>
        <w:spacing w:after="240"/>
        <w:jc w:val="center"/>
      </w:pPr>
      <w:r>
        <w:rPr>
          <w:rFonts w:ascii="Times New Roman" w:hAnsi="Times New Roman" w:eastAsia="Times New Roman"/>
          <w:b/>
          <w:color w:val="203864"/>
          <w:sz w:val="28"/>
        </w:rPr>
        <w:t>Table of Contents</w:t>
      </w:r>
    </w:p>
    <w:p>
      <w:pPr>
        <w:pStyle w:val="TOC1"/>
      </w:pPr>
      <w:r>
        <w:rPr>
          <w:rFonts w:ascii="Times New Roman" w:hAnsi="Times New Roman" w:eastAsia="Times New Roman"/>
          <w:b w:val="0"/>
          <w:sz w:val="24"/>
        </w:rPr>
        <w:fldChar w:fldCharType="begin" w:dirty="true"/>
        <w:instrText xml:space="preserve"> TOC \o "1-1" \h \z \u </w:instrText>
      </w:r>
      <w:r>
        <w:rPr>
          <w:rFonts w:ascii="Times New Roman" w:hAnsi="Times New Roman" w:eastAsia="Times New Roman"/>
          <w:b w:val="0"/>
          <w:sz w:val="24"/>
        </w:rPr>
        <w:fldChar w:fldCharType="separate"/>
      </w:r>
      <w:r>
        <w:rPr>
          <w:rFonts w:ascii="Times New Roman" w:hAnsi="Times New Roman" w:eastAsia="Times New Roman"/>
          <w:b w:val="0"/>
          <w:sz w:val="24"/>
        </w:rPr>
        <w:t>Abstract</w:t>
      </w:r>
      <w:r>
        <w:rPr>
          <w:rFonts w:ascii="Times New Roman" w:hAnsi="Times New Roman" w:eastAsia="Times New Roman"/>
          <w:b w:val="0"/>
          <w:sz w:val="24"/>
        </w:rPr>
        <w:tab/>
      </w:r>
      <w:r>
        <w:rPr>
          <w:rFonts w:ascii="Times New Roman" w:hAnsi="Times New Roman" w:eastAsia="Times New Roman"/>
          <w:b w:val="0"/>
          <w:sz w:val="24"/>
        </w:rPr>
        <w:t>3</w:t>
      </w:r>
    </w:p>
    <w:p>
      <w:pPr>
        <w:pStyle w:val="TOC1"/>
      </w:pPr>
      <w:r>
        <w:rPr>
          <w:rFonts w:ascii="Times New Roman" w:hAnsi="Times New Roman" w:eastAsia="Times New Roman"/>
          <w:b w:val="0"/>
          <w:sz w:val="24"/>
        </w:rPr>
        <w:t>Introduction</w:t>
      </w:r>
      <w:r>
        <w:rPr>
          <w:rFonts w:ascii="Times New Roman" w:hAnsi="Times New Roman" w:eastAsia="Times New Roman"/>
          <w:b w:val="0"/>
          <w:sz w:val="24"/>
        </w:rPr>
        <w:tab/>
      </w:r>
      <w:r>
        <w:rPr>
          <w:rFonts w:ascii="Times New Roman" w:hAnsi="Times New Roman" w:eastAsia="Times New Roman"/>
          <w:b w:val="0"/>
          <w:sz w:val="24"/>
        </w:rPr>
        <w:t>3</w:t>
      </w:r>
    </w:p>
    <w:p>
      <w:pPr>
        <w:pStyle w:val="TOC1"/>
      </w:pPr>
      <w:r>
        <w:rPr>
          <w:rFonts w:ascii="Times New Roman" w:hAnsi="Times New Roman" w:eastAsia="Times New Roman"/>
          <w:b w:val="0"/>
          <w:sz w:val="24"/>
        </w:rPr>
        <w:t>Literature Review</w:t>
      </w:r>
      <w:r>
        <w:rPr>
          <w:rFonts w:ascii="Times New Roman" w:hAnsi="Times New Roman" w:eastAsia="Times New Roman"/>
          <w:b w:val="0"/>
          <w:sz w:val="24"/>
        </w:rPr>
        <w:tab/>
      </w:r>
      <w:r>
        <w:rPr>
          <w:rFonts w:ascii="Times New Roman" w:hAnsi="Times New Roman" w:eastAsia="Times New Roman"/>
          <w:b w:val="0"/>
          <w:sz w:val="24"/>
        </w:rPr>
        <w:t>4</w:t>
      </w:r>
    </w:p>
    <w:p>
      <w:pPr>
        <w:pStyle w:val="TOC1"/>
      </w:pPr>
      <w:r>
        <w:rPr>
          <w:rFonts w:ascii="Times New Roman" w:hAnsi="Times New Roman" w:eastAsia="Times New Roman"/>
          <w:b w:val="0"/>
          <w:sz w:val="24"/>
        </w:rPr>
        <w:t>Methodology / Approach</w:t>
      </w:r>
      <w:r>
        <w:rPr>
          <w:rFonts w:ascii="Times New Roman" w:hAnsi="Times New Roman" w:eastAsia="Times New Roman"/>
          <w:b w:val="0"/>
          <w:sz w:val="24"/>
        </w:rPr>
        <w:tab/>
      </w:r>
      <w:r>
        <w:rPr>
          <w:rFonts w:ascii="Times New Roman" w:hAnsi="Times New Roman" w:eastAsia="Times New Roman"/>
          <w:b w:val="0"/>
          <w:sz w:val="24"/>
        </w:rPr>
        <w:t>6</w:t>
      </w:r>
    </w:p>
    <w:p>
      <w:pPr>
        <w:pStyle w:val="TOC1"/>
      </w:pPr>
      <w:r>
        <w:rPr>
          <w:rFonts w:ascii="Times New Roman" w:hAnsi="Times New Roman" w:eastAsia="Times New Roman"/>
          <w:b w:val="0"/>
          <w:sz w:val="24"/>
        </w:rPr>
        <w:t>Findings / Analysis</w:t>
      </w:r>
      <w:r>
        <w:rPr>
          <w:rFonts w:ascii="Times New Roman" w:hAnsi="Times New Roman" w:eastAsia="Times New Roman"/>
          <w:b w:val="0"/>
          <w:sz w:val="24"/>
        </w:rPr>
        <w:tab/>
      </w:r>
      <w:r>
        <w:rPr>
          <w:rFonts w:ascii="Times New Roman" w:hAnsi="Times New Roman" w:eastAsia="Times New Roman"/>
          <w:b w:val="0"/>
          <w:sz w:val="24"/>
        </w:rPr>
        <w:t>6</w:t>
      </w:r>
    </w:p>
    <w:p>
      <w:pPr>
        <w:pStyle w:val="TOC1"/>
      </w:pPr>
      <w:r>
        <w:rPr>
          <w:rFonts w:ascii="Times New Roman" w:hAnsi="Times New Roman" w:eastAsia="Times New Roman"/>
          <w:b w:val="0"/>
          <w:sz w:val="24"/>
        </w:rPr>
        <w:t>Discussion</w:t>
      </w:r>
      <w:r>
        <w:rPr>
          <w:rFonts w:ascii="Times New Roman" w:hAnsi="Times New Roman" w:eastAsia="Times New Roman"/>
          <w:b w:val="0"/>
          <w:sz w:val="24"/>
        </w:rPr>
        <w:tab/>
      </w:r>
      <w:r>
        <w:rPr>
          <w:rFonts w:ascii="Times New Roman" w:hAnsi="Times New Roman" w:eastAsia="Times New Roman"/>
          <w:b w:val="0"/>
          <w:sz w:val="24"/>
        </w:rPr>
        <w:t>12</w:t>
      </w:r>
    </w:p>
    <w:p>
      <w:pPr>
        <w:pStyle w:val="TOC1"/>
      </w:pPr>
      <w:r>
        <w:rPr>
          <w:rFonts w:ascii="Times New Roman" w:hAnsi="Times New Roman" w:eastAsia="Times New Roman"/>
          <w:b w:val="0"/>
          <w:sz w:val="24"/>
        </w:rPr>
        <w:t>Conclusion and Recommendations</w:t>
      </w:r>
      <w:r>
        <w:rPr>
          <w:rFonts w:ascii="Times New Roman" w:hAnsi="Times New Roman" w:eastAsia="Times New Roman"/>
          <w:b w:val="0"/>
          <w:sz w:val="24"/>
        </w:rPr>
        <w:tab/>
      </w:r>
      <w:r>
        <w:rPr>
          <w:rFonts w:ascii="Times New Roman" w:hAnsi="Times New Roman" w:eastAsia="Times New Roman"/>
          <w:b w:val="0"/>
          <w:sz w:val="24"/>
        </w:rPr>
        <w:t>14</w:t>
      </w:r>
    </w:p>
    <w:p>
      <w:pPr>
        <w:pStyle w:val="TOC1"/>
      </w:pPr>
      <w:r>
        <w:rPr>
          <w:rFonts w:ascii="Times New Roman" w:hAnsi="Times New Roman" w:eastAsia="Times New Roman"/>
          <w:b w:val="0"/>
          <w:sz w:val="24"/>
        </w:rPr>
        <w:t>References</w:t>
      </w:r>
      <w:r>
        <w:rPr>
          <w:rFonts w:ascii="Times New Roman" w:hAnsi="Times New Roman" w:eastAsia="Times New Roman"/>
          <w:b w:val="0"/>
          <w:sz w:val="24"/>
        </w:rPr>
        <w:tab/>
      </w:r>
      <w:r>
        <w:rPr>
          <w:rFonts w:ascii="Times New Roman" w:hAnsi="Times New Roman" w:eastAsia="Times New Roman"/>
          <w:b w:val="0"/>
          <w:sz w:val="24"/>
        </w:rPr>
        <w:t>15</w:t>
      </w:r>
    </w:p>
    <w:p>
      <w:pPr>
        <w:pStyle w:val="TOC1"/>
      </w:pPr>
      <w:r>
        <w:rPr>
          <w:rFonts w:ascii="Times New Roman" w:hAnsi="Times New Roman" w:eastAsia="Times New Roman"/>
          <w:b w:val="0"/>
          <w:sz w:val="24"/>
        </w:rPr>
        <w:t>Appendix A: Managerial Implementation Checklist</w:t>
      </w:r>
      <w:r>
        <w:rPr>
          <w:rFonts w:ascii="Times New Roman" w:hAnsi="Times New Roman" w:eastAsia="Times New Roman"/>
          <w:b w:val="0"/>
          <w:sz w:val="24"/>
        </w:rPr>
        <w:tab/>
      </w:r>
      <w:r>
        <w:rPr>
          <w:rFonts w:ascii="Times New Roman" w:hAnsi="Times New Roman" w:eastAsia="Times New Roman"/>
          <w:b w:val="0"/>
          <w:sz w:val="24"/>
        </w:rPr>
        <w:t>16</w:t>
      </w:r>
      <w:r>
        <w:rPr>
          <w:rFonts w:ascii="Times New Roman" w:hAnsi="Times New Roman" w:eastAsia="Times New Roman"/>
          <w:b w:val="0"/>
          <w:sz w:val="24"/>
        </w:rPr>
        <w:fldChar w:fldCharType="end"/>
      </w:r>
    </w:p>
    <w:p>
      <w:pPr>
        <w:spacing w:after="0"/>
      </w:pPr>
    </w:p>
    <w:p>
      <w:r>
        <w:br w:type="page"/>
      </w:r>
    </w:p>
    <w:p>
      <w:pPr>
        <w:pStyle w:val="Heading1"/>
        <w:keepNext/>
      </w:pPr>
      <w:r>
        <w:rPr>
          <w:rFonts w:ascii="Times New Roman" w:hAnsi="Times New Roman"/>
          <w:b/>
          <w:color w:val="203864"/>
          <w:sz w:val="28"/>
        </w:rPr>
        <w:t>Abstract</w:t>
      </w:r>
    </w:p>
    <w:p>
      <w:pPr>
        <w:keepLines w:val="0"/>
        <w:spacing w:line="480" w:lineRule="auto" w:after="0"/>
        <w:ind w:firstLine="432"/>
      </w:pPr>
      <w:r>
        <w:rPr>
          <w:rFonts w:ascii="Times New Roman" w:hAnsi="Times New Roman"/>
          <w:sz w:val="24"/>
        </w:rPr>
        <w:t>Artificial intelligence changes organisational structure because it changes how information is processed, how work is coordinated and where decision authority is exercised. This report examines hierarchy, span of control, centralisation and decentralisation through an information-processing lens. It argues that AI can support flatter and faster coordination by reducing the cost of collecting, interpreting and distributing operational information, but it can also recentralise power when algorithms embed managerial rules into platforms that workers cannot inspect or contest. Evidence from algorithmic management demonstrates that digital systems may simultaneously decentralise execution and centralise control. The report analyses implications for middle managers, knowledge workers and distributed teams, including changes in supervisory work, expertise and accountability. It proposes a structural design based on bounded delegation: decision authority is delegated to AI or frontline actors only within explicit domains, while escalation rights, auditability and human review remain clear. The report concludes that AI does not automatically make hierarchy obsolete. Instead, it changes the reasons for hierarchy and shifts managerial value from information transmission toward exception management, integration, judgement and governance.</w:t>
      </w:r>
    </w:p>
    <w:p>
      <w:pPr>
        <w:pStyle w:val="Heading1"/>
        <w:keepNext/>
      </w:pPr>
      <w:r>
        <w:rPr>
          <w:rFonts w:ascii="Times New Roman" w:hAnsi="Times New Roman"/>
          <w:b/>
          <w:color w:val="203864"/>
          <w:sz w:val="28"/>
        </w:rPr>
        <w:t>Introduction</w:t>
      </w:r>
    </w:p>
    <w:p>
      <w:pPr>
        <w:keepLines w:val="0"/>
        <w:spacing w:line="480" w:lineRule="auto" w:after="0"/>
        <w:ind w:firstLine="432"/>
      </w:pPr>
      <w:r>
        <w:rPr>
          <w:rFonts w:ascii="Times New Roman" w:hAnsi="Times New Roman"/>
          <w:sz w:val="24"/>
        </w:rPr>
        <w:t>Organisational structures exist partly because information and attention are scarce. Hierarchies aggregate information, allocate authority and provide mechanisms for coordination when interdependent tasks cannot be managed through markets or informal communication alone. Artificial intelligence changes these conditions by lowering the cost of processing large volumes of data and by enabling software to recommend or execute decisions at scale. This has prompted claims that organisations can become flatter, faster and more decentralised.</w:t>
      </w:r>
    </w:p>
    <w:p>
      <w:pPr>
        <w:keepLines w:val="0"/>
        <w:spacing w:line="480" w:lineRule="auto" w:after="0"/>
        <w:ind w:firstLine="432"/>
      </w:pPr>
      <w:r>
        <w:rPr>
          <w:rFonts w:ascii="Times New Roman" w:hAnsi="Times New Roman"/>
          <w:sz w:val="24"/>
        </w:rPr>
        <w:t>Such claims require qualification. A firm may remove layers of human supervision while simultaneously centralising control in algorithms designed by a small technical or executive group. The visible hierarchy can flatten even as decision power becomes more concentrated. The experience of platform work illustrates this possibility: workers can appear autonomous in when and how they log on, yet algorithms can allocate jobs, set incentives and shape performance expectations (Rosenblat &amp; Stark, 2016). Structural analysis therefore needs to focus on actual decision rights rather than organisation charts alone.</w:t>
      </w:r>
    </w:p>
    <w:p>
      <w:pPr>
        <w:keepLines w:val="0"/>
        <w:spacing w:line="480" w:lineRule="auto" w:after="0"/>
        <w:ind w:firstLine="432"/>
      </w:pPr>
      <w:r>
        <w:rPr>
          <w:rFonts w:ascii="Times New Roman" w:hAnsi="Times New Roman"/>
          <w:sz w:val="24"/>
        </w:rPr>
        <w:t>This report examines how AI alters hierarchy, span of control, centralisation and coordination. It uses classical organisation-design theory alongside research on algorithmic management and agentic information systems. The central argument is that AI increases the feasible range of structural choices but does not determine the right structure. Effective design requires matching the type of decision, uncertainty and accountability requirement to an appropriate combination of human and algorithmic authority.</w:t>
      </w:r>
    </w:p>
    <w:p>
      <w:pPr>
        <w:pStyle w:val="Heading1"/>
        <w:keepNext/>
      </w:pPr>
      <w:r>
        <w:rPr>
          <w:rFonts w:ascii="Times New Roman" w:hAnsi="Times New Roman"/>
          <w:b/>
          <w:color w:val="203864"/>
          <w:sz w:val="28"/>
        </w:rPr>
        <w:t>Literature Review</w:t>
      </w:r>
    </w:p>
    <w:p>
      <w:pPr>
        <w:pStyle w:val="Heading2"/>
        <w:keepNext/>
      </w:pPr>
      <w:r>
        <w:rPr>
          <w:rFonts w:ascii="Times New Roman" w:hAnsi="Times New Roman"/>
          <w:b/>
          <w:color w:val="203864"/>
          <w:sz w:val="25"/>
        </w:rPr>
        <w:t>Classical structure as an information-processing solution</w:t>
      </w:r>
    </w:p>
    <w:p>
      <w:pPr>
        <w:keepLines w:val="0"/>
        <w:spacing w:line="480" w:lineRule="auto" w:after="0"/>
        <w:ind w:firstLine="432"/>
      </w:pPr>
      <w:r>
        <w:rPr>
          <w:rFonts w:ascii="Times New Roman" w:hAnsi="Times New Roman"/>
          <w:sz w:val="24"/>
        </w:rPr>
        <w:t>Galbraith (1974) conceptualises organisational design as a response to information-processing requirements created by uncertainty. When tasks become more uncertain, organisations need either to reduce information needs or increase capacity to process information. Hierarchy, lateral relationships, slack resources and information systems are alternative responses. This framework is especially relevant to AI because contemporary systems dramatically increase information-processing capacity. If operational data can be analysed continuously, some decisions that once moved upward through hierarchy can be resolved closer to the work.</w:t>
      </w:r>
    </w:p>
    <w:p>
      <w:pPr>
        <w:keepLines w:val="0"/>
        <w:spacing w:line="480" w:lineRule="auto" w:after="0"/>
        <w:ind w:firstLine="432"/>
      </w:pPr>
      <w:r>
        <w:rPr>
          <w:rFonts w:ascii="Times New Roman" w:hAnsi="Times New Roman"/>
          <w:sz w:val="24"/>
        </w:rPr>
        <w:t>Classical contingency research also warns against universal structural prescriptions. Burns and Stalker (1961) contrast mechanistic arrangements suited to stable conditions with more organic systems suited to change, while Child (1972) highlights managerial strategic choice in shaping structure. Mintzberg (1983) shows that organisations coordinate through multiple mechanisms - direct supervision, standardisation and mutual adjustment - rather than hierarchy alone. AI can strengthen several mechanisms at once: it can standardise decisions through algorithms, enable mutual adjustment through shared data, and expand a supervisor's visibility across larger teams.</w:t>
      </w:r>
    </w:p>
    <w:p>
      <w:pPr>
        <w:pStyle w:val="Heading2"/>
        <w:keepNext/>
      </w:pPr>
      <w:r>
        <w:rPr>
          <w:rFonts w:ascii="Times New Roman" w:hAnsi="Times New Roman"/>
          <w:b/>
          <w:color w:val="203864"/>
          <w:sz w:val="25"/>
        </w:rPr>
        <w:t>From human supervision to algorithmic management</w:t>
      </w:r>
    </w:p>
    <w:p>
      <w:pPr>
        <w:keepLines w:val="0"/>
        <w:spacing w:line="480" w:lineRule="auto" w:after="0"/>
        <w:ind w:firstLine="432"/>
      </w:pPr>
      <w:r>
        <w:rPr>
          <w:rFonts w:ascii="Times New Roman" w:hAnsi="Times New Roman"/>
          <w:sz w:val="24"/>
        </w:rPr>
        <w:t>Research on digital labour shows that algorithms can perform coordination and control functions previously associated with managers. Lee et al. (2015) document how ride-hailing algorithms assign, optimise and evaluate work, affecting workers' perceptions and practices. Rosenblat and Stark (2016) show how information asymmetries can give a platform substantial indirect control over workers even when employment rhetoric emphasises flexibility. Kellogg et al. (2020) generalise this phenomenon through six mechanisms of algorithmic control: restricting, recommending, recording, rating, replacing and rewarding.</w:t>
      </w:r>
    </w:p>
    <w:p>
      <w:pPr>
        <w:keepLines w:val="0"/>
        <w:spacing w:line="480" w:lineRule="auto" w:after="0"/>
        <w:ind w:firstLine="432"/>
      </w:pPr>
      <w:r>
        <w:rPr>
          <w:rFonts w:ascii="Times New Roman" w:hAnsi="Times New Roman"/>
          <w:sz w:val="24"/>
        </w:rPr>
        <w:t>These findings complicate the idea that technology decentralises organisations. Operational decisions may be pushed to frontline actors while the rules governing those decisions become more centralised in software. Baird and Maruping (2021) describe advanced information systems as 'agentic' artefacts that can accept delegated responsibility rather than remaining passive tools. Delegation to such systems creates new questions about roles, preferences, coordination and accountability. Berente et al. (2021) add that AI is characterised by autonomy, learning and inscrutability, qualities that make its management different from conventional information technology.</w:t>
      </w:r>
    </w:p>
    <w:p>
      <w:pPr>
        <w:keepLines w:val="0"/>
        <w:spacing w:line="480" w:lineRule="auto" w:after="0"/>
        <w:ind w:firstLine="432"/>
      </w:pPr>
      <w:r>
        <w:rPr>
          <w:rFonts w:ascii="Times New Roman" w:hAnsi="Times New Roman"/>
          <w:sz w:val="24"/>
        </w:rPr>
        <w:t>At the team level, AI may also become a collaborator rather than a background system. Seeber et al. (2020) outline a research agenda for machines as teammates, emphasising that AI can affect collaboration, institutions and team dynamics. Structural design must therefore consider not only reporting lines but also how teams distribute expertise and voice when machine recommendations are present.</w:t>
      </w:r>
    </w:p>
    <w:p>
      <w:pPr>
        <w:pStyle w:val="Heading1"/>
        <w:keepNext/>
      </w:pPr>
      <w:r>
        <w:rPr>
          <w:rFonts w:ascii="Times New Roman" w:hAnsi="Times New Roman"/>
          <w:b/>
          <w:color w:val="203864"/>
          <w:sz w:val="28"/>
        </w:rPr>
        <w:t>Methodology / Approach</w:t>
      </w:r>
    </w:p>
    <w:p>
      <w:pPr>
        <w:keepLines w:val="0"/>
        <w:spacing w:line="480" w:lineRule="auto" w:after="0"/>
        <w:ind w:firstLine="432"/>
      </w:pPr>
      <w:r>
        <w:rPr>
          <w:rFonts w:ascii="Times New Roman" w:hAnsi="Times New Roman"/>
          <w:sz w:val="24"/>
        </w:rPr>
        <w:t>The report uses a theory-led comparative analysis. Classical organisation-design concepts establish the purposes of hierarchy, standardisation, span of control and decentralisation. Contemporary empirical studies of algorithmic management and AI-enabled systems are then used to identify how those mechanisms are changing. The analysis separates structural form from decision authority: a flatter chart is not treated as decentralised unless actors actually gain discretion.</w:t>
      </w:r>
    </w:p>
    <w:p>
      <w:pPr>
        <w:keepLines w:val="0"/>
        <w:spacing w:line="480" w:lineRule="auto" w:after="0"/>
        <w:ind w:firstLine="432"/>
      </w:pPr>
      <w:r>
        <w:rPr>
          <w:rFonts w:ascii="Times New Roman" w:hAnsi="Times New Roman"/>
          <w:sz w:val="24"/>
        </w:rPr>
        <w:t>Five structural dimensions are evaluated: location of information, location of decision rights, coordination mechanism, transparency of rules and route for escalation. This permits a consistent comparison between traditional hierarchy, human-AI hybrid arrangements and heavily algorithmic forms. Industry examples are interpreted as illustrations of mechanisms rather than as universal models because structural effectiveness depends on task uncertainty, regulation, workforce skills and strategic priorities.</w:t>
      </w:r>
    </w:p>
    <w:p>
      <w:pPr>
        <w:pStyle w:val="Heading1"/>
        <w:keepNext/>
      </w:pPr>
      <w:r>
        <w:rPr>
          <w:rFonts w:ascii="Times New Roman" w:hAnsi="Times New Roman"/>
          <w:b/>
          <w:color w:val="203864"/>
          <w:sz w:val="28"/>
        </w:rPr>
        <w:t>Findings / Analysis</w:t>
      </w:r>
    </w:p>
    <w:p>
      <w:pPr>
        <w:pStyle w:val="Heading2"/>
        <w:keepNext/>
      </w:pPr>
      <w:r>
        <w:rPr>
          <w:rFonts w:ascii="Times New Roman" w:hAnsi="Times New Roman"/>
          <w:b/>
          <w:color w:val="203864"/>
          <w:sz w:val="25"/>
        </w:rPr>
        <w:t>Hierarchy and span of control</w:t>
      </w:r>
    </w:p>
    <w:p>
      <w:pPr>
        <w:keepLines w:val="0"/>
        <w:spacing w:line="480" w:lineRule="auto" w:after="0"/>
        <w:ind w:firstLine="432"/>
      </w:pPr>
      <w:r>
        <w:rPr>
          <w:rFonts w:ascii="Times New Roman" w:hAnsi="Times New Roman"/>
          <w:sz w:val="24"/>
        </w:rPr>
        <w:t>AI can reduce the informational burden that historically justified some managerial layers. Supervisors often spend significant time gathering status updates, reconciling reports and distributing routine instructions. Dashboards, workflow systems and generative summaries can automate parts of this work. In principle, a manager can oversee a larger span when information is timely and exceptions are clearly identified. Galbraith's (1974) framework predicts this effect: stronger information-processing systems can substitute for some vertical information flow.</w:t>
      </w:r>
    </w:p>
    <w:p>
      <w:pPr>
        <w:keepLines w:val="0"/>
        <w:spacing w:line="480" w:lineRule="auto" w:after="0"/>
        <w:ind w:firstLine="432"/>
      </w:pPr>
      <w:r>
        <w:rPr>
          <w:rFonts w:ascii="Times New Roman" w:hAnsi="Times New Roman"/>
          <w:sz w:val="24"/>
        </w:rPr>
        <w:t>Yet a wider span of control is not automatically better. Direct supervision includes coaching, conflict resolution, social support and contextual interpretation. Algorithms can highlight which team members appear off-track but may not explain why. Enlarging spans purely because monitoring is cheaper can make management more transactional. The better structural question is which supervisory tasks have been reduced and which remain relationally intensive.</w:t>
      </w:r>
    </w:p>
    <w:p>
      <w:pPr>
        <w:keepLines w:val="0"/>
        <w:spacing w:line="480" w:lineRule="auto" w:after="0"/>
        <w:ind w:firstLine="432"/>
      </w:pPr>
      <w:r>
        <w:rPr>
          <w:rFonts w:ascii="Times New Roman" w:hAnsi="Times New Roman"/>
          <w:sz w:val="24"/>
        </w:rPr>
        <w:t>Middle management is therefore more likely to change than disappear. Some coordination and reporting work may decline, but roles involving integration across functions, interpreting exceptions and translating strategy into local action may become more important. Mintzberg's (1983) emphasis on multiple coordination mechanisms suggests that organisations should not treat direct supervision as interchangeable with algorithmic standardisation.</w:t>
      </w:r>
    </w:p>
    <w:p>
      <w:pPr>
        <w:pStyle w:val="Heading2"/>
        <w:keepNext/>
      </w:pPr>
      <w:r>
        <w:rPr>
          <w:rFonts w:ascii="Times New Roman" w:hAnsi="Times New Roman"/>
          <w:b/>
          <w:color w:val="203864"/>
          <w:sz w:val="25"/>
        </w:rPr>
        <w:t>Centralisation versus decentralisation</w:t>
      </w:r>
    </w:p>
    <w:p>
      <w:pPr>
        <w:keepLines w:val="0"/>
        <w:spacing w:line="480" w:lineRule="auto" w:after="0"/>
        <w:ind w:firstLine="432"/>
      </w:pPr>
      <w:r>
        <w:rPr>
          <w:rFonts w:ascii="Times New Roman" w:hAnsi="Times New Roman"/>
          <w:sz w:val="24"/>
        </w:rPr>
        <w:t>AI can support decentralisation by giving frontline employees richer information and decision support. A salesperson can receive pricing guidance, a maintenance engineer can receive failure predictions, and a service employee can access organisational knowledge without escalating every question. This reduces dependence on upward referrals and can increase response speed.</w:t>
      </w:r>
    </w:p>
    <w:p>
      <w:pPr>
        <w:keepLines w:val="0"/>
        <w:spacing w:line="480" w:lineRule="auto" w:after="0"/>
        <w:ind w:firstLine="432"/>
      </w:pPr>
      <w:r>
        <w:rPr>
          <w:rFonts w:ascii="Times New Roman" w:hAnsi="Times New Roman"/>
          <w:sz w:val="24"/>
        </w:rPr>
        <w:t>At the same time, AI can centralise policy. When a model determines priority scores, acceptable discounts or performance thresholds, decision criteria may be set centrally and applied uniformly. Baird and Maruping's (2021) delegation framework clarifies that authority can move toward agentic systems even if humans retain nominal responsibility. If frontline workers cannot understand or override recommendations, apparent decentralisation may conceal centralised algorithmic control.</w:t>
      </w:r>
    </w:p>
    <w:p>
      <w:pPr>
        <w:keepLines w:val="0"/>
        <w:spacing w:line="480" w:lineRule="auto" w:after="0"/>
        <w:ind w:firstLine="432"/>
      </w:pPr>
      <w:r>
        <w:rPr>
          <w:rFonts w:ascii="Times New Roman" w:hAnsi="Times New Roman"/>
          <w:sz w:val="24"/>
        </w:rPr>
        <w:t>A balanced structure uses bounded delegation. Local actors and systems receive authority within defined limits, but exceptions can move upward and policy owners remain accountable for the rule set. This approach combines speed with organisational learning because unusual cases become signals for reviewing central assumptions rather than silent deviations.</w:t>
      </w:r>
    </w:p>
    <w:p>
      <w:pPr>
        <w:pStyle w:val="Heading2"/>
        <w:keepNext/>
      </w:pPr>
      <w:r>
        <w:rPr>
          <w:rFonts w:ascii="Times New Roman" w:hAnsi="Times New Roman"/>
          <w:b/>
          <w:color w:val="203864"/>
          <w:sz w:val="25"/>
        </w:rPr>
        <w:t>Coordination and the changing role of standardisation</w:t>
      </w:r>
    </w:p>
    <w:p>
      <w:pPr>
        <w:keepLines w:val="0"/>
        <w:spacing w:line="480" w:lineRule="auto" w:after="0"/>
        <w:ind w:firstLine="432"/>
      </w:pPr>
      <w:r>
        <w:rPr>
          <w:rFonts w:ascii="Times New Roman" w:hAnsi="Times New Roman"/>
          <w:sz w:val="24"/>
        </w:rPr>
        <w:t>Standardisation has traditionally reduced coordination costs by making processes predictable. AI extends standardisation from explicit rules to learned patterns. Instead of programming every condition, systems can infer classifications or recommendations from data. This increases flexibility but makes the basis of standardisation less visible. Berente et al. (2021) identify inscrutability as a central challenge because users may not fully understand why an AI system behaves as it does.</w:t>
      </w:r>
    </w:p>
    <w:p>
      <w:pPr>
        <w:keepLines w:val="0"/>
        <w:spacing w:line="480" w:lineRule="auto" w:after="0"/>
        <w:ind w:firstLine="432"/>
      </w:pPr>
      <w:r>
        <w:rPr>
          <w:rFonts w:ascii="Times New Roman" w:hAnsi="Times New Roman"/>
          <w:sz w:val="24"/>
        </w:rPr>
        <w:t>Algorithmic coordination is powerful in large distributed operations. Lee et al. (2015) and Rosenblat and Stark (2016) show how platforms can coordinate thousands of workers without conventional line managers. Yet these cases also demonstrate the social cost of opaque control. Workers may not know how ratings, pricing or work allocation operate, making it difficult to plan or contest outcomes.</w:t>
      </w:r>
    </w:p>
    <w:p>
      <w:pPr>
        <w:keepLines w:val="0"/>
        <w:spacing w:line="480" w:lineRule="auto" w:after="0"/>
        <w:ind w:firstLine="432"/>
      </w:pPr>
      <w:r>
        <w:rPr>
          <w:rFonts w:ascii="Times New Roman" w:hAnsi="Times New Roman"/>
          <w:sz w:val="24"/>
        </w:rPr>
        <w:t>Organisations should therefore treat explainability as a structural feature. The question is not whether every model can be mathematically interpreted by every worker. It is whether affected people can understand the factors relevant to their decision, know the limits of the system and access a human route when the outcome appears wrong. Structural legitimacy depends on this practical form of transparency.</w:t>
      </w:r>
    </w:p>
    <w:p>
      <w:pPr>
        <w:pStyle w:val="Heading2"/>
        <w:keepNext/>
      </w:pPr>
      <w:r>
        <w:rPr>
          <w:rFonts w:ascii="Times New Roman" w:hAnsi="Times New Roman"/>
          <w:b/>
          <w:color w:val="203864"/>
          <w:sz w:val="25"/>
        </w:rPr>
        <w:t>Power, knowledge work and middle management</w:t>
      </w:r>
    </w:p>
    <w:p>
      <w:pPr>
        <w:keepLines w:val="0"/>
        <w:spacing w:line="480" w:lineRule="auto" w:after="0"/>
        <w:ind w:firstLine="432"/>
      </w:pPr>
      <w:r>
        <w:rPr>
          <w:rFonts w:ascii="Times New Roman" w:hAnsi="Times New Roman"/>
          <w:sz w:val="24"/>
        </w:rPr>
        <w:t>AI redistributes power by changing who owns valued knowledge. In traditional expert bureaucracies, professionals often control decisions because expertise is difficult to codify. AI can encode patterns from expert decisions and make guidance available to less experienced employees. This may broaden access to expertise but can also shift influence toward data scientists, platform owners and executives who define system objectives.</w:t>
      </w:r>
    </w:p>
    <w:p>
      <w:pPr>
        <w:keepLines w:val="0"/>
        <w:spacing w:line="480" w:lineRule="auto" w:after="0"/>
        <w:ind w:firstLine="432"/>
      </w:pPr>
      <w:r>
        <w:rPr>
          <w:rFonts w:ascii="Times New Roman" w:hAnsi="Times New Roman"/>
          <w:sz w:val="24"/>
        </w:rPr>
        <w:t>Kellogg et al. (2020) show that algorithmic control is contested because workers respond to new forms of direction, evaluation and discipline. The lesson for conventional firms is that introducing AI into decision making is also a political change. Managers should anticipate negotiation over data, discretion, evaluation and error correction. Ignoring these questions can create resistance even when the technology improves average performance.</w:t>
      </w:r>
    </w:p>
    <w:p>
      <w:pPr>
        <w:keepLines w:val="0"/>
        <w:spacing w:line="480" w:lineRule="auto" w:after="0"/>
        <w:ind w:firstLine="432"/>
      </w:pPr>
      <w:r>
        <w:rPr>
          <w:rFonts w:ascii="Times New Roman" w:hAnsi="Times New Roman"/>
          <w:sz w:val="24"/>
        </w:rPr>
        <w:t>Middle managers can act as institutional translators in this environment. They can explain system logic in operational terms, surface exceptions, protect useful local knowledge and communicate patterns back to central model owners. This role is less about transmitting orders and more about maintaining alignment between algorithmic rules and changing work realities.</w:t>
      </w:r>
    </w:p>
    <w:p>
      <w:pPr>
        <w:pStyle w:val="Heading2"/>
        <w:keepNext/>
      </w:pPr>
      <w:r>
        <w:rPr>
          <w:rFonts w:ascii="Times New Roman" w:hAnsi="Times New Roman"/>
          <w:b/>
          <w:color w:val="203864"/>
          <w:sz w:val="25"/>
        </w:rPr>
        <w:t>Team structures and human-machine collaboration</w:t>
      </w:r>
    </w:p>
    <w:p>
      <w:pPr>
        <w:keepLines w:val="0"/>
        <w:spacing w:line="480" w:lineRule="auto" w:after="0"/>
        <w:ind w:firstLine="432"/>
      </w:pPr>
      <w:r>
        <w:rPr>
          <w:rFonts w:ascii="Times New Roman" w:hAnsi="Times New Roman"/>
          <w:sz w:val="24"/>
        </w:rPr>
        <w:t>As AI moves into collaborative work, team design becomes another structural question. Seeber et al. (2020) argue that machines may function as teammates, raising questions about trust, coordination and institutional rules. A project team may rely on AI for research, analysis or drafting, but responsibility for integrating outputs remains human. The team therefore needs explicit norms for verification and attribution.</w:t>
      </w:r>
    </w:p>
    <w:p>
      <w:pPr>
        <w:keepLines w:val="0"/>
        <w:spacing w:line="480" w:lineRule="auto" w:after="0"/>
        <w:ind w:firstLine="432"/>
      </w:pPr>
      <w:r>
        <w:rPr>
          <w:rFonts w:ascii="Times New Roman" w:hAnsi="Times New Roman"/>
          <w:sz w:val="24"/>
        </w:rPr>
        <w:t>AI can also alter expertise networks. Employees may consult a system before colleagues, reducing some horizontal communication. This can be efficient but may weaken shared learning if people stop discussing ambiguous problems. Managers should deliberately preserve collaborative spaces for exceptions and novel cases. Routine knowledge can flow through AI; non-routine knowledge should still circulate socially so the organisation develops collective understanding.</w:t>
      </w:r>
    </w:p>
    <w:p>
      <w:pPr>
        <w:keepLines w:val="0"/>
        <w:spacing w:line="480" w:lineRule="auto" w:after="0"/>
        <w:ind w:firstLine="432"/>
      </w:pPr>
      <w:r>
        <w:rPr>
          <w:rFonts w:ascii="Times New Roman" w:hAnsi="Times New Roman"/>
          <w:sz w:val="24"/>
        </w:rPr>
        <w:t>The structural objective is not maximum machine participation but appropriate coordination. Teams need to know when the AI is a tool, when it is an input to deliberation and when it is authorised to act automatically. Ambiguity about these modes is itself a design defect.</w:t>
      </w:r>
    </w:p>
    <w:p>
      <w:pPr>
        <w:pStyle w:val="Heading2"/>
        <w:keepNext/>
      </w:pPr>
      <w:r>
        <w:rPr>
          <w:rFonts w:ascii="Times New Roman" w:hAnsi="Times New Roman"/>
          <w:b/>
          <w:color w:val="203864"/>
          <w:sz w:val="25"/>
        </w:rPr>
        <w:t>Authority, information and the future of middle management</w:t>
      </w:r>
    </w:p>
    <w:p>
      <w:pPr>
        <w:keepLines w:val="0"/>
        <w:spacing w:line="480" w:lineRule="auto" w:after="0"/>
        <w:ind w:firstLine="432"/>
      </w:pPr>
      <w:r>
        <w:rPr>
          <w:rFonts w:ascii="Times New Roman" w:hAnsi="Times New Roman"/>
          <w:sz w:val="24"/>
        </w:rPr>
        <w:t>The structural impact of AI is often discussed as a question of whether middle managers will disappear. That framing is too narrow. Middle management contains several different activities: transmitting information, coordinating interdependencies, interpreting strategy, coaching employees, resolving exceptions and representing local conditions upward. AI is likely to reduce the cost of some information-transmission and monitoring activities, but this can increase the value of interpretation and integration. Mintzberg (1983) demonstrates that coordination depends on multiple mechanisms, not supervision alone. As algorithmic standardisation expands, organisations may need stronger roles for mutual adjustment and exception management.</w:t>
      </w:r>
    </w:p>
    <w:p>
      <w:pPr>
        <w:keepLines w:val="0"/>
        <w:spacing w:line="480" w:lineRule="auto" w:after="0"/>
        <w:ind w:firstLine="432"/>
      </w:pPr>
      <w:r>
        <w:rPr>
          <w:rFonts w:ascii="Times New Roman" w:hAnsi="Times New Roman"/>
          <w:sz w:val="24"/>
        </w:rPr>
        <w:t>Information asymmetry helps explain why. Digital systems can give senior leaders detailed visibility into operations, apparently reducing the need for intermediary reporting. Yet more data do not automatically create local understanding. A dashboard may show that a unit is underperforming without revealing a temporary customer issue, a regulatory constraint or a change in work practice. Galbraith's (1974) information-processing view suggests that organisations need structures capable of handling uncertainty, not merely structures that transmit more information. Middle managers can remain valuable when they convert data into context and coordinate responses across specialist units.</w:t>
      </w:r>
    </w:p>
    <w:p>
      <w:pPr>
        <w:keepLines w:val="0"/>
        <w:spacing w:line="480" w:lineRule="auto" w:after="0"/>
        <w:ind w:firstLine="432"/>
      </w:pPr>
      <w:r>
        <w:rPr>
          <w:rFonts w:ascii="Times New Roman" w:hAnsi="Times New Roman"/>
          <w:sz w:val="24"/>
        </w:rPr>
        <w:t>Algorithmic management also changes power. Kellogg et al. (2020) identify algorithms as a contested terrain of control because systems can direct, evaluate and discipline work while obscuring how decisions are produced. Lee et al. (2015) similarly show that algorithmic management can generate confusion and resistance when workers lack social and contextual information. These findings imply that organisational charts may understate actual authority. A system that ranks tasks or sets performance expectations can exercise practical control even when formal decision rights have not been changed.</w:t>
      </w:r>
    </w:p>
    <w:p>
      <w:pPr>
        <w:keepLines w:val="0"/>
        <w:spacing w:line="480" w:lineRule="auto" w:after="0"/>
        <w:ind w:firstLine="432"/>
      </w:pPr>
      <w:r>
        <w:rPr>
          <w:rFonts w:ascii="Times New Roman" w:hAnsi="Times New Roman"/>
          <w:sz w:val="24"/>
        </w:rPr>
        <w:t>A robust design should therefore conduct an authority audit before and after major AI deployment. The audit maps each consequential decision, identifies who formally owns it, records what influence the AI has, and examines whether users can understand and challenge the output. It should also assess who benefits from increased information and who loses discretion. This makes power shifts visible. If a local manager previously had authority to adapt a process but is now evaluated against an automated benchmark that penalises deviations, practical decentralisation may have decreased even if the organisation chart is unchanged.</w:t>
      </w:r>
    </w:p>
    <w:p>
      <w:pPr>
        <w:keepLines w:val="0"/>
        <w:spacing w:line="480" w:lineRule="auto" w:after="0"/>
        <w:ind w:firstLine="432"/>
      </w:pPr>
      <w:r>
        <w:rPr>
          <w:rFonts w:ascii="Times New Roman" w:hAnsi="Times New Roman"/>
          <w:sz w:val="24"/>
        </w:rPr>
        <w:t>The same audit can protect knowledge workers. Baird and Maruping (2021) conceptualise delegation between people and agentic information systems, highlighting that agency can move in both directions. Professionals may delegate tasks to technology, while systems can also prompt or constrain human action. When such relationships are invisible, accountability becomes unstable. Organisations should specify whether the system recommends, requires, blocks or merely informs action, and users should know which status applies at the moment of decision.</w:t>
      </w:r>
    </w:p>
    <w:p>
      <w:pPr>
        <w:keepLines w:val="0"/>
        <w:spacing w:line="480" w:lineRule="auto" w:after="0"/>
        <w:ind w:firstLine="432"/>
      </w:pPr>
      <w:r>
        <w:rPr>
          <w:rFonts w:ascii="Times New Roman" w:hAnsi="Times New Roman"/>
          <w:sz w:val="24"/>
        </w:rPr>
        <w:t>Team design is another implication. Seeber et al. (2020) argue that AI can function as a teammate in collaborative settings, raising questions about roles, coordination and shared mental models. A team cannot collaborate effectively with an AI system if members hold conflicting assumptions about its reliability or authority. Managers should establish shared protocols: what evidence the system contributes, when it should be consulted, how disagreement is resolved, and how learning from errors is captured.</w:t>
      </w:r>
    </w:p>
    <w:p>
      <w:pPr>
        <w:keepLines w:val="0"/>
        <w:spacing w:line="480" w:lineRule="auto" w:after="0"/>
        <w:ind w:firstLine="432"/>
      </w:pPr>
      <w:r>
        <w:rPr>
          <w:rFonts w:ascii="Times New Roman" w:hAnsi="Times New Roman"/>
          <w:sz w:val="24"/>
        </w:rPr>
        <w:t>These changes point toward a redesigned middle-management role rather than simple elimination. Routine compilation and approval may decline, while boundary spanning, coaching, exception handling and governance increase. The strongest organisations will deliberately reallocate managerial capacity instead of using automation only to enlarge spans of control. A larger span may look efficient, but if managers lack time to interpret exceptions or support employees, coordination quality can deteriorate. Structural redesign should therefore measure not only headcount savings but also response quality, employee voice and the organisation's ability to detect when standardised logic no longer fits local conditions.</w:t>
      </w:r>
    </w:p>
    <w:p>
      <w:pPr>
        <w:keepNext/>
        <w:spacing w:before="120" w:after="100"/>
      </w:pPr>
      <w:r>
        <w:rPr>
          <w:rFonts w:ascii="Times New Roman" w:hAnsi="Times New Roman"/>
          <w:b/>
          <w:i/>
          <w:color w:val="203864"/>
          <w:sz w:val="21"/>
        </w:rPr>
        <w:t>Table 1. Structural effects of AI adoption</w:t>
      </w:r>
    </w:p>
    <w:tbl>
      <w:tblPr>
        <w:tblW w:type="auto" w:w="0"/>
        <w:jc w:val="center"/>
        <w:tblLayout w:type="fixed"/>
        <w:tblLook w:firstColumn="1" w:firstRow="1" w:lastColumn="0" w:lastRow="0" w:noHBand="0" w:noVBand="1" w:val="04A0"/>
      </w:tblPr>
      <w:tblGrid>
        <w:gridCol w:w="1800"/>
        <w:gridCol w:w="3528"/>
        <w:gridCol w:w="4032"/>
      </w:tblGrid>
      <w:tr>
        <w:tc>
          <w:tcPr>
            <w:tcW w:type="dxa" w:w="3120"/>
            <w:shd w:fill="203864"/>
            <w:tcMar>
              <w:top w:w="100" w:type="dxa"/>
              <w:start w:w="100" w:type="dxa"/>
              <w:bottom w:w="100" w:type="dxa"/>
              <w:end w:w="100" w:type="dxa"/>
            </w:tcMar>
            <w:vAlign w:val="center"/>
          </w:tcPr>
          <w:p>
            <w:pPr>
              <w:spacing w:line="240" w:lineRule="auto" w:after="0"/>
              <w:jc w:val="center"/>
            </w:pPr>
            <w:r>
              <w:rPr>
                <w:rFonts w:ascii="Times New Roman" w:hAnsi="Times New Roman"/>
                <w:b/>
                <w:color w:val="FFFFFF"/>
                <w:sz w:val="19"/>
              </w:rPr>
              <w:t>Structural dimension</w:t>
            </w:r>
          </w:p>
        </w:tc>
        <w:tc>
          <w:tcPr>
            <w:tcW w:type="dxa" w:w="3120"/>
            <w:shd w:fill="203864"/>
            <w:tcMar>
              <w:top w:w="100" w:type="dxa"/>
              <w:start w:w="100" w:type="dxa"/>
              <w:bottom w:w="100" w:type="dxa"/>
              <w:end w:w="100" w:type="dxa"/>
            </w:tcMar>
            <w:vAlign w:val="center"/>
          </w:tcPr>
          <w:p>
            <w:pPr>
              <w:spacing w:line="240" w:lineRule="auto" w:after="0"/>
              <w:jc w:val="center"/>
            </w:pPr>
            <w:r>
              <w:rPr>
                <w:rFonts w:ascii="Times New Roman" w:hAnsi="Times New Roman"/>
                <w:b/>
                <w:color w:val="FFFFFF"/>
                <w:sz w:val="19"/>
              </w:rPr>
              <w:t>Potential AI-enabled change</w:t>
            </w:r>
          </w:p>
        </w:tc>
        <w:tc>
          <w:tcPr>
            <w:tcW w:type="dxa" w:w="3120"/>
            <w:shd w:fill="203864"/>
            <w:tcMar>
              <w:top w:w="100" w:type="dxa"/>
              <w:start w:w="100" w:type="dxa"/>
              <w:bottom w:w="100" w:type="dxa"/>
              <w:end w:w="100" w:type="dxa"/>
            </w:tcMar>
            <w:vAlign w:val="center"/>
          </w:tcPr>
          <w:p>
            <w:pPr>
              <w:spacing w:line="240" w:lineRule="auto" w:after="0"/>
              <w:jc w:val="center"/>
            </w:pPr>
            <w:r>
              <w:rPr>
                <w:rFonts w:ascii="Times New Roman" w:hAnsi="Times New Roman"/>
                <w:b/>
                <w:color w:val="FFFFFF"/>
                <w:sz w:val="19"/>
              </w:rPr>
              <w:t>Design risk</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Hierarchy</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Fewer information-transmission layers</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Loss of coaching and contextual integration</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Span of control</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Larger teams supported by dashboards and alerts</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Supervision becomes transactional or overloaded</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Decentralisation</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Frontline decision support enables faster local action</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Central algorithms may quietly constrain discretion</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Coordination</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Learned rules and platforms coordinate distributed work</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Opaque standards and weak contestability</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Middle management</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Shift toward exception handling and translation</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Premature layer removal can create governance gaps</w:t>
            </w:r>
          </w:p>
        </w:tc>
      </w:tr>
    </w:tbl>
    <w:p>
      <w:pPr>
        <w:spacing w:after="0"/>
      </w:pPr>
    </w:p>
    <w:p>
      <w:pPr>
        <w:pStyle w:val="Heading1"/>
        <w:keepNext/>
      </w:pPr>
      <w:r>
        <w:rPr>
          <w:rFonts w:ascii="Times New Roman" w:hAnsi="Times New Roman"/>
          <w:b/>
          <w:color w:val="203864"/>
          <w:sz w:val="28"/>
        </w:rPr>
        <w:t>Discussion</w:t>
      </w:r>
    </w:p>
    <w:p>
      <w:pPr>
        <w:keepLines w:val="0"/>
        <w:spacing w:line="480" w:lineRule="auto" w:after="0"/>
        <w:ind w:firstLine="432"/>
      </w:pPr>
      <w:r>
        <w:rPr>
          <w:rFonts w:ascii="Times New Roman" w:hAnsi="Times New Roman"/>
          <w:sz w:val="24"/>
        </w:rPr>
        <w:t>The analysis shows that AI creates simultaneous pressures for decentralisation and centralisation. Information can move outward, enabling local action, while standards and monitoring can become more centralised in algorithms. This dual movement explains why organisation charts alone are poor indicators of power in digital firms. The more useful unit of analysis is the decision: who frames it, who has data, who can act, who can override and who bears responsibility.</w:t>
      </w:r>
    </w:p>
    <w:p>
      <w:pPr>
        <w:keepLines w:val="0"/>
        <w:spacing w:line="480" w:lineRule="auto" w:after="0"/>
        <w:ind w:firstLine="432"/>
      </w:pPr>
      <w:r>
        <w:rPr>
          <w:rFonts w:ascii="Times New Roman" w:hAnsi="Times New Roman"/>
          <w:sz w:val="24"/>
        </w:rPr>
        <w:t>A second implication is that middle management should be redesigned around integrative work. If AI reduces reporting and routine allocation, organisations can remove purely administrative layers. But they should retain or strengthen roles that handle exceptions, coordinate across domains, coach employees and challenge central systems. The case literature on algorithmic work cautions against assuming that a platform can substitute for these social functions without cost (Rosenblat &amp; Stark, 2016; Kellogg et al., 2020).</w:t>
      </w:r>
    </w:p>
    <w:p>
      <w:pPr>
        <w:keepLines w:val="0"/>
        <w:spacing w:line="480" w:lineRule="auto" w:after="0"/>
        <w:ind w:firstLine="432"/>
      </w:pPr>
      <w:r>
        <w:rPr>
          <w:rFonts w:ascii="Times New Roman" w:hAnsi="Times New Roman"/>
          <w:sz w:val="24"/>
        </w:rPr>
        <w:t>A third implication concerns accountability. Agentic systems can receive delegated tasks, but organisations cannot delegate legal or moral responsibility in the same way. Baird and Maruping (2021) help separate task delegation from ultimate accountability. Good structure makes both visible: the system may decide within a bounded domain, while a named role remains responsible for policy, monitoring and appeals.</w:t>
      </w:r>
    </w:p>
    <w:p>
      <w:pPr>
        <w:pStyle w:val="Heading2"/>
        <w:keepNext/>
      </w:pPr>
      <w:r>
        <w:rPr>
          <w:rFonts w:ascii="Times New Roman" w:hAnsi="Times New Roman"/>
          <w:b/>
          <w:color w:val="203864"/>
          <w:sz w:val="25"/>
        </w:rPr>
        <w:t>Design principles for a post-digital hierarchy</w:t>
      </w:r>
    </w:p>
    <w:p>
      <w:pPr>
        <w:keepLines w:val="0"/>
        <w:spacing w:line="480" w:lineRule="auto" w:after="0"/>
        <w:ind w:firstLine="432"/>
      </w:pPr>
      <w:r>
        <w:rPr>
          <w:rFonts w:ascii="Times New Roman" w:hAnsi="Times New Roman"/>
          <w:sz w:val="24"/>
        </w:rPr>
        <w:t>A practical post-digital hierarchy should distinguish between the authority to generate information, recommend action, approve action and execute action. AI may be granted one or several of these rights, but the combination should be explicit. A forecasting model can generate information without having authority to commit resources; a fraud system may be allowed to pause a transaction but require human approval for permanent account action. Separating these rights prevents a recommendation from quietly becoming a command because of interface design or organisational habit.</w:t>
      </w:r>
    </w:p>
    <w:p>
      <w:pPr>
        <w:keepLines w:val="0"/>
        <w:spacing w:line="480" w:lineRule="auto" w:after="0"/>
        <w:ind w:firstLine="432"/>
      </w:pPr>
      <w:r>
        <w:rPr>
          <w:rFonts w:ascii="Times New Roman" w:hAnsi="Times New Roman"/>
          <w:sz w:val="24"/>
        </w:rPr>
        <w:t>This separation also improves auditability. When an outcome is challenged, the organisation can identify whether the problem originated in data, model inference, a human interpretation or an execution rule. Berente et al. (2021) emphasise that managing AI creates challenges related to autonomy, learning and inscrutability. Decision-right decomposition provides a structural response by making the point of agency visible. It also supports proportional governance: low-consequence execution rights can be automated, while irreversible or high-impact actions remain subject to stronger approval.</w:t>
      </w:r>
    </w:p>
    <w:p>
      <w:pPr>
        <w:keepLines w:val="0"/>
        <w:spacing w:line="480" w:lineRule="auto" w:after="0"/>
        <w:ind w:firstLine="432"/>
      </w:pPr>
      <w:r>
        <w:rPr>
          <w:rFonts w:ascii="Times New Roman" w:hAnsi="Times New Roman"/>
          <w:sz w:val="24"/>
        </w:rPr>
        <w:t>For middle managers, the implication is a shift from information gatekeeping toward stewardship of decision systems. Their value lies in keeping local knowledge connected to enterprise standards, noticing when metrics cease to reflect reality and ensuring that employees have a credible route for exceptions. This role should be recognised in performance expectations; otherwise managers may be rewarded only for compliance with algorithmic targets and discouraged from surfacing problems. The hierarchy remains useful, but its purpose becomes less about moving information upward and more about allocating accountability and resolving uncertainty.</w:t>
      </w:r>
    </w:p>
    <w:p>
      <w:pPr>
        <w:pStyle w:val="Heading1"/>
        <w:keepNext/>
      </w:pPr>
      <w:r>
        <w:rPr>
          <w:rFonts w:ascii="Times New Roman" w:hAnsi="Times New Roman"/>
          <w:b/>
          <w:color w:val="203864"/>
          <w:sz w:val="28"/>
        </w:rPr>
        <w:t>Conclusion and Recommendations</w:t>
      </w:r>
    </w:p>
    <w:p>
      <w:pPr>
        <w:keepLines w:val="0"/>
        <w:spacing w:line="480" w:lineRule="auto" w:after="0"/>
        <w:ind w:firstLine="432"/>
      </w:pPr>
      <w:r>
        <w:rPr>
          <w:rFonts w:ascii="Times New Roman" w:hAnsi="Times New Roman"/>
          <w:sz w:val="24"/>
        </w:rPr>
        <w:t>Artificial intelligence is not simply flattening organisations. It is changing the architecture of authority by allowing information, coordination and some decision making to be embedded in software. This can support faster local action and wider spans of control, but it can also centralise rules and surveillance. The structural effect therefore depends on design choices.</w:t>
      </w:r>
    </w:p>
    <w:p>
      <w:pPr>
        <w:keepLines w:val="0"/>
        <w:spacing w:line="480" w:lineRule="auto" w:after="0"/>
        <w:ind w:firstLine="432"/>
      </w:pPr>
      <w:r>
        <w:rPr>
          <w:rFonts w:ascii="Times New Roman" w:hAnsi="Times New Roman"/>
          <w:sz w:val="24"/>
        </w:rPr>
        <w:t>Managers should apply five principles. First, map decision rights at the level of specific decisions rather than assuming the organisation chart reflects actual authority. Second, use bounded delegation: define where AI or frontline employees may act automatically and where escalation is mandatory. Third, redesign middle-management roles around integration, coaching and exception handling rather than routine information transmission. Fourth, provide practical transparency by explaining relevant decision factors, limits and appeal routes. Fifth, review power shifts explicitly, including which groups gain or lose discretion when models are introduced.</w:t>
      </w:r>
    </w:p>
    <w:p>
      <w:pPr>
        <w:keepLines w:val="0"/>
        <w:spacing w:line="480" w:lineRule="auto" w:after="0"/>
        <w:ind w:firstLine="432"/>
      </w:pPr>
      <w:r>
        <w:rPr>
          <w:rFonts w:ascii="Times New Roman" w:hAnsi="Times New Roman"/>
          <w:sz w:val="24"/>
        </w:rPr>
        <w:t>A strong AI-enabled structure preserves clear accountability while increasing information-processing capacity. The future organisation may contain fewer layers in some areas, but it still requires mechanisms for judgement, contestation and coordination. AI changes the form of hierarchy; it does not remove the organisational need to decide who has the right to decide.</w:t>
      </w:r>
    </w:p>
    <w:p>
      <w:pPr>
        <w:pStyle w:val="Heading1"/>
        <w:keepNext/>
      </w:pPr>
      <w:r>
        <w:rPr>
          <w:rFonts w:ascii="Times New Roman" w:hAnsi="Times New Roman"/>
          <w:b/>
          <w:color w:val="203864"/>
          <w:sz w:val="28"/>
        </w:rPr>
        <w:t>References</w:t>
      </w:r>
    </w:p>
    <w:p>
      <w:pPr>
        <w:spacing w:line="480" w:lineRule="auto" w:after="0"/>
        <w:ind w:left="432" w:hanging="432"/>
      </w:pPr>
      <w:r>
        <w:rPr>
          <w:rFonts w:ascii="Times New Roman" w:hAnsi="Times New Roman"/>
          <w:sz w:val="23"/>
        </w:rPr>
        <w:t>Baird, A., &amp; Maruping, L. M. (2021). The next generation of research on IS use: A theoretical framework of delegation to and from agentic IS artifacts. MIS Quarterly, 45(1), 315-341. https://doi.org/10.25300/MISQ/2021/15882</w:t>
      </w:r>
    </w:p>
    <w:p>
      <w:pPr>
        <w:spacing w:line="480" w:lineRule="auto" w:after="0"/>
        <w:ind w:left="432" w:hanging="432"/>
      </w:pPr>
      <w:r>
        <w:rPr>
          <w:rFonts w:ascii="Times New Roman" w:hAnsi="Times New Roman"/>
          <w:sz w:val="23"/>
        </w:rPr>
        <w:t>Berente, N., Gu, B., Recker, J., &amp; Santhanam, R. (2021). Managing artificial intelligence. MIS Quarterly, 45(3), 1433-1450. https://doi.org/10.25300/MISQ/2021/16274</w:t>
      </w:r>
    </w:p>
    <w:p>
      <w:pPr>
        <w:spacing w:line="480" w:lineRule="auto" w:after="0"/>
        <w:ind w:left="432" w:hanging="432"/>
      </w:pPr>
      <w:r>
        <w:rPr>
          <w:rFonts w:ascii="Times New Roman" w:hAnsi="Times New Roman"/>
          <w:sz w:val="23"/>
        </w:rPr>
        <w:t>Burns, T., &amp; Stalker, G. M. (1961). The management of innovation. Tavistock.</w:t>
      </w:r>
    </w:p>
    <w:p>
      <w:pPr>
        <w:spacing w:line="480" w:lineRule="auto" w:after="0"/>
        <w:ind w:left="432" w:hanging="432"/>
      </w:pPr>
      <w:r>
        <w:rPr>
          <w:rFonts w:ascii="Times New Roman" w:hAnsi="Times New Roman"/>
          <w:sz w:val="23"/>
        </w:rPr>
        <w:t>Child, J. (1972). Organization structure, environment and performance: The role of strategic choice. Sociology, 6(1), 1-22.</w:t>
      </w:r>
    </w:p>
    <w:p>
      <w:pPr>
        <w:spacing w:line="480" w:lineRule="auto" w:after="0"/>
        <w:ind w:left="432" w:hanging="432"/>
      </w:pPr>
      <w:r>
        <w:rPr>
          <w:rFonts w:ascii="Times New Roman" w:hAnsi="Times New Roman"/>
          <w:sz w:val="23"/>
        </w:rPr>
        <w:t>Galbraith, J. R. (1974). Organization design: An information processing view. Interfaces, 4(3), 28-36. https://doi.org/10.1287/inte.4.3.28</w:t>
      </w:r>
    </w:p>
    <w:p>
      <w:pPr>
        <w:spacing w:line="480" w:lineRule="auto" w:after="0"/>
        <w:ind w:left="432" w:hanging="432"/>
      </w:pPr>
      <w:r>
        <w:rPr>
          <w:rFonts w:ascii="Times New Roman" w:hAnsi="Times New Roman"/>
          <w:sz w:val="23"/>
        </w:rPr>
        <w:t>Kellogg, K. C., Valentine, M. A., &amp; Christin, A. (2020). Algorithms at work: The new contested terrain of control. Academy of Management Annals, 14(1), 366-410. https://doi.org/10.5465/annals.2018.0174</w:t>
      </w:r>
    </w:p>
    <w:p>
      <w:pPr>
        <w:spacing w:line="480" w:lineRule="auto" w:after="0"/>
        <w:ind w:left="432" w:hanging="432"/>
      </w:pPr>
      <w:r>
        <w:rPr>
          <w:rFonts w:ascii="Times New Roman" w:hAnsi="Times New Roman"/>
          <w:sz w:val="23"/>
        </w:rPr>
        <w:t>Lee, M. K., Kusbit, D., Metsky, E., &amp; Dabbish, L. (2015). Working with machines: The impact of algorithmic and data-driven management on human workers. Proceedings of the 33rd Annual ACM Conference on Human Factors in Computing Systems, 1603-1612. https://doi.org/10.1145/2702123.2702548</w:t>
      </w:r>
    </w:p>
    <w:p>
      <w:pPr>
        <w:spacing w:line="480" w:lineRule="auto" w:after="0"/>
        <w:ind w:left="432" w:hanging="432"/>
      </w:pPr>
      <w:r>
        <w:rPr>
          <w:rFonts w:ascii="Times New Roman" w:hAnsi="Times New Roman"/>
          <w:sz w:val="23"/>
        </w:rPr>
        <w:t>Mintzberg, H. (1983). Structure in fives: Designing effective organizations. Prentice-Hall.</w:t>
      </w:r>
    </w:p>
    <w:p>
      <w:pPr>
        <w:spacing w:line="480" w:lineRule="auto" w:after="0"/>
        <w:ind w:left="432" w:hanging="432"/>
      </w:pPr>
      <w:r>
        <w:rPr>
          <w:rFonts w:ascii="Times New Roman" w:hAnsi="Times New Roman"/>
          <w:sz w:val="23"/>
        </w:rPr>
        <w:t>Rosenblat, A., &amp; Stark, L. (2016). Algorithmic labor and information asymmetries: A case study of Uber's drivers. International Journal of Communication, 10, 3758-3784.</w:t>
      </w:r>
    </w:p>
    <w:p>
      <w:pPr>
        <w:spacing w:line="480" w:lineRule="auto" w:after="0"/>
        <w:ind w:left="432" w:hanging="432"/>
      </w:pPr>
      <w:r>
        <w:rPr>
          <w:rFonts w:ascii="Times New Roman" w:hAnsi="Times New Roman"/>
          <w:sz w:val="23"/>
        </w:rPr>
        <w:t>Seeber, I., Bittner, E., Briggs, R. O., de Vreede, T., de Vreede, G.-J., Elkins, A., Maier, R., Merz, A. B., Oeste-Reiß, S., Randrup, N., Schwabe, G., &amp; Söllner, M. (2020). Machines as teammates: A research agenda on AI in team collaboration. Information &amp; Management, 57(2), 103174. https://doi.org/10.1016/j.im.2019.103174</w:t>
      </w:r>
    </w:p>
    <w:p>
      <w:pPr>
        <w:pStyle w:val="Heading1"/>
        <w:keepNext/>
      </w:pPr>
      <w:r>
        <w:rPr>
          <w:rFonts w:ascii="Times New Roman" w:hAnsi="Times New Roman"/>
          <w:b/>
          <w:color w:val="203864"/>
          <w:sz w:val="28"/>
        </w:rPr>
        <w:t>Appendix A: Managerial Implementation Checklist</w:t>
      </w:r>
    </w:p>
    <w:p>
      <w:pPr>
        <w:pStyle w:val="ListBullet"/>
        <w:spacing w:line="360" w:lineRule="auto" w:after="60"/>
        <w:ind w:firstLine="0"/>
      </w:pPr>
      <w:r>
        <w:rPr>
          <w:rFonts w:ascii="Times New Roman" w:hAnsi="Times New Roman"/>
          <w:sz w:val="22"/>
        </w:rPr>
        <w:t>Define the decision or people/process outcome before choosing the AI tool.</w:t>
      </w:r>
    </w:p>
    <w:p>
      <w:pPr>
        <w:pStyle w:val="ListBullet"/>
        <w:spacing w:line="360" w:lineRule="auto" w:after="60"/>
        <w:ind w:firstLine="0"/>
      </w:pPr>
      <w:r>
        <w:rPr>
          <w:rFonts w:ascii="Times New Roman" w:hAnsi="Times New Roman"/>
          <w:sz w:val="22"/>
        </w:rPr>
        <w:t>Name the accountable business owner and the technical/model owner.</w:t>
      </w:r>
    </w:p>
    <w:p>
      <w:pPr>
        <w:pStyle w:val="ListBullet"/>
        <w:spacing w:line="360" w:lineRule="auto" w:after="60"/>
        <w:ind w:firstLine="0"/>
      </w:pPr>
      <w:r>
        <w:rPr>
          <w:rFonts w:ascii="Times New Roman" w:hAnsi="Times New Roman"/>
          <w:sz w:val="22"/>
        </w:rPr>
        <w:t>Document data sources, limitations, affected stakeholders and expected error modes.</w:t>
      </w:r>
    </w:p>
    <w:p>
      <w:pPr>
        <w:pStyle w:val="ListBullet"/>
        <w:spacing w:line="360" w:lineRule="auto" w:after="60"/>
        <w:ind w:firstLine="0"/>
      </w:pPr>
      <w:r>
        <w:rPr>
          <w:rFonts w:ascii="Times New Roman" w:hAnsi="Times New Roman"/>
          <w:sz w:val="22"/>
        </w:rPr>
        <w:t>Specify which outputs are advisory, which are automated and which require human approval.</w:t>
      </w:r>
    </w:p>
    <w:p>
      <w:pPr>
        <w:pStyle w:val="ListBullet"/>
        <w:spacing w:line="360" w:lineRule="auto" w:after="60"/>
        <w:ind w:firstLine="0"/>
      </w:pPr>
      <w:r>
        <w:rPr>
          <w:rFonts w:ascii="Times New Roman" w:hAnsi="Times New Roman"/>
          <w:sz w:val="22"/>
        </w:rPr>
        <w:t>Create an escalation and appeal route for unusual or consequential cases.</w:t>
      </w:r>
    </w:p>
    <w:p>
      <w:pPr>
        <w:pStyle w:val="ListBullet"/>
        <w:spacing w:line="360" w:lineRule="auto" w:after="60"/>
        <w:ind w:firstLine="0"/>
      </w:pPr>
      <w:r>
        <w:rPr>
          <w:rFonts w:ascii="Times New Roman" w:hAnsi="Times New Roman"/>
          <w:sz w:val="22"/>
        </w:rPr>
        <w:t>Monitor technical performance together with behavioural, fairness and trust indicators.</w:t>
      </w:r>
    </w:p>
    <w:p>
      <w:pPr>
        <w:pStyle w:val="ListBullet"/>
        <w:spacing w:line="360" w:lineRule="auto" w:after="60"/>
        <w:ind w:firstLine="0"/>
      </w:pPr>
      <w:r>
        <w:rPr>
          <w:rFonts w:ascii="Times New Roman" w:hAnsi="Times New Roman"/>
          <w:sz w:val="22"/>
        </w:rPr>
        <w:t>Review the system periodically and retire or redesign it when assumptions no longer hold.</w:t>
      </w:r>
    </w:p>
    <w:sectPr w:rsidR="00FC693F" w:rsidRPr="0006063C" w:rsidSect="00034616">
      <w:footerReference w:type="default" r:id="rId9"/>
      <w:pgSz w:w="12240" w:h="15840"/>
      <w:pgMar w:top="1224"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updateFields w:val="tru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ind w:firstLine="432"/>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ascii="Times New Roman" w:hAnsi="Times New Roman"/>
      <w:b/>
      <w:bCs/>
      <w:color w:val="203864"/>
      <w:sz w:val="28"/>
      <w:szCs w:val="28"/>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Theme="majorHAnsi" w:eastAsiaTheme="majorEastAsia" w:hAnsiTheme="majorHAnsi" w:cstheme="majorBidi" w:ascii="Times New Roman" w:hAnsi="Times New Roman"/>
      <w:b/>
      <w:bCs/>
      <w:color w:val="203864"/>
      <w:sz w:val="25"/>
      <w:szCs w:val="26"/>
    </w:rPr>
  </w:style>
  <w:style w:type="paragraph" w:styleId="Heading3">
    <w:name w:val="heading 3"/>
    <w:basedOn w:val="Normal"/>
    <w:next w:val="Normal"/>
    <w:link w:val="Heading3Char"/>
    <w:uiPriority w:val="9"/>
    <w:unhideWhenUsed/>
    <w:qFormat/>
    <w:rsid w:val="00FC693F"/>
    <w:pPr>
      <w:keepNext/>
      <w:keepLines/>
      <w:spacing w:before="120" w:after="80"/>
      <w:outlineLvl w:val="2"/>
    </w:pPr>
    <w:rPr>
      <w:rFonts w:asciiTheme="majorHAnsi" w:eastAsiaTheme="majorEastAsia" w:hAnsiTheme="majorHAnsi" w:cstheme="majorBidi" w:ascii="Times New Roman" w:hAnsi="Times New Roman"/>
      <w:b/>
      <w:bCs/>
      <w:color w:val="203864"/>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b/>
      <w:color w:val="203864"/>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0" w:line="480" w:lineRule="auto"/>
      <w:ind w:firstLine="432"/>
    </w:pPr>
    <w:rPr>
      <w:rFonts w:ascii="Times New Roman" w:hAnsi="Times New Roman"/>
      <w:sz w:val="24"/>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basedOn w:val="Normal"/>
    <w:pPr>
      <w:tabs>
        <w:tab w:pos="9000" w:val="right" w:leader="dot"/>
      </w:tabs>
      <w:spacing w:before="0" w:after="40" w:line="240" w:lineRule="auto"/>
      <w:ind w:left="0" w:right="0"/>
    </w:pPr>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Beyond the Hierarchy: AI, Algorithmic Coordination and the Redesign of Organisational Authority</dc:title>
  <dc:subject>Business Administration Fundamentals</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