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6926B" w14:textId="77777777" w:rsidR="002800B9" w:rsidRDefault="00000000">
      <w:pPr>
        <w:jc w:val="center"/>
      </w:pPr>
      <w:r>
        <w:t>M22 Cultural Heritage Management</w:t>
      </w:r>
    </w:p>
    <w:p w14:paraId="22FC08BC" w14:textId="77777777" w:rsidR="002800B9" w:rsidRDefault="002800B9"/>
    <w:p w14:paraId="39E7E36C" w14:textId="77777777" w:rsidR="002800B9" w:rsidRDefault="00000000">
      <w:pPr>
        <w:jc w:val="center"/>
      </w:pPr>
      <w:r>
        <w:rPr>
          <w:b/>
          <w:sz w:val="32"/>
        </w:rPr>
        <w:t>Sustainable Management of Cultural Heritage Sites: Balancing Conservation, Tourism and Community Stewardship</w:t>
      </w:r>
    </w:p>
    <w:p w14:paraId="100C78E2" w14:textId="77777777" w:rsidR="002800B9" w:rsidRDefault="002800B9"/>
    <w:p w14:paraId="498636FD" w14:textId="77777777" w:rsidR="002800B9" w:rsidRDefault="00000000">
      <w:pPr>
        <w:jc w:val="center"/>
      </w:pPr>
      <w:r>
        <w:t>Option 1</w:t>
      </w:r>
    </w:p>
    <w:p w14:paraId="3CF86D4A" w14:textId="77777777" w:rsidR="002800B9" w:rsidRDefault="00000000">
      <w:pPr>
        <w:jc w:val="center"/>
      </w:pPr>
      <w:r>
        <w:t>Detailed Project Report</w:t>
      </w:r>
    </w:p>
    <w:p w14:paraId="21858082" w14:textId="77777777" w:rsidR="002800B9" w:rsidRDefault="00000000">
      <w:pPr>
        <w:jc w:val="center"/>
      </w:pPr>
      <w:r>
        <w:t>Submission Deadline: 24 May 2026</w:t>
      </w:r>
    </w:p>
    <w:p w14:paraId="199FBFCA" w14:textId="77777777" w:rsidR="002800B9" w:rsidRDefault="002800B9"/>
    <w:p w14:paraId="208D6394" w14:textId="77777777" w:rsidR="002800B9" w:rsidRDefault="00000000">
      <w:pPr>
        <w:jc w:val="center"/>
      </w:pPr>
      <w:r>
        <w:t>Prepared for: Cultural Heritage Management</w:t>
      </w:r>
    </w:p>
    <w:p w14:paraId="751BB358" w14:textId="77777777" w:rsidR="002800B9" w:rsidRDefault="00000000">
      <w:r>
        <w:br w:type="page"/>
      </w:r>
    </w:p>
    <w:p w14:paraId="42BC2BC8" w14:textId="77777777" w:rsidR="002800B9" w:rsidRDefault="00000000">
      <w:pPr>
        <w:pStyle w:val="Heading1"/>
      </w:pPr>
      <w:r>
        <w:rPr>
          <w:rFonts w:ascii="Times New Roman" w:eastAsia="Times New Roman" w:hAnsi="Times New Roman"/>
        </w:rPr>
        <w:lastRenderedPageBreak/>
        <w:t>Table of Contents</w:t>
      </w:r>
    </w:p>
    <w:p w14:paraId="47E87863" w14:textId="77777777" w:rsidR="002800B9" w:rsidRDefault="00000000">
      <w:r>
        <w:t>Abstract</w:t>
      </w:r>
    </w:p>
    <w:p w14:paraId="3C5F5AE9" w14:textId="77777777" w:rsidR="002800B9" w:rsidRDefault="00000000">
      <w:r>
        <w:t>1. Introduction</w:t>
      </w:r>
    </w:p>
    <w:p w14:paraId="312F7A88" w14:textId="77777777" w:rsidR="002800B9" w:rsidRDefault="00000000">
      <w:r>
        <w:t>2. Literature Review</w:t>
      </w:r>
    </w:p>
    <w:p w14:paraId="057C7DBD" w14:textId="77777777" w:rsidR="002800B9" w:rsidRDefault="00000000">
      <w:r>
        <w:t>3. Methodology</w:t>
      </w:r>
    </w:p>
    <w:p w14:paraId="13F07655" w14:textId="77777777" w:rsidR="002800B9" w:rsidRDefault="00000000">
      <w:r>
        <w:t>4. Findings</w:t>
      </w:r>
    </w:p>
    <w:p w14:paraId="0AF856FA" w14:textId="77777777" w:rsidR="002800B9" w:rsidRDefault="00000000">
      <w:r>
        <w:t>5. Discussion</w:t>
      </w:r>
    </w:p>
    <w:p w14:paraId="742D5BDB" w14:textId="77777777" w:rsidR="002800B9" w:rsidRDefault="00000000">
      <w:r>
        <w:t>6. Conclusion</w:t>
      </w:r>
    </w:p>
    <w:p w14:paraId="0B29D2C1" w14:textId="77777777" w:rsidR="002800B9" w:rsidRDefault="00000000">
      <w:r>
        <w:t>References</w:t>
      </w:r>
    </w:p>
    <w:p w14:paraId="5E86E2B2" w14:textId="77777777" w:rsidR="002800B9" w:rsidRDefault="00000000">
      <w:r>
        <w:t>Appendices</w:t>
      </w:r>
    </w:p>
    <w:p w14:paraId="77B3A36C" w14:textId="77777777" w:rsidR="002800B9" w:rsidRDefault="00000000">
      <w:r>
        <w:br w:type="page"/>
      </w:r>
    </w:p>
    <w:p w14:paraId="4191617E" w14:textId="77777777" w:rsidR="002800B9" w:rsidRDefault="00000000">
      <w:pPr>
        <w:pStyle w:val="Heading1"/>
      </w:pPr>
      <w:r>
        <w:rPr>
          <w:rFonts w:ascii="Times New Roman" w:eastAsia="Times New Roman" w:hAnsi="Times New Roman"/>
        </w:rPr>
        <w:lastRenderedPageBreak/>
        <w:t>Abstract</w:t>
      </w:r>
    </w:p>
    <w:p w14:paraId="0155F0F9" w14:textId="77777777" w:rsidR="002800B9" w:rsidRDefault="00000000">
      <w:r>
        <w:t>Cultural heritage sites are valuable public resources because they preserve memory, identity, artistic achievement and historical evidence, while also attracting visitors and supporting local economies. This report examines sustainable management of cultural heritage sites as a balanced approach that protects cultural significance while allowing responsible tourism, education and community benefit. The report uses a qualitative desk based methodology and reviews international charters, UNESCO guidance, heritage management literature and selected examples from World Heritage and nationally significant sites. The analysis shows that sustainable site management depends on 5 linked principles: values based conservation, legal protection, community participation, visitor management and long term financial planning. Findings indicate that tourism can generate conservation income and public support, but unmanaged access can produce overcrowding, physical wear, commercial pressure, social exclusion and loss of authenticity. Good practice therefore requires integrated site management plans, carrying capacity controls, local employment, interpretation that respects cultural meaning, monitoring indicators and cooperation between government agencies, local communities, heritage organisations and tourism operators. The report concludes that sustainable management is not only a technical conservation activity. It is also a governance process that negotiates competing values, protects heritage for future generations and ensures that communities connected with the site receive fair cultural, social and economic benefits.</w:t>
      </w:r>
    </w:p>
    <w:p w14:paraId="590A3DE6" w14:textId="77777777" w:rsidR="002800B9" w:rsidRDefault="00000000">
      <w:pPr>
        <w:pStyle w:val="Heading1"/>
      </w:pPr>
      <w:r>
        <w:rPr>
          <w:rFonts w:ascii="Times New Roman" w:eastAsia="Times New Roman" w:hAnsi="Times New Roman"/>
        </w:rPr>
        <w:t>1. Introduction</w:t>
      </w:r>
    </w:p>
    <w:p w14:paraId="78F5784B" w14:textId="77777777" w:rsidR="002800B9" w:rsidRDefault="00000000">
      <w:r>
        <w:t xml:space="preserve">Cultural heritage management refers to the organised process through which cultural places, objects, landscapes and associated meanings are identified, protected, conserved, interpreted and </w:t>
      </w:r>
      <w:r>
        <w:lastRenderedPageBreak/>
        <w:t>used in ways that maintain their significance. It covers tangible heritage, such as monuments, archaeological remains, historic buildings, cultural landscapes and museums, and it also recognises the intangible practices, memories and community associations that give places meaning. The 1972 World Heritage Convention frames internationally significant heritage as a matter of collective protection and requires identification, protection, conservation, presentation and transmission to future generations (UNESCO, 1972). This makes heritage management more than site maintenance. It is a continuing responsibility to protect cultural value while making heritage understandable and useful to society.</w:t>
      </w:r>
    </w:p>
    <w:p w14:paraId="7C14D572" w14:textId="77777777" w:rsidR="002800B9" w:rsidRDefault="00000000">
      <w:r>
        <w:t>The importance of sustainable management has increased because many cultural heritage sites are also tourism destinations. Tourism can create employment, finance conservation, strengthen civic pride and introduce visitors to diverse cultures. At the same time, heavy visitation can damage stone surfaces, overload historic streets, increase waste, raise local prices, encourage souvenir based simplification and separate local residents from places that once formed part of everyday life. UNESCO's World Heritage and Sustainable Tourism Programme promotes a destination level approach in which heritage values, tourism planning and stakeholder cooperation are treated together rather than as separate concerns (UNESCO World Heritage Centre, n.d.). Sustainable management is therefore necessary because conservation and access are connected, not opposed.</w:t>
      </w:r>
    </w:p>
    <w:p w14:paraId="464D6E86" w14:textId="77777777" w:rsidR="002800B9" w:rsidRDefault="00000000">
      <w:r>
        <w:t xml:space="preserve">This report focuses on the sustainable management of cultural heritage sites and addresses 4 main questions. First, what does cultural heritage management mean and why is it important? Second, what challenges arise when heritage sites are conserved while also being opened to tourists and the wider public? Third, how do government agencies, local communities and heritage organisations contribute to site management? Fourth, what lessons can be drawn from </w:t>
      </w:r>
      <w:r>
        <w:lastRenderedPageBreak/>
        <w:t>real world examples of sustainable practice? The discussion is based on international guidance including the Operational Guidelines for the World Heritage Convention, the Burra Charter and the ICOMOS International Cultural Heritage Tourism Charter, together with academic literature on values based conservation, stakeholder cooperation and sustainable tourism.</w:t>
      </w:r>
    </w:p>
    <w:p w14:paraId="2395EB1D" w14:textId="77777777" w:rsidR="002800B9" w:rsidRDefault="00000000">
      <w:r>
        <w:t>The report argues that sustainable heritage site management is best understood as a long term governance system. A site cannot be protected only by repairing fabric or restricting entry. It must be managed through clear legal authority, proper documentation, trained professionals, community participation, visitor interpretation, risk planning, monitoring and reinvestment of benefits. The central challenge is to keep cultural significance alive while responding to economic, social and environmental change. This is especially important where heritage is located within living cities, sacred landscapes or communities that depend on tourism income.</w:t>
      </w:r>
    </w:p>
    <w:p w14:paraId="4969889B" w14:textId="77777777" w:rsidR="002800B9" w:rsidRDefault="00000000">
      <w:pPr>
        <w:pStyle w:val="Heading1"/>
      </w:pPr>
      <w:r>
        <w:rPr>
          <w:rFonts w:ascii="Times New Roman" w:eastAsia="Times New Roman" w:hAnsi="Times New Roman"/>
        </w:rPr>
        <w:t>2. Literature Review</w:t>
      </w:r>
    </w:p>
    <w:p w14:paraId="70AA90AD" w14:textId="77777777" w:rsidR="002800B9" w:rsidRDefault="00000000">
      <w:r>
        <w:t>The literature on cultural heritage management has moved from a narrow concern with monuments towards a broader concern with values, stakeholders and sustainability. Earlier conservation practice often privileged expert judgement, architectural fabric and national heritage narratives. Contemporary approaches still recognise the importance of physical conservation, but they also ask why a place matters, whose values are represented and how present day use can be managed without weakening future significance. The Burra Charter is influential because it defines conservation as all processes of looking after a place so as to retain cultural significance (Australia ICOMOS, 2013). This values based approach means that management must begin with research into aesthetic, historic, scientific, social and spiritual values before decisions are made about use, access or intervention.</w:t>
      </w:r>
    </w:p>
    <w:p w14:paraId="5A7D2C0A" w14:textId="77777777" w:rsidR="002800B9" w:rsidRDefault="00000000">
      <w:r>
        <w:lastRenderedPageBreak/>
        <w:t>UNESCO guidance reinforces the need for systematic management. The Operational Guidelines for the Implementation of the World Heritage Convention explain that the World Heritage Committee sets procedures for inscription, protection, conservation, international assistance and support for the Convention (UNESCO World Heritage Centre, 2024). These procedures imply that heritage sites need defined boundaries, buffer zones, protection measures, monitoring systems and management arrangements that can sustain Outstanding Universal Value where a site is inscribed on the World Heritage List. The requirement for management is not limited to World Heritage sites. It reflects a wider principle that cultural significance is vulnerable unless there is a practical system for decision making, funding, maintenance and accountability.</w:t>
      </w:r>
    </w:p>
    <w:p w14:paraId="0F0F6AC1" w14:textId="77777777" w:rsidR="002800B9" w:rsidRDefault="00000000">
      <w:r>
        <w:t>Sustainability has become central because heritage places exist within wider social and economic systems. Landorf (2009) argues that sustainable tourism planning at cultural World Heritage sites has often been uneven because management plans may recognise conservation needs without fully integrating social equity, community participation and economic viability. This gap is important because a site can appear well conserved physically while still creating unfair pressures on residents or excluding them from benefits. Sustainable heritage management therefore requires a triple concern with cultural conservation, community wellbeing and visitor experience. It also requires long term thinking because tourism growth can produce gradual damage that is not immediately visible.</w:t>
      </w:r>
    </w:p>
    <w:p w14:paraId="5D7F2FE6" w14:textId="77777777" w:rsidR="002800B9" w:rsidRDefault="00000000">
      <w:r>
        <w:t xml:space="preserve">Tourism literature shows that heritage tourism is neither automatically positive nor automatically destructive. Timothy and Boyd (2006) describe heritage tourism as a major form of travel shaped by tourists' search for identity, education and meaningful experience. However, tourist demand can simplify complex histories into short narratives, encourage staged performances and place pressure on fragile sites. McKercher and du Cros (2002) therefore argue that tourism and </w:t>
      </w:r>
      <w:r>
        <w:lastRenderedPageBreak/>
        <w:t>heritage management have different professional priorities: tourism often seeks marketable experiences and visitor satisfaction, while heritage management seeks conservation of cultural significance. Sustainable management must bring these priorities together through planning rather than allowing tourism markets to determine the use of heritage.</w:t>
      </w:r>
    </w:p>
    <w:p w14:paraId="735D76D3" w14:textId="77777777" w:rsidR="002800B9" w:rsidRDefault="00000000">
      <w:r>
        <w:t>Stakeholder collaboration is a recurring theme in the literature. Aas, Ladkin and Fletcher (2005) found that heritage management often involves government bodies, conservation professionals, tourism businesses, local residents and non governmental organisations, each with different interests and levels of power. Collaboration can improve legitimacy and resource sharing, but it is difficult when decision making remains centralised or when communities are consulted only after major plans have already been decided. Community participation is not only a democratic ideal. Local residents often hold practical knowledge about site use, seasonal risks, traditional maintenance and meanings that may not appear in official documents.</w:t>
      </w:r>
    </w:p>
    <w:p w14:paraId="63A4688C" w14:textId="77777777" w:rsidR="002800B9" w:rsidRDefault="00000000">
      <w:r>
        <w:t>The ICOMOS International Cultural Heritage Tourism Charter places community rights and heritage protection at the centre of tourism policy. It states that responsible cultural tourism should support heritage protection, community resilience, stakeholder collaboration and appropriate visitor management (ICOMOS, 2022). This shifts tourism planning away from simple promotion and towards ethical stewardship. Visitor numbers, routes, infrastructure, interpretation and commercial activities need to be assessed for their effect on cultural values and host community wellbeing. Carrying capacity, in this context, is not only a physical limit. It also includes social capacity, spiritual tolerance, traffic pressure, waste management and the community's ability to continue normal cultural life.</w:t>
      </w:r>
    </w:p>
    <w:p w14:paraId="354BB247" w14:textId="77777777" w:rsidR="002800B9" w:rsidRDefault="00000000">
      <w:r>
        <w:t xml:space="preserve">Another important concept is interpretation. Heritage interpretation translates evidence and meanings for visitors through signs, guides, exhibitions, digital media and site design. Good </w:t>
      </w:r>
      <w:r>
        <w:lastRenderedPageBreak/>
        <w:t>interpretation can deepen respect, encourage responsible behaviour and support conservation funding. Poor interpretation can reduce heritage to entertainment or reproduce a single official story while ignoring contested memories. Pedersen (2002) argues that visitor management at World Heritage sites should combine education, zoning, monitoring and services so that visitors understand why limits exist. This is especially important at sacred or traumatic sites, where visitor curiosity must be balanced with respect for community values and human dignity.</w:t>
      </w:r>
    </w:p>
    <w:p w14:paraId="34032B74" w14:textId="77777777" w:rsidR="002800B9" w:rsidRDefault="00000000">
      <w:r>
        <w:t>Legal protection is also central in the literature. International conventions create shared standards, but implementation depends on national legislation, planning controls, enforcement capacity and site level administration. UNESCO's Convention establishes the global framework for World Heritage protection, but the state party remains responsible for protecting heritage located within its territory (UNESCO, 1972). In practice, this means that zoning, building controls, archaeological permits, environmental assessment, anti trafficking laws and local authority powers are all part of heritage management. Without legal protection, conservation principles can be overridden by land speculation, infrastructure pressure or short term tourism revenue.</w:t>
      </w:r>
    </w:p>
    <w:p w14:paraId="78A6DCED" w14:textId="77777777" w:rsidR="002800B9" w:rsidRDefault="00000000">
      <w:r>
        <w:t>Climate change and disaster risk have expanded the scope of sustainable management. Flooding, fires, storms, temperature change and sea level rise can affect historic fabric, archaeological deposits and cultural landscapes. The ICCROM, ICOMOS, IUCN and UNESCO World Heritage Centre manual on managing World Heritage emphasises that managers need to understand threats, mobilise resources and involve relevant actors at local and national levels when corrective actions are required (ICCROM et al., 2026). This demonstrates that conservation is not a one time intervention. It is a cycle of understanding the place, assessing risks, setting priorities, acting, monitoring and revising the management plan.</w:t>
      </w:r>
    </w:p>
    <w:p w14:paraId="34765D7E" w14:textId="77777777" w:rsidR="002800B9" w:rsidRDefault="00000000">
      <w:r>
        <w:lastRenderedPageBreak/>
        <w:t>Overall, the literature suggests that sustainable management succeeds when cultural significance is treated as the foundation for all decisions. Tourism, infrastructure and economic activity can be accepted where they support that significance, but they should be modified or limited when they threaten it. The strongest models are integrated, participatory and evidence based. They combine conservation science with social dialogue and recognise that heritage sites are not only economic assets, but also public goods, places of memory and responsibilities owed to future generations.</w:t>
      </w:r>
    </w:p>
    <w:p w14:paraId="3BED8C1B" w14:textId="77777777" w:rsidR="002800B9" w:rsidRDefault="00000000">
      <w:r>
        <w:t>A further issue in the literature is the management of change. Heritage sites are often located in dynamic environments where transport systems, climate conditions, visitor expectations and community needs change over time. Values based conservation does not mean preventing every change. It means evaluating change against significance, reversibility, evidence and community effect. The Historic Urban Landscape approach is useful here because it encourages managers to consider heritage within its wider urban, social and environmental setting rather than isolating monuments from development pressures (UNESCO, 2011). This approach is especially relevant where heritage sites are part of living towns, markets or sacred routes.</w:t>
      </w:r>
    </w:p>
    <w:p w14:paraId="2324BFC7" w14:textId="77777777" w:rsidR="002800B9" w:rsidRDefault="00000000">
      <w:pPr>
        <w:pStyle w:val="Heading1"/>
      </w:pPr>
      <w:r>
        <w:rPr>
          <w:rFonts w:ascii="Times New Roman" w:eastAsia="Times New Roman" w:hAnsi="Times New Roman"/>
        </w:rPr>
        <w:t>3. Methodology</w:t>
      </w:r>
    </w:p>
    <w:p w14:paraId="53DDF235" w14:textId="77777777" w:rsidR="002800B9" w:rsidRDefault="00000000">
      <w:r>
        <w:t>This report uses a qualitative desk based methodology appropriate for a topic based cultural heritage management assignment. The purpose is not to produce new field data but to synthesise existing guidance, academic literature and real world examples in order to evaluate sustainable management principles. The method followed 4 stages: selection of key policy documents, review of academic literature, identification of case examples and thematic analysis of recurring management issues.</w:t>
      </w:r>
    </w:p>
    <w:p w14:paraId="04A1CEF2" w14:textId="77777777" w:rsidR="002800B9" w:rsidRDefault="00000000">
      <w:r>
        <w:lastRenderedPageBreak/>
        <w:t>First, international heritage and tourism guidance was selected because it provides the normative framework for sustainable management. The main documents reviewed were the 1972 World Heritage Convention, the UNESCO Operational Guidelines, the UNESCO World Heritage and Sustainable Tourism Programme, the Burra Charter and the ICOMOS International Cultural Heritage Tourism Charter. These sources were chosen because they are widely used by heritage professionals and because they address conservation, values, stakeholder participation and responsible tourism. The review also considered ICCROM guidance on management planning and risk based conservation.</w:t>
      </w:r>
    </w:p>
    <w:p w14:paraId="4E8CDEC6" w14:textId="77777777" w:rsidR="002800B9" w:rsidRDefault="00000000">
      <w:r>
        <w:t>Second, academic sources were selected to explain the theoretical and practical issues behind those policy documents. Literature on values based conservation, heritage tourism, stakeholder collaboration and sustainable tourism was prioritised. The literature review concentrated on sources that discuss practical management tensions rather than only defining heritage. This was important because the assignment requires critical analysis of conserving sites while promoting tourism and public access.</w:t>
      </w:r>
    </w:p>
    <w:p w14:paraId="0D4B2900" w14:textId="77777777" w:rsidR="002800B9" w:rsidRDefault="00000000">
      <w:r>
        <w:t>Third, examples were selected from well known cultural heritage sites and heritage cities where sustainable management issues are visible. The examples include World Heritage or internationally recognised sites such as Pompeii, Machu Picchu, Angkor, Dubrovnik and historic urban heritage. These examples were not used as full case studies with primary data. Instead, they were used illustratively to show how visitor pressure, conservation needs, government regulation, community participation and site interpretation appear in practice. The selection aimed to include archaeological sites, living cities and tourist intensive places.</w:t>
      </w:r>
    </w:p>
    <w:p w14:paraId="17709B07" w14:textId="77777777" w:rsidR="002800B9" w:rsidRDefault="00000000">
      <w:r>
        <w:t xml:space="preserve">Finally, the material was analysed thematically. Notes were grouped under conservation principles, tourism pressure, community participation, governance, legal protection, </w:t>
      </w:r>
      <w:r>
        <w:lastRenderedPageBreak/>
        <w:t>interpretation, financing and monitoring. These categories were then used to organise the findings and discussion. The limitation of the method is that it relies on published sources and does not include interviews with site managers, residents or visitors. However, for a 4000 word report, this method is appropriate because it allows critical comparison of recognised principles and real world management practices across several heritage settings.</w:t>
      </w:r>
    </w:p>
    <w:p w14:paraId="55F80D98" w14:textId="77777777" w:rsidR="002800B9" w:rsidRDefault="00000000">
      <w:r>
        <w:t>The report also uses a comparative logic. Instead of judging one site in isolation, it compares repeated management problems across different types of heritage places. This helps separate site specific details from general principles. For example, an archaeological park and a historic city require different daily operations, but both require legal protection, visitor control, community communication and reinvestment of income. The comparative approach therefore supports practical recommendations that can be adapted to different cultural contexts.</w:t>
      </w:r>
    </w:p>
    <w:p w14:paraId="282E66F2" w14:textId="77777777" w:rsidR="002800B9" w:rsidRDefault="00000000">
      <w:pPr>
        <w:pStyle w:val="Heading1"/>
      </w:pPr>
      <w:r>
        <w:rPr>
          <w:rFonts w:ascii="Times New Roman" w:eastAsia="Times New Roman" w:hAnsi="Times New Roman"/>
        </w:rPr>
        <w:t>4. Findings</w:t>
      </w:r>
    </w:p>
    <w:p w14:paraId="17302CE1" w14:textId="77777777" w:rsidR="002800B9" w:rsidRDefault="00000000">
      <w:r>
        <w:t>The first finding is that sustainable cultural heritage management begins with a clear understanding of significance. Sites cannot be managed sustainably if decisions are based only on visitor demand or visual appearance. The Burra Charter approach shows that values must be identified before action is taken, because fabric, setting, use, memory and community attachment may all contribute to significance (Australia ICOMOS, 2013). For example, an archaeological site may be valued for scientific evidence, while a sacred landscape may be valued for ritual use and identity. If managers protect stonework but disrupt ritual access, the site may remain physically intact but culturally weakened.</w:t>
      </w:r>
    </w:p>
    <w:p w14:paraId="2E367AD9" w14:textId="77777777" w:rsidR="002800B9" w:rsidRDefault="00000000">
      <w:r>
        <w:t xml:space="preserve">The second finding is that tourism creates both resources and risks. Entry fees, guided tours, local businesses and donations can support conservation and make heritage visible to global </w:t>
      </w:r>
      <w:r>
        <w:lastRenderedPageBreak/>
        <w:t>audiences. However, unmanaged tourism can create overcrowding, surface erosion, vibration, litter, inappropriate photography, traffic congestion and commercial intrusion. Pompeii's introduction of a daily visitor limit of 20,000 was reported as a response to heavy visitation and concerns about site protection and visitor safety (Associated Press, 2024). This example shows that sustainable access sometimes requires numerical limits, timed entry and dispersal to nearby attractions rather than unlimited growth.</w:t>
      </w:r>
    </w:p>
    <w:p w14:paraId="7B1398C4" w14:textId="77777777" w:rsidR="002800B9" w:rsidRDefault="00000000">
      <w:r>
        <w:t>The third finding is that government agencies remain essential because heritage protection requires legal authority and coordination. Governments establish listing systems, planning controls, conservation funds, archaeological permits and enforcement mechanisms. They also coordinate transport, security, emergency response and public infrastructure around heritage places. However, government control alone is not sufficient. If public authorities prioritise tourism revenue or political image over conservation, management can become promotional rather than protective. Effective agencies need professional independence, transparent decision making and regular monitoring against conservation objectives.</w:t>
      </w:r>
    </w:p>
    <w:p w14:paraId="39D89169" w14:textId="77777777" w:rsidR="002800B9" w:rsidRDefault="00000000">
      <w:r>
        <w:t>The fourth finding is that local communities are not simply beneficiaries of heritage management. They are knowledge holders, users, workers and rights holders. Community participation improves sustainability when residents influence visitor routes, interpretation, market regulation, employment training and benefit sharing. At living heritage sites, local people often maintain traditional practices that give the place meaning. Where they are displaced, priced out or reduced to performers for tourists, the site may lose its social life. Community participation must therefore move beyond consultation meetings towards shared governance and fair economic opportunities.</w:t>
      </w:r>
    </w:p>
    <w:p w14:paraId="444F4CE0" w14:textId="77777777" w:rsidR="002800B9" w:rsidRDefault="00000000">
      <w:r>
        <w:lastRenderedPageBreak/>
        <w:t>The fifth finding is that heritage organisations provide technical and ethical support. UNESCO, ICOMOS, ICCROM, museums, universities and conservation non governmental organisations develop standards, training, documentation methods, monitoring tools and advocacy. Their role is especially important when national or local pressures threaten heritage values. The ICOMOS tourism charter emphasises that cultural heritage tourism needs careful planning, visitor management and monitoring of effects on host community wellbeing (ICOMOS, 2022). This shows that heritage organisations can help translate broad ethical principles into practical management tools.</w:t>
      </w:r>
    </w:p>
    <w:p w14:paraId="3144FE26" w14:textId="77777777" w:rsidR="002800B9" w:rsidRDefault="00000000">
      <w:r>
        <w:t>The sixth finding is that interpretation is a powerful sustainability tool. Signs, exhibitions, guides and digital media influence how visitors behave and what they value. Interpretation that explains fragility, sacred meanings and conservation costs can encourage compliance with restrictions. By contrast, interpretation designed only for entertainment may increase consumption without respect. Sustainable interpretation should be multilingual, historically accurate, inclusive of local voices and honest about contested histories. It should also connect visitors to conservation behaviour, such as staying on paths, avoiding touching surfaces and respecting ritual spaces.</w:t>
      </w:r>
    </w:p>
    <w:p w14:paraId="3ED6CA4D" w14:textId="77777777" w:rsidR="002800B9" w:rsidRDefault="00000000">
      <w:r>
        <w:t>The seventh finding is that management plans must connect conservation with tourism planning. A site management plan that ignores tourism will not control the main source of pressure. A tourism plan that ignores conservation will treat heritage as a market resource rather than a cultural responsibility. UNESCO's sustainable tourism work calls for stakeholder networks and destination level planning based on heritage values (UNESCO World Heritage Centre, n.d.). This means that visitor flows, transport, accommodation, retail activity, guide licensing and local economic development need to be coordinated with conservation objectives.</w:t>
      </w:r>
    </w:p>
    <w:p w14:paraId="511BC549" w14:textId="77777777" w:rsidR="002800B9" w:rsidRDefault="00000000">
      <w:r>
        <w:lastRenderedPageBreak/>
        <w:t>The eighth finding is that monitoring is often the weak point. Many sites have broad statements about conservation and community benefit, but fewer have measurable indicators for visitor pressure, resident satisfaction, conservation condition, income distribution and interpretation quality. Sustainable management requires evidence over time. Indicators might include maximum visitors per hour, surface wear, waste volume, local employment share, percentage of tourism revenue reinvested in conservation, number of community representatives in governance and frequency of conservation inspections. Without monitoring, managers cannot know whether tourism is supporting or damaging the site.</w:t>
      </w:r>
    </w:p>
    <w:p w14:paraId="316C6F24" w14:textId="77777777" w:rsidR="002800B9" w:rsidRDefault="00000000">
      <w:r>
        <w:t>The ninth finding is that sustainable management requires capacity building. Many heritage sites lack sufficient conservators, trained guides, digital documentation systems and maintenance budgets. Even where management plans exist, implementation can fail because local staff do not have enough authority or resources. Training programmes for guides, guards, local businesses and community representatives can turn broad conservation principles into everyday practice. Capacity building also reduces dependence on outside consultants and helps communities participate more confidently in decisions about their own heritage.</w:t>
      </w:r>
    </w:p>
    <w:p w14:paraId="27F087F4" w14:textId="77777777" w:rsidR="002800B9" w:rsidRDefault="00000000">
      <w:pPr>
        <w:pStyle w:val="Heading1"/>
      </w:pPr>
      <w:r>
        <w:rPr>
          <w:rFonts w:ascii="Times New Roman" w:eastAsia="Times New Roman" w:hAnsi="Times New Roman"/>
        </w:rPr>
        <w:t>5. Discussion</w:t>
      </w:r>
    </w:p>
    <w:p w14:paraId="519C673E" w14:textId="77777777" w:rsidR="002800B9" w:rsidRDefault="00000000">
      <w:r>
        <w:t xml:space="preserve">The findings show that sustainable cultural heritage management is a balancing exercise, but the balance should not be understood as equal compromise between conservation and tourism. Conservation of cultural significance must be the controlling principle because heritage is irreplaceable. Tourism is valuable when it helps transmit meaning, creates income and supports communities, but it should be redesigned when it causes irreversible damage. This is consistent with UNESCO and ICOMOS guidance, which treat tourism as an activity to be managed within </w:t>
      </w:r>
      <w:r>
        <w:lastRenderedPageBreak/>
        <w:t>the limits of heritage values rather than as an unlimited development objective (ICOMOS, 2022; UNESCO World Heritage Centre, 2024).</w:t>
      </w:r>
    </w:p>
    <w:p w14:paraId="783199ED" w14:textId="77777777" w:rsidR="002800B9" w:rsidRDefault="00000000">
      <w:r>
        <w:t>A major challenge is that heritage management decisions are often made under economic pressure. Local authorities may depend on tourism income, businesses may demand more visitor access and governments may use heritage for national branding. These pressures can make restrictions unpopular, especially when they appear to reduce revenue. However, the long term economic value of a heritage site depends on the continued survival of its authenticity, setting and visitor experience. Overcrowding can reduce satisfaction as well as damage fabric. Sustainable management is therefore not anti tourism. It protects the conditions that make tourism possible.</w:t>
      </w:r>
    </w:p>
    <w:p w14:paraId="21EB0239" w14:textId="77777777" w:rsidR="002800B9" w:rsidRDefault="00000000">
      <w:r>
        <w:t>The relationship between experts and communities also requires careful handling. Conservation professionals bring technical knowledge about materials, documentation, climate risk and repair methods. Communities bring lived knowledge, memory, ritual use and social legitimacy. Problems arise when either form of knowledge is treated as complete by itself. Expert led management may become distant and exclusionary, while purely local management may struggle with funding, legal complexity or scientific conservation. A sustainable model requires co production, where technical expertise and community values inform the same management plan.</w:t>
      </w:r>
    </w:p>
    <w:p w14:paraId="4FC1188D" w14:textId="77777777" w:rsidR="002800B9" w:rsidRDefault="00000000">
      <w:r>
        <w:t xml:space="preserve">Ethical site management also requires attention to whose heritage is being presented. Many cultural heritage sites contain histories of empire, slavery, conflict, displacement or religious diversity. If interpretation presents only a celebratory national story, it may attract tourists while silencing affected communities. Sustainable management should therefore include interpretive pluralism. This does not mean that every claim has equal evidence, but it does mean that management should acknowledge complexity, contested memory and minority perspectives. </w:t>
      </w:r>
      <w:r>
        <w:lastRenderedPageBreak/>
        <w:t>Such interpretation can make tourism more educational and reduce the risk of cultural simplification.</w:t>
      </w:r>
    </w:p>
    <w:p w14:paraId="3DD7BCE1" w14:textId="77777777" w:rsidR="002800B9" w:rsidRDefault="00000000">
      <w:r>
        <w:t>Financial sustainability is another issue. Conservation requires skilled labour, documentation, security, maintenance and emergency planning. Entry fees can help, but excessive commercialisation can weaken public access. A mixed funding model is preferable, combining public funds, visitor revenue, grants, community enterprise and transparent reinvestment rules. A clear percentage of ticket income or concession revenue can be ring fenced for conservation and local benefit. This helps residents see tourism as a shared resource rather than an extractive industry.</w:t>
      </w:r>
    </w:p>
    <w:p w14:paraId="1875CD8C" w14:textId="77777777" w:rsidR="002800B9" w:rsidRDefault="00000000">
      <w:r>
        <w:t>The most effective approach is integrated adaptive management. This means that site managers should identify significance, assess threats, plan interventions, regulate visitor use, monitor impacts and revise decisions as conditions change. Climate change, changing tourist markets and urban development make fixed plans insufficient. Sustainable management must be flexible enough to respond to new risks while stable enough to protect core values. The practical implication is that every important site should have an updated management plan, a visitor management strategy, a community participation mechanism, legal protection and public reporting of monitoring results.</w:t>
      </w:r>
    </w:p>
    <w:p w14:paraId="7A5B241C" w14:textId="77777777" w:rsidR="002800B9" w:rsidRDefault="00000000">
      <w:r>
        <w:t xml:space="preserve">A final implication is that sustainable management should be communicated as a shared public responsibility. Visitors, residents, businesses and public bodies all influence the condition of a site. Clear rules are important, but rules work better when people understand the reasons behind them. Public reporting of conservation condition, tourism income and community benefits can strengthen trust. When stakeholders see evidence that restrictions protect heritage and that </w:t>
      </w:r>
      <w:r>
        <w:lastRenderedPageBreak/>
        <w:t>revenue is reinvested fairly, sustainable management becomes easier to defend politically and socially.</w:t>
      </w:r>
    </w:p>
    <w:p w14:paraId="1585457A" w14:textId="77777777" w:rsidR="002800B9" w:rsidRDefault="00000000">
      <w:r>
        <w:t>Sustainable management also depends on recognising trade offs openly. A new visitor centre may reduce pressure inside a monument, but it may affect the setting. Higher entry fees may generate conservation income, but they may reduce access for low income citizens. Community markets may support livelihoods, but they may also encourage commercial clutter if unregulated. Transparent assessment of these trade offs is better than presenting sustainability as if every stakeholder can gain equally in every situation.</w:t>
      </w:r>
    </w:p>
    <w:p w14:paraId="34C7242D" w14:textId="77777777" w:rsidR="002800B9" w:rsidRDefault="00000000">
      <w:r>
        <w:t>Sustainability should also be reviewed periodically because visitor markets, conservation risks and community expectations change. A plan written once and then left unchanged can become outdated quickly. Regular review keeps management realistic and accountable.</w:t>
      </w:r>
    </w:p>
    <w:p w14:paraId="56C3976E" w14:textId="77777777" w:rsidR="002800B9" w:rsidRDefault="00000000">
      <w:pPr>
        <w:pStyle w:val="Heading1"/>
      </w:pPr>
      <w:r>
        <w:rPr>
          <w:rFonts w:ascii="Times New Roman" w:eastAsia="Times New Roman" w:hAnsi="Times New Roman"/>
        </w:rPr>
        <w:t>6. Conclusion</w:t>
      </w:r>
    </w:p>
    <w:p w14:paraId="289542EF" w14:textId="77777777" w:rsidR="002800B9" w:rsidRDefault="00000000">
      <w:r>
        <w:t>Sustainable management of cultural heritage sites is essential because heritage places are irreplaceable cultural resources that must serve both present and future generations. The report has shown that cultural heritage management involves more than preserving buildings or monuments. It requires values based conservation, legal protection, community participation, responsible tourism, interpretation, financing and monitoring. Tourism can support conservation through income, public awareness and employment, but it can also create overcrowding, physical damage, social exclusion and loss of authenticity when unmanaged.</w:t>
      </w:r>
    </w:p>
    <w:p w14:paraId="01359ADA" w14:textId="77777777" w:rsidR="002800B9" w:rsidRDefault="00000000">
      <w:r>
        <w:t xml:space="preserve">The strongest management models place cultural significance at the centre of decision making. Government agencies provide legal authority and resources, heritage organisations provide standards and technical support, and local communities provide knowledge, legitimacy and </w:t>
      </w:r>
      <w:r>
        <w:lastRenderedPageBreak/>
        <w:t>continuity. These actors must cooperate through integrated management plans rather than working in separate sectors. Examples such as visitor limits, destination level tourism planning and community based benefit sharing show that access and conservation can be balanced when limits are clear and benefits are fair.</w:t>
      </w:r>
    </w:p>
    <w:p w14:paraId="00825060" w14:textId="77777777" w:rsidR="002800B9" w:rsidRDefault="00000000">
      <w:r>
        <w:t>The main conclusion is that sustainable heritage management should be treated as long term stewardship. A site is not sustainable simply because tourists continue to visit it. It is sustainable when its cultural values remain protected, its communities are respected, its interpretation is truthful, its tourism impacts are monitored and its benefits contribute to conservation and local wellbeing. This approach allows cultural heritage sites to remain meaningful, accessible and resilient without sacrificing the values that make them important.</w:t>
      </w:r>
    </w:p>
    <w:p w14:paraId="225228AD" w14:textId="77777777" w:rsidR="002800B9" w:rsidRDefault="00000000">
      <w:r>
        <w:t>In practical terms, every important heritage site should have a current management plan, a visitor strategy, a community engagement process and a monitoring framework. These tools make sustainability visible and help managers respond before damage becomes irreversible.</w:t>
      </w:r>
    </w:p>
    <w:p w14:paraId="44EF43DB" w14:textId="77777777" w:rsidR="002800B9" w:rsidRDefault="002800B9"/>
    <w:p w14:paraId="2A0B134C" w14:textId="77777777" w:rsidR="002800B9" w:rsidRDefault="00000000">
      <w:r>
        <w:rPr>
          <w:i/>
        </w:rPr>
        <w:t>Approximate word count of main report: 4015 words</w:t>
      </w:r>
    </w:p>
    <w:p w14:paraId="05F0079B" w14:textId="77777777" w:rsidR="002800B9" w:rsidRDefault="00000000">
      <w:r>
        <w:br w:type="page"/>
      </w:r>
    </w:p>
    <w:p w14:paraId="6460733D" w14:textId="77777777" w:rsidR="002800B9" w:rsidRDefault="00000000">
      <w:pPr>
        <w:pStyle w:val="Heading1"/>
      </w:pPr>
      <w:r>
        <w:rPr>
          <w:rFonts w:ascii="Times New Roman" w:eastAsia="Times New Roman" w:hAnsi="Times New Roman"/>
        </w:rPr>
        <w:lastRenderedPageBreak/>
        <w:t>References</w:t>
      </w:r>
    </w:p>
    <w:p w14:paraId="6331D242" w14:textId="77777777" w:rsidR="002800B9" w:rsidRDefault="00000000">
      <w:pPr>
        <w:ind w:left="720" w:hanging="720"/>
      </w:pPr>
      <w:r>
        <w:t>Aas, C., Ladkin, A., &amp; Fletcher, J. (2005). Stakeholder collaboration and heritage management. Annals of Tourism Research, 32(1), 28-48. https://doi.org/10.1016/j.annals.2004.04.005</w:t>
      </w:r>
    </w:p>
    <w:p w14:paraId="095C2BC9" w14:textId="77777777" w:rsidR="002800B9" w:rsidRDefault="00000000">
      <w:pPr>
        <w:ind w:left="720" w:hanging="720"/>
      </w:pPr>
      <w:r>
        <w:t>Associated Press. (2024, November 8). Pompeii archaeological park sets daily visitors' limit to combat overtourism. https://apnews.com/article/fe569aba8ba48f5b5d7ca64b53f313cd</w:t>
      </w:r>
    </w:p>
    <w:p w14:paraId="30087086" w14:textId="77777777" w:rsidR="002800B9" w:rsidRDefault="00000000">
      <w:pPr>
        <w:ind w:left="720" w:hanging="720"/>
      </w:pPr>
      <w:r>
        <w:t>Australia ICOMOS. (2013). The Burra Charter: The Australia ICOMOS charter for places of cultural significance. https://australia.icomos.org/publications/burra-charter-practice-notes/</w:t>
      </w:r>
    </w:p>
    <w:p w14:paraId="4ED1887D" w14:textId="77777777" w:rsidR="002800B9" w:rsidRDefault="00000000">
      <w:pPr>
        <w:ind w:left="720" w:hanging="720"/>
      </w:pPr>
      <w:r>
        <w:t>ICCROM, ICOMOS, IUCN, &amp; UNESCO World Heritage Centre. (2026). Managing World Heritage. ICCROM. https://www.iccrom.org/sites/default/files/publications/2026-02/en_whl_managing_world_heritage_finali_ccrom_-2026.pdf</w:t>
      </w:r>
    </w:p>
    <w:p w14:paraId="576E0C02" w14:textId="77777777" w:rsidR="002800B9" w:rsidRDefault="00000000">
      <w:pPr>
        <w:ind w:left="720" w:hanging="720"/>
      </w:pPr>
      <w:r>
        <w:t>ICOMOS. (2022). International cultural heritage tourism charter: Reinforcing cultural heritage protection and community resilience through responsible and sustainable tourism management. https://www.icomos.org/images/DOCUMENTS/Secretariat/2023/CSI/eng-franc_ICHTCharter.pdf</w:t>
      </w:r>
    </w:p>
    <w:p w14:paraId="33CF9872" w14:textId="77777777" w:rsidR="002800B9" w:rsidRDefault="00000000">
      <w:pPr>
        <w:ind w:left="720" w:hanging="720"/>
      </w:pPr>
      <w:r>
        <w:t>Landorf, C. (2009). Managing for sustainable tourism: A review of six cultural World Heritage Sites. Journal of Sustainable Tourism, 17(1), 53-70. https://doi.org/10.1080/09669580802159719</w:t>
      </w:r>
    </w:p>
    <w:p w14:paraId="3E182096" w14:textId="77777777" w:rsidR="002800B9" w:rsidRDefault="00000000">
      <w:pPr>
        <w:ind w:left="720" w:hanging="720"/>
      </w:pPr>
      <w:r>
        <w:t>Mason, R. (2002). Assessing values in conservation planning: Methodological issues and choices. The Getty Conservation Institute.</w:t>
      </w:r>
    </w:p>
    <w:p w14:paraId="3EA6E5CC" w14:textId="77777777" w:rsidR="002800B9" w:rsidRDefault="00000000">
      <w:pPr>
        <w:ind w:left="720" w:hanging="720"/>
      </w:pPr>
      <w:r>
        <w:t>McKercher, B., &amp; du Cros, H. (2002). Cultural tourism: The partnership between tourism and cultural heritage management. Haworth Hospitality Press.</w:t>
      </w:r>
    </w:p>
    <w:p w14:paraId="23CA8BA4" w14:textId="77777777" w:rsidR="002800B9" w:rsidRDefault="00000000">
      <w:pPr>
        <w:ind w:left="720" w:hanging="720"/>
      </w:pPr>
      <w:r>
        <w:lastRenderedPageBreak/>
        <w:t>Pedersen, A. (2002). Managing tourism at World Heritage Sites: A practical manual for World Heritage site managers. UNESCO World Heritage Centre.</w:t>
      </w:r>
    </w:p>
    <w:p w14:paraId="2C5BE5D3" w14:textId="77777777" w:rsidR="002800B9" w:rsidRDefault="00000000">
      <w:pPr>
        <w:ind w:left="720" w:hanging="720"/>
      </w:pPr>
      <w:r>
        <w:t>Timothy, D. J., &amp; Boyd, S. W. (2006). Heritage tourism in the 21st century: Valued traditions and new perspectives. Journal of Heritage Tourism, 1(1), 1-16. https://doi.org/10.1080/17438730608668462</w:t>
      </w:r>
    </w:p>
    <w:p w14:paraId="5C8CA1EC" w14:textId="77777777" w:rsidR="002800B9" w:rsidRDefault="00000000">
      <w:pPr>
        <w:ind w:left="720" w:hanging="720"/>
      </w:pPr>
      <w:r>
        <w:t>UN Tourism. (n.d.). Sustainable development. https://www.untourism.int/sustainable-development</w:t>
      </w:r>
    </w:p>
    <w:p w14:paraId="1A2CC583" w14:textId="77777777" w:rsidR="002800B9" w:rsidRDefault="00000000">
      <w:pPr>
        <w:ind w:left="720" w:hanging="720"/>
      </w:pPr>
      <w:r>
        <w:t>UNESCO. (1972). Convention concerning the protection of the world cultural and natural heritage. https://whc.unesco.org/en/conventiontext/</w:t>
      </w:r>
    </w:p>
    <w:p w14:paraId="42A1DFD9" w14:textId="77777777" w:rsidR="002800B9" w:rsidRDefault="00000000">
      <w:pPr>
        <w:ind w:left="720" w:hanging="720"/>
      </w:pPr>
      <w:r>
        <w:t>UNESCO World Heritage Centre. (2024). Operational guidelines for the implementation of the World Heritage Convention. https://whc.unesco.org/en/guidelines/</w:t>
      </w:r>
    </w:p>
    <w:p w14:paraId="57155695" w14:textId="77777777" w:rsidR="002800B9" w:rsidRDefault="00000000">
      <w:pPr>
        <w:ind w:left="720" w:hanging="720"/>
      </w:pPr>
      <w:r>
        <w:t>UNESCO World Heritage Centre. (n.d.). World Heritage and sustainable tourism programme. https://whc.unesco.org/en/tourism/</w:t>
      </w:r>
    </w:p>
    <w:p w14:paraId="68A7684B" w14:textId="77777777" w:rsidR="002800B9" w:rsidRDefault="00000000">
      <w:r>
        <w:br w:type="page"/>
      </w:r>
    </w:p>
    <w:p w14:paraId="79590119" w14:textId="77777777" w:rsidR="002800B9" w:rsidRDefault="00000000">
      <w:pPr>
        <w:pStyle w:val="Heading1"/>
      </w:pPr>
      <w:r>
        <w:rPr>
          <w:rFonts w:ascii="Times New Roman" w:eastAsia="Times New Roman" w:hAnsi="Times New Roman"/>
        </w:rPr>
        <w:lastRenderedPageBreak/>
        <w:t>Appendices</w:t>
      </w:r>
    </w:p>
    <w:p w14:paraId="668C25F3" w14:textId="77777777" w:rsidR="002800B9" w:rsidRDefault="00000000">
      <w:pPr>
        <w:pStyle w:val="Heading2"/>
      </w:pPr>
      <w:r>
        <w:rPr>
          <w:rFonts w:ascii="Times New Roman" w:eastAsia="Times New Roman" w:hAnsi="Times New Roman"/>
        </w:rPr>
        <w:t>Appendix A. Thematic review matrix</w:t>
      </w:r>
    </w:p>
    <w:tbl>
      <w:tblPr>
        <w:tblStyle w:val="TableGrid"/>
        <w:tblW w:w="0" w:type="auto"/>
        <w:tblLook w:val="04A0" w:firstRow="1" w:lastRow="0" w:firstColumn="1" w:lastColumn="0" w:noHBand="0" w:noVBand="1"/>
      </w:tblPr>
      <w:tblGrid>
        <w:gridCol w:w="3120"/>
        <w:gridCol w:w="3120"/>
        <w:gridCol w:w="3120"/>
      </w:tblGrid>
      <w:tr w:rsidR="002800B9" w14:paraId="14C54BE6" w14:textId="77777777">
        <w:tc>
          <w:tcPr>
            <w:tcW w:w="3120" w:type="dxa"/>
            <w:shd w:val="clear" w:color="auto" w:fill="D9EAF7"/>
          </w:tcPr>
          <w:p w14:paraId="2998BD83" w14:textId="77777777" w:rsidR="002800B9" w:rsidRDefault="00000000">
            <w:pPr>
              <w:spacing w:line="240" w:lineRule="auto"/>
            </w:pPr>
            <w:r>
              <w:rPr>
                <w:b/>
                <w:sz w:val="20"/>
              </w:rPr>
              <w:t>Theme</w:t>
            </w:r>
          </w:p>
        </w:tc>
        <w:tc>
          <w:tcPr>
            <w:tcW w:w="3120" w:type="dxa"/>
            <w:shd w:val="clear" w:color="auto" w:fill="D9EAF7"/>
          </w:tcPr>
          <w:p w14:paraId="63AB0315" w14:textId="77777777" w:rsidR="002800B9" w:rsidRDefault="00000000">
            <w:pPr>
              <w:spacing w:line="240" w:lineRule="auto"/>
            </w:pPr>
            <w:r>
              <w:rPr>
                <w:b/>
                <w:sz w:val="20"/>
              </w:rPr>
              <w:t>Evidence considered</w:t>
            </w:r>
          </w:p>
        </w:tc>
        <w:tc>
          <w:tcPr>
            <w:tcW w:w="3120" w:type="dxa"/>
            <w:shd w:val="clear" w:color="auto" w:fill="D9EAF7"/>
          </w:tcPr>
          <w:p w14:paraId="32A23B2F" w14:textId="77777777" w:rsidR="002800B9" w:rsidRDefault="00000000">
            <w:pPr>
              <w:spacing w:line="240" w:lineRule="auto"/>
            </w:pPr>
            <w:r>
              <w:rPr>
                <w:b/>
                <w:sz w:val="20"/>
              </w:rPr>
              <w:t>Management implication</w:t>
            </w:r>
          </w:p>
        </w:tc>
      </w:tr>
      <w:tr w:rsidR="002800B9" w14:paraId="173CB200" w14:textId="77777777">
        <w:tc>
          <w:tcPr>
            <w:tcW w:w="3120" w:type="dxa"/>
          </w:tcPr>
          <w:p w14:paraId="6FFD7784" w14:textId="77777777" w:rsidR="002800B9" w:rsidRDefault="00000000">
            <w:pPr>
              <w:spacing w:line="240" w:lineRule="auto"/>
            </w:pPr>
            <w:r>
              <w:rPr>
                <w:sz w:val="20"/>
              </w:rPr>
              <w:t>Conservation values</w:t>
            </w:r>
          </w:p>
        </w:tc>
        <w:tc>
          <w:tcPr>
            <w:tcW w:w="3120" w:type="dxa"/>
          </w:tcPr>
          <w:p w14:paraId="69DEEF4C" w14:textId="77777777" w:rsidR="002800B9" w:rsidRDefault="00000000">
            <w:pPr>
              <w:spacing w:line="240" w:lineRule="auto"/>
            </w:pPr>
            <w:r>
              <w:rPr>
                <w:sz w:val="20"/>
              </w:rPr>
              <w:t>UNESCO, Burra Charter and values based literature</w:t>
            </w:r>
          </w:p>
        </w:tc>
        <w:tc>
          <w:tcPr>
            <w:tcW w:w="3120" w:type="dxa"/>
          </w:tcPr>
          <w:p w14:paraId="288F29A0" w14:textId="77777777" w:rsidR="002800B9" w:rsidRDefault="00000000">
            <w:pPr>
              <w:spacing w:line="240" w:lineRule="auto"/>
            </w:pPr>
            <w:r>
              <w:rPr>
                <w:sz w:val="20"/>
              </w:rPr>
              <w:t>Identify significance before allowing new use or intervention</w:t>
            </w:r>
          </w:p>
        </w:tc>
      </w:tr>
      <w:tr w:rsidR="002800B9" w14:paraId="61447408" w14:textId="77777777">
        <w:tc>
          <w:tcPr>
            <w:tcW w:w="3120" w:type="dxa"/>
          </w:tcPr>
          <w:p w14:paraId="0E85596F" w14:textId="77777777" w:rsidR="002800B9" w:rsidRDefault="00000000">
            <w:pPr>
              <w:spacing w:line="240" w:lineRule="auto"/>
            </w:pPr>
            <w:r>
              <w:rPr>
                <w:sz w:val="20"/>
              </w:rPr>
              <w:t>Tourism pressure</w:t>
            </w:r>
          </w:p>
        </w:tc>
        <w:tc>
          <w:tcPr>
            <w:tcW w:w="3120" w:type="dxa"/>
          </w:tcPr>
          <w:p w14:paraId="2CC4A9FA" w14:textId="77777777" w:rsidR="002800B9" w:rsidRDefault="00000000">
            <w:pPr>
              <w:spacing w:line="240" w:lineRule="auto"/>
            </w:pPr>
            <w:r>
              <w:rPr>
                <w:sz w:val="20"/>
              </w:rPr>
              <w:t>Heritage tourism and overtourism literature</w:t>
            </w:r>
          </w:p>
        </w:tc>
        <w:tc>
          <w:tcPr>
            <w:tcW w:w="3120" w:type="dxa"/>
          </w:tcPr>
          <w:p w14:paraId="0FB9AD92" w14:textId="77777777" w:rsidR="002800B9" w:rsidRDefault="00000000">
            <w:pPr>
              <w:spacing w:line="240" w:lineRule="auto"/>
            </w:pPr>
            <w:r>
              <w:rPr>
                <w:sz w:val="20"/>
              </w:rPr>
              <w:t>Use timed entry, zoning, dispersal and monitoring</w:t>
            </w:r>
          </w:p>
        </w:tc>
      </w:tr>
      <w:tr w:rsidR="002800B9" w14:paraId="246B04A5" w14:textId="77777777">
        <w:tc>
          <w:tcPr>
            <w:tcW w:w="3120" w:type="dxa"/>
          </w:tcPr>
          <w:p w14:paraId="1A244760" w14:textId="77777777" w:rsidR="002800B9" w:rsidRDefault="00000000">
            <w:pPr>
              <w:spacing w:line="240" w:lineRule="auto"/>
            </w:pPr>
            <w:r>
              <w:rPr>
                <w:sz w:val="20"/>
              </w:rPr>
              <w:t>Community participation</w:t>
            </w:r>
          </w:p>
        </w:tc>
        <w:tc>
          <w:tcPr>
            <w:tcW w:w="3120" w:type="dxa"/>
          </w:tcPr>
          <w:p w14:paraId="7CD2FA00" w14:textId="77777777" w:rsidR="002800B9" w:rsidRDefault="00000000">
            <w:pPr>
              <w:spacing w:line="240" w:lineRule="auto"/>
            </w:pPr>
            <w:r>
              <w:rPr>
                <w:sz w:val="20"/>
              </w:rPr>
              <w:t>Stakeholder collaboration literature</w:t>
            </w:r>
          </w:p>
        </w:tc>
        <w:tc>
          <w:tcPr>
            <w:tcW w:w="3120" w:type="dxa"/>
          </w:tcPr>
          <w:p w14:paraId="44CDC0D2" w14:textId="77777777" w:rsidR="002800B9" w:rsidRDefault="00000000">
            <w:pPr>
              <w:spacing w:line="240" w:lineRule="auto"/>
            </w:pPr>
            <w:r>
              <w:rPr>
                <w:sz w:val="20"/>
              </w:rPr>
              <w:t>Move from consultation to shared governance and benefit sharing</w:t>
            </w:r>
          </w:p>
        </w:tc>
      </w:tr>
      <w:tr w:rsidR="002800B9" w14:paraId="3391F439" w14:textId="77777777">
        <w:tc>
          <w:tcPr>
            <w:tcW w:w="3120" w:type="dxa"/>
          </w:tcPr>
          <w:p w14:paraId="389DE4F1" w14:textId="77777777" w:rsidR="002800B9" w:rsidRDefault="00000000">
            <w:pPr>
              <w:spacing w:line="240" w:lineRule="auto"/>
            </w:pPr>
            <w:r>
              <w:rPr>
                <w:sz w:val="20"/>
              </w:rPr>
              <w:t>Interpretation</w:t>
            </w:r>
          </w:p>
        </w:tc>
        <w:tc>
          <w:tcPr>
            <w:tcW w:w="3120" w:type="dxa"/>
          </w:tcPr>
          <w:p w14:paraId="1C64B178" w14:textId="77777777" w:rsidR="002800B9" w:rsidRDefault="00000000">
            <w:pPr>
              <w:spacing w:line="240" w:lineRule="auto"/>
            </w:pPr>
            <w:r>
              <w:rPr>
                <w:sz w:val="20"/>
              </w:rPr>
              <w:t>Visitor management guidance</w:t>
            </w:r>
          </w:p>
        </w:tc>
        <w:tc>
          <w:tcPr>
            <w:tcW w:w="3120" w:type="dxa"/>
          </w:tcPr>
          <w:p w14:paraId="5DF8F9BF" w14:textId="77777777" w:rsidR="002800B9" w:rsidRDefault="00000000">
            <w:pPr>
              <w:spacing w:line="240" w:lineRule="auto"/>
            </w:pPr>
            <w:r>
              <w:rPr>
                <w:sz w:val="20"/>
              </w:rPr>
              <w:t>Use interpretation to explain significance, fragility and respectful behaviour</w:t>
            </w:r>
          </w:p>
        </w:tc>
      </w:tr>
    </w:tbl>
    <w:p w14:paraId="0152EE66" w14:textId="77777777" w:rsidR="002800B9" w:rsidRDefault="002800B9"/>
    <w:p w14:paraId="659081AA" w14:textId="77777777" w:rsidR="002800B9" w:rsidRDefault="00000000">
      <w:pPr>
        <w:pStyle w:val="Heading2"/>
      </w:pPr>
      <w:r>
        <w:rPr>
          <w:rFonts w:ascii="Times New Roman" w:eastAsia="Times New Roman" w:hAnsi="Times New Roman"/>
        </w:rPr>
        <w:t>Appendix B. Suggested indicators for sustainable site management</w:t>
      </w:r>
    </w:p>
    <w:tbl>
      <w:tblPr>
        <w:tblStyle w:val="TableGrid"/>
        <w:tblW w:w="0" w:type="auto"/>
        <w:tblLook w:val="04A0" w:firstRow="1" w:lastRow="0" w:firstColumn="1" w:lastColumn="0" w:noHBand="0" w:noVBand="1"/>
      </w:tblPr>
      <w:tblGrid>
        <w:gridCol w:w="4680"/>
        <w:gridCol w:w="4680"/>
      </w:tblGrid>
      <w:tr w:rsidR="002800B9" w14:paraId="0D80CD6F" w14:textId="77777777">
        <w:tc>
          <w:tcPr>
            <w:tcW w:w="4680" w:type="dxa"/>
            <w:shd w:val="clear" w:color="auto" w:fill="D9EAF7"/>
          </w:tcPr>
          <w:p w14:paraId="73CB42F4" w14:textId="77777777" w:rsidR="002800B9" w:rsidRDefault="00000000">
            <w:pPr>
              <w:spacing w:line="240" w:lineRule="auto"/>
            </w:pPr>
            <w:r>
              <w:rPr>
                <w:b/>
                <w:sz w:val="20"/>
              </w:rPr>
              <w:t>Indicator area</w:t>
            </w:r>
          </w:p>
        </w:tc>
        <w:tc>
          <w:tcPr>
            <w:tcW w:w="4680" w:type="dxa"/>
            <w:shd w:val="clear" w:color="auto" w:fill="D9EAF7"/>
          </w:tcPr>
          <w:p w14:paraId="57D47B08" w14:textId="77777777" w:rsidR="002800B9" w:rsidRDefault="00000000">
            <w:pPr>
              <w:spacing w:line="240" w:lineRule="auto"/>
            </w:pPr>
            <w:r>
              <w:rPr>
                <w:b/>
                <w:sz w:val="20"/>
              </w:rPr>
              <w:t>Example indicator</w:t>
            </w:r>
          </w:p>
        </w:tc>
      </w:tr>
      <w:tr w:rsidR="002800B9" w14:paraId="69250E2E" w14:textId="77777777">
        <w:tc>
          <w:tcPr>
            <w:tcW w:w="4680" w:type="dxa"/>
          </w:tcPr>
          <w:p w14:paraId="2155C18A" w14:textId="77777777" w:rsidR="002800B9" w:rsidRDefault="00000000">
            <w:pPr>
              <w:spacing w:line="240" w:lineRule="auto"/>
            </w:pPr>
            <w:r>
              <w:rPr>
                <w:sz w:val="20"/>
              </w:rPr>
              <w:t>Physical condition</w:t>
            </w:r>
          </w:p>
        </w:tc>
        <w:tc>
          <w:tcPr>
            <w:tcW w:w="4680" w:type="dxa"/>
          </w:tcPr>
          <w:p w14:paraId="71EE9708" w14:textId="77777777" w:rsidR="002800B9" w:rsidRDefault="00000000">
            <w:pPr>
              <w:spacing w:line="240" w:lineRule="auto"/>
            </w:pPr>
            <w:r>
              <w:rPr>
                <w:sz w:val="20"/>
              </w:rPr>
              <w:t>Annual conservation condition score and number of urgent repair items</w:t>
            </w:r>
          </w:p>
        </w:tc>
      </w:tr>
      <w:tr w:rsidR="002800B9" w14:paraId="4B4CB259" w14:textId="77777777">
        <w:tc>
          <w:tcPr>
            <w:tcW w:w="4680" w:type="dxa"/>
          </w:tcPr>
          <w:p w14:paraId="4D9DF9B7" w14:textId="77777777" w:rsidR="002800B9" w:rsidRDefault="00000000">
            <w:pPr>
              <w:spacing w:line="240" w:lineRule="auto"/>
            </w:pPr>
            <w:r>
              <w:rPr>
                <w:sz w:val="20"/>
              </w:rPr>
              <w:t>Visitor pressure</w:t>
            </w:r>
          </w:p>
        </w:tc>
        <w:tc>
          <w:tcPr>
            <w:tcW w:w="4680" w:type="dxa"/>
          </w:tcPr>
          <w:p w14:paraId="4081B6C0" w14:textId="77777777" w:rsidR="002800B9" w:rsidRDefault="00000000">
            <w:pPr>
              <w:spacing w:line="240" w:lineRule="auto"/>
            </w:pPr>
            <w:r>
              <w:rPr>
                <w:sz w:val="20"/>
              </w:rPr>
              <w:t>Visitors per hour in sensitive zones compared with agreed threshold</w:t>
            </w:r>
          </w:p>
        </w:tc>
      </w:tr>
      <w:tr w:rsidR="002800B9" w14:paraId="2B88E923" w14:textId="77777777">
        <w:tc>
          <w:tcPr>
            <w:tcW w:w="4680" w:type="dxa"/>
          </w:tcPr>
          <w:p w14:paraId="5862EEED" w14:textId="77777777" w:rsidR="002800B9" w:rsidRDefault="00000000">
            <w:pPr>
              <w:spacing w:line="240" w:lineRule="auto"/>
            </w:pPr>
            <w:r>
              <w:rPr>
                <w:sz w:val="20"/>
              </w:rPr>
              <w:t>Community benefit</w:t>
            </w:r>
          </w:p>
        </w:tc>
        <w:tc>
          <w:tcPr>
            <w:tcW w:w="4680" w:type="dxa"/>
          </w:tcPr>
          <w:p w14:paraId="6674D7D5" w14:textId="77777777" w:rsidR="002800B9" w:rsidRDefault="00000000">
            <w:pPr>
              <w:spacing w:line="240" w:lineRule="auto"/>
            </w:pPr>
            <w:r>
              <w:rPr>
                <w:sz w:val="20"/>
              </w:rPr>
              <w:t>Percentage of site jobs and concessions held by local residents</w:t>
            </w:r>
          </w:p>
        </w:tc>
      </w:tr>
      <w:tr w:rsidR="002800B9" w14:paraId="15A6A4D3" w14:textId="77777777">
        <w:tc>
          <w:tcPr>
            <w:tcW w:w="4680" w:type="dxa"/>
          </w:tcPr>
          <w:p w14:paraId="3E64A6A0" w14:textId="77777777" w:rsidR="002800B9" w:rsidRDefault="00000000">
            <w:pPr>
              <w:spacing w:line="240" w:lineRule="auto"/>
            </w:pPr>
            <w:r>
              <w:rPr>
                <w:sz w:val="20"/>
              </w:rPr>
              <w:t>Financial sustainability</w:t>
            </w:r>
          </w:p>
        </w:tc>
        <w:tc>
          <w:tcPr>
            <w:tcW w:w="4680" w:type="dxa"/>
          </w:tcPr>
          <w:p w14:paraId="365929D5" w14:textId="77777777" w:rsidR="002800B9" w:rsidRDefault="00000000">
            <w:pPr>
              <w:spacing w:line="240" w:lineRule="auto"/>
            </w:pPr>
            <w:r>
              <w:rPr>
                <w:sz w:val="20"/>
              </w:rPr>
              <w:t>Percentage of visitor revenue reinvested in conservation</w:t>
            </w:r>
          </w:p>
        </w:tc>
      </w:tr>
      <w:tr w:rsidR="002800B9" w14:paraId="761BC017" w14:textId="77777777">
        <w:tc>
          <w:tcPr>
            <w:tcW w:w="4680" w:type="dxa"/>
          </w:tcPr>
          <w:p w14:paraId="350E0154" w14:textId="77777777" w:rsidR="002800B9" w:rsidRDefault="00000000">
            <w:pPr>
              <w:spacing w:line="240" w:lineRule="auto"/>
            </w:pPr>
            <w:r>
              <w:rPr>
                <w:sz w:val="20"/>
              </w:rPr>
              <w:t>Interpretation quality</w:t>
            </w:r>
          </w:p>
        </w:tc>
        <w:tc>
          <w:tcPr>
            <w:tcW w:w="4680" w:type="dxa"/>
          </w:tcPr>
          <w:p w14:paraId="7555C2B6" w14:textId="77777777" w:rsidR="002800B9" w:rsidRDefault="00000000">
            <w:pPr>
              <w:spacing w:line="240" w:lineRule="auto"/>
            </w:pPr>
            <w:r>
              <w:rPr>
                <w:sz w:val="20"/>
              </w:rPr>
              <w:t>Visitor understanding score from exit surveys</w:t>
            </w:r>
          </w:p>
        </w:tc>
      </w:tr>
    </w:tbl>
    <w:p w14:paraId="21A53BDA" w14:textId="77777777" w:rsidR="002800B9" w:rsidRDefault="002800B9"/>
    <w:sectPr w:rsidR="002800B9"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BEDB6D" w14:textId="77777777" w:rsidR="002D0A8F" w:rsidRDefault="002D0A8F">
      <w:pPr>
        <w:spacing w:line="240" w:lineRule="auto"/>
      </w:pPr>
      <w:r>
        <w:separator/>
      </w:r>
    </w:p>
  </w:endnote>
  <w:endnote w:type="continuationSeparator" w:id="0">
    <w:p w14:paraId="540C200C" w14:textId="77777777" w:rsidR="002D0A8F" w:rsidRDefault="002D0A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05ADCD" w14:textId="77777777" w:rsidR="002800B9" w:rsidRDefault="00000000">
    <w:pPr>
      <w:pStyle w:val="Footer"/>
      <w:jc w:val="center"/>
    </w:pPr>
    <w:r>
      <w:fldChar w:fldCharType="begin"/>
    </w:r>
    <w:r>
      <w:instrText>PAGE</w:instrText>
    </w:r>
    <w:r w:rsidR="00EE2930">
      <w:fldChar w:fldCharType="separate"/>
    </w:r>
    <w:r w:rsidR="00EE2930">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87BDB" w14:textId="77777777" w:rsidR="002D0A8F" w:rsidRDefault="002D0A8F">
      <w:pPr>
        <w:spacing w:line="240" w:lineRule="auto"/>
      </w:pPr>
      <w:r>
        <w:separator/>
      </w:r>
    </w:p>
  </w:footnote>
  <w:footnote w:type="continuationSeparator" w:id="0">
    <w:p w14:paraId="7E338539" w14:textId="77777777" w:rsidR="002D0A8F" w:rsidRDefault="002D0A8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7013208">
    <w:abstractNumId w:val="8"/>
  </w:num>
  <w:num w:numId="2" w16cid:durableId="621422643">
    <w:abstractNumId w:val="6"/>
  </w:num>
  <w:num w:numId="3" w16cid:durableId="1968585780">
    <w:abstractNumId w:val="5"/>
  </w:num>
  <w:num w:numId="4" w16cid:durableId="2088452177">
    <w:abstractNumId w:val="4"/>
  </w:num>
  <w:num w:numId="5" w16cid:durableId="89816284">
    <w:abstractNumId w:val="7"/>
  </w:num>
  <w:num w:numId="6" w16cid:durableId="1485972762">
    <w:abstractNumId w:val="3"/>
  </w:num>
  <w:num w:numId="7" w16cid:durableId="318392288">
    <w:abstractNumId w:val="2"/>
  </w:num>
  <w:num w:numId="8" w16cid:durableId="673650923">
    <w:abstractNumId w:val="1"/>
  </w:num>
  <w:num w:numId="9" w16cid:durableId="4763832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800B9"/>
    <w:rsid w:val="0029639D"/>
    <w:rsid w:val="002D0A8F"/>
    <w:rsid w:val="00326F90"/>
    <w:rsid w:val="00AA1D8D"/>
    <w:rsid w:val="00B47730"/>
    <w:rsid w:val="00C6178E"/>
    <w:rsid w:val="00CB0664"/>
    <w:rsid w:val="00EE293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3683F6"/>
  <w14:defaultImageDpi w14:val="300"/>
  <w15:docId w15:val="{CC8854F2-89CC-4DE5-A5AA-E43E94D7D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outlineLvl w:val="1"/>
    </w:pPr>
    <w:rPr>
      <w:rFonts w:asciiTheme="majorHAnsi" w:eastAsiaTheme="majorEastAsia" w:hAnsiTheme="majorHAnsi" w:cstheme="majorBidi"/>
      <w:b/>
      <w:bCs/>
      <w:color w:val="4F81BD" w:themeColor="accent1"/>
      <w:szCs w:val="26"/>
    </w:rPr>
  </w:style>
  <w:style w:type="paragraph" w:styleId="Heading3">
    <w:name w:val="heading 3"/>
    <w:basedOn w:val="Normal"/>
    <w:next w:val="Normal"/>
    <w:link w:val="Heading3Char"/>
    <w:uiPriority w:val="9"/>
    <w:unhideWhenUsed/>
    <w:qFormat/>
    <w:rsid w:val="00FC693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5079</Words>
  <Characters>28955</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Sustainable Management of Cultural Heritage Sites: Balancing Conservation, Tourism and Community Stewardship</vt:lpstr>
    </vt:vector>
  </TitlesOfParts>
  <Manager/>
  <Company/>
  <LinksUpToDate>false</LinksUpToDate>
  <CharactersWithSpaces>33967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Sustainable Management of Cultural Heritage Sites: Balancing Conservation, Tourism and Community Stewardship</dc:title>
  <dc:subject>M22 Cultural Heritage Management</dc:subject>
  <dc:creator>Student</dc:creator>
  <cp:keywords/>
  <dc:description>generated by python-docx</dc:description>
  <cp:lastModifiedBy>Priyansh singh</cp:lastModifiedBy>
  <cp:revision>2</cp:revision>
  <dcterms:created xsi:type="dcterms:W3CDTF">2013-12-23T23:15:00Z</dcterms:created>
  <dcterms:modified xsi:type="dcterms:W3CDTF">2026-05-18T13:42:00Z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e9a7f029-1f28-4ab4-a132-561af16128f9</vt:lpwstr>
  </property>
</Properties>
</file>