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6A2E3E46" w14:textId="77777777" w:rsidR="00DC0A95" w:rsidRPr="00DC0A95" w:rsidRDefault="00DC0A95" w:rsidP="00DC0A95">
      <w:pPr>
        <w:spacing w:line="480" w:lineRule="auto"/>
        <w:rPr>
          <w:rFonts w:asciiTheme="majorBidi" w:hAnsiTheme="majorBidi" w:cstheme="majorBidi"/>
          <w:b/>
          <w:bCs/>
        </w:rPr>
      </w:pPr>
      <w:r w:rsidRPr="00DC0A95">
        <w:rPr>
          <w:rFonts w:asciiTheme="majorBidi" w:hAnsiTheme="majorBidi" w:cstheme="majorBidi"/>
          <w:b/>
          <w:bCs/>
        </w:rPr>
        <w:lastRenderedPageBreak/>
        <w:t>1. Explain the Concept of Tourist Consumer Behaviour</w:t>
      </w:r>
    </w:p>
    <w:p w14:paraId="0B17EB95"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Tourist consumer behaviour can be defined as the study of the </w:t>
      </w:r>
      <w:r w:rsidRPr="00DC0A95">
        <w:rPr>
          <w:rFonts w:asciiTheme="majorBidi" w:hAnsiTheme="majorBidi" w:cstheme="majorBidi"/>
          <w:b/>
          <w:bCs/>
        </w:rPr>
        <w:t>thoughts, preferences and actions involved when individuals select and consume travel experiences</w:t>
      </w:r>
      <w:r w:rsidRPr="00DC0A95">
        <w:rPr>
          <w:rFonts w:asciiTheme="majorBidi" w:hAnsiTheme="majorBidi" w:cstheme="majorBidi"/>
        </w:rPr>
        <w:t>. It considers not only the final purchase but also the entire process through which tourists identify travel needs, obtain information, compare alternatives, experience tourism products and form opinions afterwards.</w:t>
      </w:r>
    </w:p>
    <w:p w14:paraId="2FB5790A"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Tourist decisions are influenced by a combination of personal and environmental factors. Personal influences include age, income, lifestyle, travel experience, personality and motivation. External factors can include destination marketing, social influence, family preferences, online information and economic conditions. Moutinho (2022) identifies culture, reference groups, personality, motivation, perception and perceived risk as important influences on travel behaviour.</w:t>
      </w:r>
    </w:p>
    <w:p w14:paraId="5FF13A2A"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The tourist decision process can begin in </w:t>
      </w:r>
      <w:proofErr w:type="gramStart"/>
      <w:r w:rsidRPr="00DC0A95">
        <w:rPr>
          <w:rFonts w:asciiTheme="majorBidi" w:hAnsiTheme="majorBidi" w:cstheme="majorBidi"/>
        </w:rPr>
        <w:t>many different ways</w:t>
      </w:r>
      <w:proofErr w:type="gramEnd"/>
      <w:r w:rsidRPr="00DC0A95">
        <w:rPr>
          <w:rFonts w:asciiTheme="majorBidi" w:hAnsiTheme="majorBidi" w:cstheme="majorBidi"/>
        </w:rPr>
        <w:t>. For example, an individual experiencing work-related stress may decide that a relaxing holiday is needed. The person then considers destinations that match the available budget and travel time. Information is gathered, alternatives are compared and a booking decision is eventually made.</w:t>
      </w:r>
    </w:p>
    <w:p w14:paraId="44514CAD"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However, this process is not always linear. Deciding on a holiday often involves repeated searches and reconsideration. Bronner and de Hoog's broader tourism decision literature has shown that travel choices involve multiple considerations, while more recent research suggests that tourist decision models must recognise the complexity and changing nature of preferences. McCabe et al. (2016), for instance, challenge the assumption that tourists always behave as purely rational decision-makers.</w:t>
      </w:r>
    </w:p>
    <w:p w14:paraId="7DF76681"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Information processing is particularly important because tourism products are largely experiential. Consumers cannot know exactly how enjoyable a destination will be before travelling. They therefore use photographs, reviews, ratings and recommendations as </w:t>
      </w:r>
      <w:r w:rsidRPr="00DC0A95">
        <w:rPr>
          <w:rFonts w:asciiTheme="majorBidi" w:hAnsiTheme="majorBidi" w:cstheme="majorBidi"/>
        </w:rPr>
        <w:lastRenderedPageBreak/>
        <w:t>indicators of expected quality. Technology can also simplify the selection process. Tourism recommendation systems, for instance, can assist travellers by matching available tourism products with individual preferences (</w:t>
      </w:r>
      <w:proofErr w:type="spellStart"/>
      <w:r w:rsidRPr="00DC0A95">
        <w:rPr>
          <w:rFonts w:asciiTheme="majorBidi" w:hAnsiTheme="majorBidi" w:cstheme="majorBidi"/>
        </w:rPr>
        <w:t>Borràs</w:t>
      </w:r>
      <w:proofErr w:type="spellEnd"/>
      <w:r w:rsidRPr="00DC0A95">
        <w:rPr>
          <w:rFonts w:asciiTheme="majorBidi" w:hAnsiTheme="majorBidi" w:cstheme="majorBidi"/>
        </w:rPr>
        <w:t xml:space="preserve"> et al., 2019).</w:t>
      </w:r>
    </w:p>
    <w:p w14:paraId="17246504"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Tourist decision-making also continues at the destination. Plans may change because of weather, unexpected opportunities, recommendations or differences between expectations and reality. After travelling, satisfaction influences whether consumers recommend the place or consider visiting again.</w:t>
      </w:r>
    </w:p>
    <w:p w14:paraId="6A44118F"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Understanding tourist consumer behaviour allows tourism organisations to design more relevant services and recognise that travellers are not a homogeneous market. Different tourists require different products, communication and experiences.</w:t>
      </w:r>
    </w:p>
    <w:p w14:paraId="50628340" w14:textId="77777777" w:rsidR="00DC0A95" w:rsidRPr="00DC0A95" w:rsidRDefault="00DC0A95" w:rsidP="00DC0A95">
      <w:pPr>
        <w:spacing w:line="480" w:lineRule="auto"/>
        <w:rPr>
          <w:rFonts w:asciiTheme="majorBidi" w:hAnsiTheme="majorBidi" w:cstheme="majorBidi"/>
          <w:b/>
          <w:bCs/>
        </w:rPr>
      </w:pPr>
      <w:r w:rsidRPr="00DC0A95">
        <w:rPr>
          <w:rFonts w:asciiTheme="majorBidi" w:hAnsiTheme="majorBidi" w:cstheme="majorBidi"/>
          <w:b/>
          <w:bCs/>
        </w:rPr>
        <w:t>2. Explain the Difference Between Institutionalized and Non-Institutionalized Tourists</w:t>
      </w:r>
    </w:p>
    <w:p w14:paraId="6E520218"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The concepts of institutionalized and non-institutionalized tourists describe two different relationships between travellers and the </w:t>
      </w:r>
      <w:r w:rsidRPr="00DC0A95">
        <w:rPr>
          <w:rFonts w:asciiTheme="majorBidi" w:hAnsiTheme="majorBidi" w:cstheme="majorBidi"/>
          <w:b/>
          <w:bCs/>
        </w:rPr>
        <w:t>organised tourism system</w:t>
      </w:r>
      <w:r w:rsidRPr="00DC0A95">
        <w:rPr>
          <w:rFonts w:asciiTheme="majorBidi" w:hAnsiTheme="majorBidi" w:cstheme="majorBidi"/>
        </w:rPr>
        <w:t>.</w:t>
      </w:r>
    </w:p>
    <w:p w14:paraId="5B27365F"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Institutionalized tourists normally rely heavily on tourism organisations when planning and experiencing their holidays. Common services include organised tours, package holidays, established hotels, travel agencies and pre-arranged transportation. This type of tourism provides a relatively controlled environment in which tourists know much of the programme before departure.</w:t>
      </w:r>
    </w:p>
    <w:p w14:paraId="0A5DCAD5"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For example, a group visiting Egypt on an organised package that includes Cairo accommodation, coach transportation, meals and guided visits to the pyramids and museums would represent institutionalized tourism. The travellers have limited responsibility for organising the major components themselves.</w:t>
      </w:r>
    </w:p>
    <w:p w14:paraId="4B3B0B92"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Non-institutionalized tourists prefer greater independence. Their travel may involve flexible routes, local transportation and accommodation booked separately. They can change their itinerary according to circumstances and may seek less commercialised areas.</w:t>
      </w:r>
    </w:p>
    <w:p w14:paraId="3337B0BD"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lastRenderedPageBreak/>
        <w:t>A solo traveller spending several weeks in India, independently moving between cities by train, selecting guesthouses locally and choosing destinations during the trip would be a typical example.</w:t>
      </w:r>
    </w:p>
    <w:p w14:paraId="7A840E2F"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Backpacking is frequently linked with non-institutionalized tourism, although it should not automatically be regarded as </w:t>
      </w:r>
      <w:proofErr w:type="gramStart"/>
      <w:r w:rsidRPr="00DC0A95">
        <w:rPr>
          <w:rFonts w:asciiTheme="majorBidi" w:hAnsiTheme="majorBidi" w:cstheme="majorBidi"/>
        </w:rPr>
        <w:t>completely separate</w:t>
      </w:r>
      <w:proofErr w:type="gramEnd"/>
      <w:r w:rsidRPr="00DC0A95">
        <w:rPr>
          <w:rFonts w:asciiTheme="majorBidi" w:hAnsiTheme="majorBidi" w:cstheme="majorBidi"/>
        </w:rPr>
        <w:t xml:space="preserve"> from mainstream tourism. </w:t>
      </w:r>
      <w:proofErr w:type="spellStart"/>
      <w:r w:rsidRPr="00DC0A95">
        <w:rPr>
          <w:rFonts w:asciiTheme="majorBidi" w:hAnsiTheme="majorBidi" w:cstheme="majorBidi"/>
        </w:rPr>
        <w:t>Uriely</w:t>
      </w:r>
      <w:proofErr w:type="spellEnd"/>
      <w:r w:rsidRPr="00DC0A95">
        <w:rPr>
          <w:rFonts w:asciiTheme="majorBidi" w:hAnsiTheme="majorBidi" w:cstheme="majorBidi"/>
        </w:rPr>
        <w:t xml:space="preserve"> et al. (2002) found considerable diversity among backpackers and argued that backpacking should be examined as a form of tourism rather than assuming all backpackers share identical motivations or experiences.</w:t>
      </w:r>
    </w:p>
    <w:p w14:paraId="372124E0"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Tourist decision-making also changes once a journey begins. McCabe et al. (2012) found that decisions may be adjusted according to flexibility, timing and social circumstances. This means that even an independently organised tourist may occasionally participate in an organised excursion.</w:t>
      </w:r>
    </w:p>
    <w:p w14:paraId="0D906C56"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Therefore, the categories are useful but should not be treated as absolute. Institutionalized tourists generally prioritise </w:t>
      </w:r>
      <w:r w:rsidRPr="00DC0A95">
        <w:rPr>
          <w:rFonts w:asciiTheme="majorBidi" w:hAnsiTheme="majorBidi" w:cstheme="majorBidi"/>
          <w:b/>
          <w:bCs/>
        </w:rPr>
        <w:t>organisation and predictability</w:t>
      </w:r>
      <w:r w:rsidRPr="00DC0A95">
        <w:rPr>
          <w:rFonts w:asciiTheme="majorBidi" w:hAnsiTheme="majorBidi" w:cstheme="majorBidi"/>
        </w:rPr>
        <w:t xml:space="preserve">, whereas non-institutionalized tourists tend to prioritise </w:t>
      </w:r>
      <w:r w:rsidRPr="00DC0A95">
        <w:rPr>
          <w:rFonts w:asciiTheme="majorBidi" w:hAnsiTheme="majorBidi" w:cstheme="majorBidi"/>
          <w:b/>
          <w:bCs/>
        </w:rPr>
        <w:t>personal control, adaptability and exploration</w:t>
      </w:r>
      <w:r w:rsidRPr="00DC0A95">
        <w:rPr>
          <w:rFonts w:asciiTheme="majorBidi" w:hAnsiTheme="majorBidi" w:cstheme="majorBidi"/>
        </w:rPr>
        <w:t>.</w:t>
      </w:r>
    </w:p>
    <w:p w14:paraId="7898D33D" w14:textId="55538E8E" w:rsidR="00DC0A95" w:rsidRPr="00DC0A95" w:rsidRDefault="00DC0A95" w:rsidP="00DC0A95">
      <w:pPr>
        <w:spacing w:line="480" w:lineRule="auto"/>
        <w:rPr>
          <w:rFonts w:asciiTheme="majorBidi" w:hAnsiTheme="majorBidi" w:cstheme="majorBidi"/>
          <w:b/>
          <w:bCs/>
        </w:rPr>
      </w:pPr>
      <w:r w:rsidRPr="00DC0A95">
        <w:rPr>
          <w:rFonts w:asciiTheme="majorBidi" w:hAnsiTheme="majorBidi" w:cstheme="majorBidi"/>
          <w:b/>
          <w:bCs/>
        </w:rPr>
        <w:t xml:space="preserve">References </w:t>
      </w:r>
    </w:p>
    <w:p w14:paraId="19ECCD9D" w14:textId="77777777" w:rsidR="00DC0A95" w:rsidRPr="00DC0A95" w:rsidRDefault="00DC0A95" w:rsidP="00DC0A95">
      <w:pPr>
        <w:spacing w:line="480" w:lineRule="auto"/>
        <w:rPr>
          <w:rFonts w:asciiTheme="majorBidi" w:hAnsiTheme="majorBidi" w:cstheme="majorBidi"/>
        </w:rPr>
      </w:pPr>
      <w:proofErr w:type="spellStart"/>
      <w:r w:rsidRPr="00DC0A95">
        <w:rPr>
          <w:rFonts w:asciiTheme="majorBidi" w:hAnsiTheme="majorBidi" w:cstheme="majorBidi"/>
        </w:rPr>
        <w:t>Borràs</w:t>
      </w:r>
      <w:proofErr w:type="spellEnd"/>
      <w:r w:rsidRPr="00DC0A95">
        <w:rPr>
          <w:rFonts w:asciiTheme="majorBidi" w:hAnsiTheme="majorBidi" w:cstheme="majorBidi"/>
        </w:rPr>
        <w:t xml:space="preserve">, J., Moreno, A., &amp; Valls, A. (2019). Facilitating tourists' decision making through open data analyses: A novel recommender system. </w:t>
      </w:r>
      <w:r w:rsidRPr="00DC0A95">
        <w:rPr>
          <w:rFonts w:asciiTheme="majorBidi" w:hAnsiTheme="majorBidi" w:cstheme="majorBidi"/>
          <w:i/>
          <w:iCs/>
        </w:rPr>
        <w:t>Tourism Management Perspectives, 31</w:t>
      </w:r>
      <w:r w:rsidRPr="00DC0A95">
        <w:rPr>
          <w:rFonts w:asciiTheme="majorBidi" w:hAnsiTheme="majorBidi" w:cstheme="majorBidi"/>
        </w:rPr>
        <w:t xml:space="preserve">, 323–331. https://doi.org/10.1016/j.tmp.2019.06.003 </w:t>
      </w:r>
    </w:p>
    <w:p w14:paraId="2C98BCA7"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McCabe, S., Li, C., &amp; Chen, Z. (2012). Dynamic in-destination decision-making: An adjustment model. </w:t>
      </w:r>
      <w:r w:rsidRPr="00DC0A95">
        <w:rPr>
          <w:rFonts w:asciiTheme="majorBidi" w:hAnsiTheme="majorBidi" w:cstheme="majorBidi"/>
          <w:i/>
          <w:iCs/>
        </w:rPr>
        <w:t>Tourism Management, 33</w:t>
      </w:r>
      <w:r w:rsidRPr="00DC0A95">
        <w:rPr>
          <w:rFonts w:asciiTheme="majorBidi" w:hAnsiTheme="majorBidi" w:cstheme="majorBidi"/>
        </w:rPr>
        <w:t xml:space="preserve">(3), 635–645. </w:t>
      </w:r>
      <w:hyperlink r:id="rId6" w:tgtFrame="_new" w:history="1">
        <w:r w:rsidRPr="00DC0A95">
          <w:rPr>
            <w:rStyle w:val="Hyperlink"/>
            <w:rFonts w:asciiTheme="majorBidi" w:hAnsiTheme="majorBidi" w:cstheme="majorBidi"/>
          </w:rPr>
          <w:t>https://doi.org/10.1016/j.tourman.2011.07.005</w:t>
        </w:r>
      </w:hyperlink>
      <w:r w:rsidRPr="00DC0A95">
        <w:rPr>
          <w:rFonts w:asciiTheme="majorBidi" w:hAnsiTheme="majorBidi" w:cstheme="majorBidi"/>
        </w:rPr>
        <w:t xml:space="preserve"> </w:t>
      </w:r>
    </w:p>
    <w:p w14:paraId="7A8A2A7B"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t xml:space="preserve">McCabe, S., Li, C., &amp; Chen, Z. (2016). Time for a radical reappraisal of tourist decision making? Toward a new conceptual model. </w:t>
      </w:r>
      <w:r w:rsidRPr="00DC0A95">
        <w:rPr>
          <w:rFonts w:asciiTheme="majorBidi" w:hAnsiTheme="majorBidi" w:cstheme="majorBidi"/>
          <w:i/>
          <w:iCs/>
        </w:rPr>
        <w:t>Journal of Travel Research, 55</w:t>
      </w:r>
      <w:r w:rsidRPr="00DC0A95">
        <w:rPr>
          <w:rFonts w:asciiTheme="majorBidi" w:hAnsiTheme="majorBidi" w:cstheme="majorBidi"/>
        </w:rPr>
        <w:t xml:space="preserve">(1), 3–15. </w:t>
      </w:r>
      <w:hyperlink r:id="rId7" w:tgtFrame="_new" w:history="1">
        <w:r w:rsidRPr="00DC0A95">
          <w:rPr>
            <w:rStyle w:val="Hyperlink"/>
            <w:rFonts w:asciiTheme="majorBidi" w:hAnsiTheme="majorBidi" w:cstheme="majorBidi"/>
          </w:rPr>
          <w:t>https://doi.org/10.1177/0047287515592973</w:t>
        </w:r>
      </w:hyperlink>
      <w:r w:rsidRPr="00DC0A95">
        <w:rPr>
          <w:rFonts w:asciiTheme="majorBidi" w:hAnsiTheme="majorBidi" w:cstheme="majorBidi"/>
        </w:rPr>
        <w:t xml:space="preserve"> </w:t>
      </w:r>
    </w:p>
    <w:p w14:paraId="218CAC64" w14:textId="77777777" w:rsidR="00DC0A95" w:rsidRPr="00DC0A95" w:rsidRDefault="00DC0A95" w:rsidP="00DC0A95">
      <w:pPr>
        <w:spacing w:line="480" w:lineRule="auto"/>
        <w:rPr>
          <w:rFonts w:asciiTheme="majorBidi" w:hAnsiTheme="majorBidi" w:cstheme="majorBidi"/>
        </w:rPr>
      </w:pPr>
      <w:r w:rsidRPr="00DC0A95">
        <w:rPr>
          <w:rFonts w:asciiTheme="majorBidi" w:hAnsiTheme="majorBidi" w:cstheme="majorBidi"/>
        </w:rPr>
        <w:lastRenderedPageBreak/>
        <w:t xml:space="preserve">Moutinho, L. (2022). Consumer behaviour. In L. Moutinho (Ed.), </w:t>
      </w:r>
      <w:r w:rsidRPr="00DC0A95">
        <w:rPr>
          <w:rFonts w:asciiTheme="majorBidi" w:hAnsiTheme="majorBidi" w:cstheme="majorBidi"/>
          <w:i/>
          <w:iCs/>
        </w:rPr>
        <w:t>Strategic management in tourism</w:t>
      </w:r>
      <w:r w:rsidRPr="00DC0A95">
        <w:rPr>
          <w:rFonts w:asciiTheme="majorBidi" w:hAnsiTheme="majorBidi" w:cstheme="majorBidi"/>
        </w:rPr>
        <w:t xml:space="preserve"> (pp. 41–78). CABI. </w:t>
      </w:r>
      <w:hyperlink r:id="rId8" w:tgtFrame="_new" w:history="1">
        <w:r w:rsidRPr="00DC0A95">
          <w:rPr>
            <w:rStyle w:val="Hyperlink"/>
            <w:rFonts w:asciiTheme="majorBidi" w:hAnsiTheme="majorBidi" w:cstheme="majorBidi"/>
          </w:rPr>
          <w:t>https://doi.org/10.1079/9780851992822.0041</w:t>
        </w:r>
      </w:hyperlink>
      <w:r w:rsidRPr="00DC0A95">
        <w:rPr>
          <w:rFonts w:asciiTheme="majorBidi" w:hAnsiTheme="majorBidi" w:cstheme="majorBidi"/>
        </w:rPr>
        <w:t xml:space="preserve"> </w:t>
      </w:r>
    </w:p>
    <w:p w14:paraId="2CBE4DF9" w14:textId="77777777" w:rsidR="00DC0A95" w:rsidRPr="00DC0A95" w:rsidRDefault="00DC0A95" w:rsidP="00DC0A95">
      <w:pPr>
        <w:spacing w:line="480" w:lineRule="auto"/>
        <w:rPr>
          <w:rFonts w:asciiTheme="majorBidi" w:hAnsiTheme="majorBidi" w:cstheme="majorBidi"/>
        </w:rPr>
      </w:pPr>
      <w:proofErr w:type="spellStart"/>
      <w:r w:rsidRPr="00DC0A95">
        <w:rPr>
          <w:rFonts w:asciiTheme="majorBidi" w:hAnsiTheme="majorBidi" w:cstheme="majorBidi"/>
        </w:rPr>
        <w:t>Uriely</w:t>
      </w:r>
      <w:proofErr w:type="spellEnd"/>
      <w:r w:rsidRPr="00DC0A95">
        <w:rPr>
          <w:rFonts w:asciiTheme="majorBidi" w:hAnsiTheme="majorBidi" w:cstheme="majorBidi"/>
        </w:rPr>
        <w:t xml:space="preserve">, N., </w:t>
      </w:r>
      <w:proofErr w:type="spellStart"/>
      <w:r w:rsidRPr="00DC0A95">
        <w:rPr>
          <w:rFonts w:asciiTheme="majorBidi" w:hAnsiTheme="majorBidi" w:cstheme="majorBidi"/>
        </w:rPr>
        <w:t>Yonay</w:t>
      </w:r>
      <w:proofErr w:type="spellEnd"/>
      <w:r w:rsidRPr="00DC0A95">
        <w:rPr>
          <w:rFonts w:asciiTheme="majorBidi" w:hAnsiTheme="majorBidi" w:cstheme="majorBidi"/>
        </w:rPr>
        <w:t xml:space="preserve">, Y., &amp; </w:t>
      </w:r>
      <w:proofErr w:type="spellStart"/>
      <w:r w:rsidRPr="00DC0A95">
        <w:rPr>
          <w:rFonts w:asciiTheme="majorBidi" w:hAnsiTheme="majorBidi" w:cstheme="majorBidi"/>
        </w:rPr>
        <w:t>Simchai</w:t>
      </w:r>
      <w:proofErr w:type="spellEnd"/>
      <w:r w:rsidRPr="00DC0A95">
        <w:rPr>
          <w:rFonts w:asciiTheme="majorBidi" w:hAnsiTheme="majorBidi" w:cstheme="majorBidi"/>
        </w:rPr>
        <w:t xml:space="preserve">, D. (2002). Backpacking experiences: A type and form analysis. </w:t>
      </w:r>
      <w:r w:rsidRPr="00DC0A95">
        <w:rPr>
          <w:rFonts w:asciiTheme="majorBidi" w:hAnsiTheme="majorBidi" w:cstheme="majorBidi"/>
          <w:i/>
          <w:iCs/>
        </w:rPr>
        <w:t>Annals of Tourism Research, 29</w:t>
      </w:r>
      <w:r w:rsidRPr="00DC0A95">
        <w:rPr>
          <w:rFonts w:asciiTheme="majorBidi" w:hAnsiTheme="majorBidi" w:cstheme="majorBidi"/>
        </w:rPr>
        <w:t xml:space="preserve">(2), 520–538. https://doi.org/10.1016/S0160-7383(01)00075-5 </w:t>
      </w:r>
    </w:p>
    <w:p w14:paraId="1BC2148A" w14:textId="77777777" w:rsidR="00DC0A95" w:rsidRPr="00DC0A95" w:rsidRDefault="00DC0A95" w:rsidP="00DC0A95">
      <w:pPr>
        <w:spacing w:line="480" w:lineRule="auto"/>
        <w:rPr>
          <w:rFonts w:asciiTheme="majorBidi" w:hAnsiTheme="majorBidi" w:cstheme="majorBidi"/>
          <w:vanish/>
        </w:rPr>
      </w:pPr>
      <w:r w:rsidRPr="00DC0A95">
        <w:rPr>
          <w:rFonts w:asciiTheme="majorBidi" w:hAnsiTheme="majorBidi" w:cstheme="majorBidi"/>
          <w:vanish/>
        </w:rPr>
        <w:t>Top of Form</w:t>
      </w:r>
    </w:p>
    <w:p w14:paraId="7F9AA5C1" w14:textId="77777777" w:rsidR="00DC0A95" w:rsidRPr="00DC0A95" w:rsidRDefault="00DC0A95" w:rsidP="00DC0A95">
      <w:pPr>
        <w:spacing w:line="480" w:lineRule="auto"/>
        <w:rPr>
          <w:rFonts w:asciiTheme="majorBidi" w:hAnsiTheme="majorBidi" w:cstheme="majorBidi"/>
          <w:vanish/>
        </w:rPr>
      </w:pPr>
      <w:r w:rsidRPr="00DC0A95">
        <w:rPr>
          <w:rFonts w:asciiTheme="majorBidi" w:hAnsiTheme="majorBidi" w:cstheme="majorBidi"/>
          <w:vanish/>
        </w:rPr>
        <w:t>Bottom of Form</w:t>
      </w:r>
    </w:p>
    <w:p w14:paraId="3B3B5F80" w14:textId="77777777" w:rsidR="00DC0A95" w:rsidRPr="00215386" w:rsidRDefault="00DC0A95" w:rsidP="009969E1">
      <w:pPr>
        <w:spacing w:line="480" w:lineRule="auto"/>
        <w:rPr>
          <w:rFonts w:asciiTheme="majorBidi" w:hAnsiTheme="majorBidi" w:cstheme="majorBidi"/>
        </w:rPr>
      </w:pPr>
    </w:p>
    <w:sectPr w:rsidR="00DC0A95"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20BA815-7FF7-4FC8-AED7-C3F2EDC082EB}"/>
    <w:embedBold r:id="rId2" w:fontKey="{E1FBDA03-BD0F-4D69-AC8B-834452D08AAB}"/>
    <w:embedItalic r:id="rId3" w:fontKey="{2B97ED15-C383-41EC-8CA8-FA0535CB4FD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2DE0C34-EFBD-462B-A68F-CB9AE1917F81}"/>
  </w:font>
  <w:font w:name="Calibri Light">
    <w:panose1 w:val="020F0302020204030204"/>
    <w:charset w:val="00"/>
    <w:family w:val="swiss"/>
    <w:pitch w:val="variable"/>
    <w:sig w:usb0="E4002EFF" w:usb1="C000247B" w:usb2="00000009" w:usb3="00000000" w:csb0="000001FF" w:csb1="00000000"/>
    <w:embedRegular r:id="rId5" w:fontKey="{D5D96103-89D7-452F-B747-B67DDF0A97A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43B0E"/>
    <w:rsid w:val="001700EC"/>
    <w:rsid w:val="00174BB1"/>
    <w:rsid w:val="00215386"/>
    <w:rsid w:val="00224FD9"/>
    <w:rsid w:val="002A679D"/>
    <w:rsid w:val="002F4AE0"/>
    <w:rsid w:val="00372BBE"/>
    <w:rsid w:val="00384E8A"/>
    <w:rsid w:val="003C5D74"/>
    <w:rsid w:val="003D1074"/>
    <w:rsid w:val="00420BFB"/>
    <w:rsid w:val="00426865"/>
    <w:rsid w:val="00477CAA"/>
    <w:rsid w:val="00502E29"/>
    <w:rsid w:val="00507879"/>
    <w:rsid w:val="005E458B"/>
    <w:rsid w:val="00672345"/>
    <w:rsid w:val="006E036E"/>
    <w:rsid w:val="00762633"/>
    <w:rsid w:val="00795910"/>
    <w:rsid w:val="00844EC2"/>
    <w:rsid w:val="008516FE"/>
    <w:rsid w:val="008C4360"/>
    <w:rsid w:val="00965EED"/>
    <w:rsid w:val="0099651A"/>
    <w:rsid w:val="009969E1"/>
    <w:rsid w:val="009C1D0A"/>
    <w:rsid w:val="00A044F7"/>
    <w:rsid w:val="00A505F4"/>
    <w:rsid w:val="00A8150E"/>
    <w:rsid w:val="00B20343"/>
    <w:rsid w:val="00B85EA7"/>
    <w:rsid w:val="00BE65DD"/>
    <w:rsid w:val="00C612A4"/>
    <w:rsid w:val="00CC6AD1"/>
    <w:rsid w:val="00DB7416"/>
    <w:rsid w:val="00DC0A95"/>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79/9780851992822.0041?utm_source=chatgpt.com" TargetMode="External"/><Relationship Id="rId3" Type="http://schemas.openxmlformats.org/officeDocument/2006/relationships/settings" Target="settings.xml"/><Relationship Id="rId7" Type="http://schemas.openxmlformats.org/officeDocument/2006/relationships/hyperlink" Target="https://doi.org/10.1177/0047287515592973?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11.07.00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3</cp:revision>
  <dcterms:created xsi:type="dcterms:W3CDTF">2026-09-04T15:51:00Z</dcterms:created>
  <dcterms:modified xsi:type="dcterms:W3CDTF">2026-09-04T15:51:00Z</dcterms:modified>
</cp:coreProperties>
</file>