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6A6A86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p w14:paraId="7408BCC8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lastRenderedPageBreak/>
        <w:t xml:space="preserve">SWOT Analysis of </w:t>
      </w:r>
      <w:proofErr w:type="spellStart"/>
      <w:r w:rsidRPr="00BF0CC1">
        <w:rPr>
          <w:b/>
          <w:bCs/>
          <w:lang w:val="en-GB"/>
        </w:rPr>
        <w:t>Chichén</w:t>
      </w:r>
      <w:proofErr w:type="spellEnd"/>
      <w:r w:rsidRPr="00BF0CC1">
        <w:rPr>
          <w:b/>
          <w:bCs/>
          <w:lang w:val="en-GB"/>
        </w:rPr>
        <w:t xml:space="preserve"> </w:t>
      </w:r>
      <w:proofErr w:type="spellStart"/>
      <w:r w:rsidRPr="00BF0CC1">
        <w:rPr>
          <w:b/>
          <w:bCs/>
          <w:lang w:val="en-GB"/>
        </w:rPr>
        <w:t>Itzá</w:t>
      </w:r>
      <w:proofErr w:type="spellEnd"/>
      <w:r w:rsidRPr="00BF0CC1">
        <w:rPr>
          <w:b/>
          <w:bCs/>
          <w:lang w:val="en-GB"/>
        </w:rPr>
        <w:t xml:space="preserve"> (Mexico)</w:t>
      </w:r>
    </w:p>
    <w:p w14:paraId="0E3F46F6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t>SWOT Analysis Table</w:t>
      </w:r>
    </w:p>
    <w:tbl>
      <w:tblPr>
        <w:tblStyle w:val="ListTable6Colorful-Accent1"/>
        <w:tblW w:w="0" w:type="auto"/>
        <w:tblLook w:val="04A0" w:firstRow="1" w:lastRow="0" w:firstColumn="1" w:lastColumn="0" w:noHBand="0" w:noVBand="1"/>
      </w:tblPr>
      <w:tblGrid>
        <w:gridCol w:w="2277"/>
        <w:gridCol w:w="2245"/>
        <w:gridCol w:w="2245"/>
        <w:gridCol w:w="2259"/>
      </w:tblGrid>
      <w:tr w:rsidR="00BF0CC1" w:rsidRPr="00BF0CC1" w14:paraId="1FDB4D4C" w14:textId="77777777" w:rsidTr="009B14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C91FA0D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77327E6A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6728A377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1D13E8EB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Threats</w:t>
            </w:r>
          </w:p>
        </w:tc>
      </w:tr>
      <w:tr w:rsidR="00BF0CC1" w:rsidRPr="00BF0CC1" w14:paraId="5221A5DF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3132DA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UNESCO World Heritage Site and one of the New Seven Wonders of the World, recognized for its outstanding Mayan heritage.</w:t>
            </w:r>
          </w:p>
        </w:tc>
        <w:tc>
          <w:tcPr>
            <w:tcW w:w="0" w:type="auto"/>
            <w:hideMark/>
          </w:tcPr>
          <w:p w14:paraId="6978B1A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Ancient limestone structures require continuous restoration and conservation.</w:t>
            </w:r>
          </w:p>
        </w:tc>
        <w:tc>
          <w:tcPr>
            <w:tcW w:w="0" w:type="auto"/>
            <w:hideMark/>
          </w:tcPr>
          <w:p w14:paraId="5644596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Expand digital tourism through Virtual Reality (VR), Augmented Reality (AR), and virtual museum experiences.</w:t>
            </w:r>
          </w:p>
        </w:tc>
        <w:tc>
          <w:tcPr>
            <w:tcW w:w="0" w:type="auto"/>
            <w:hideMark/>
          </w:tcPr>
          <w:p w14:paraId="17271A1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Climate change, hurricanes, and heavy rainfall accelerate the deterioration of archaeological structures.</w:t>
            </w:r>
          </w:p>
        </w:tc>
      </w:tr>
      <w:tr w:rsidR="00BF0CC1" w:rsidRPr="00BF0CC1" w14:paraId="4ABB45E6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E545F5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Rich historical, cultural, and archaeological significance attracts millions of domestic and international visitors annually.</w:t>
            </w:r>
          </w:p>
        </w:tc>
        <w:tc>
          <w:tcPr>
            <w:tcW w:w="0" w:type="auto"/>
            <w:hideMark/>
          </w:tcPr>
          <w:p w14:paraId="49B9C210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Visitor overcrowding during peak seasons affects both the monument and visitor experience.</w:t>
            </w:r>
          </w:p>
        </w:tc>
        <w:tc>
          <w:tcPr>
            <w:tcW w:w="0" w:type="auto"/>
            <w:hideMark/>
          </w:tcPr>
          <w:p w14:paraId="7656B59A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international archaeological research and cultural exchange programs.</w:t>
            </w:r>
          </w:p>
        </w:tc>
        <w:tc>
          <w:tcPr>
            <w:tcW w:w="0" w:type="auto"/>
            <w:hideMark/>
          </w:tcPr>
          <w:p w14:paraId="7781D452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Environmental pollution and natural erosion threaten the long-term preservation of the site.</w:t>
            </w:r>
          </w:p>
        </w:tc>
      </w:tr>
      <w:tr w:rsidR="00BF0CC1" w:rsidRPr="00BF0CC1" w14:paraId="162D2E80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7568FE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Significant contributor to Mexico's tourism economy and cultural identity.</w:t>
            </w:r>
          </w:p>
        </w:tc>
        <w:tc>
          <w:tcPr>
            <w:tcW w:w="0" w:type="auto"/>
            <w:hideMark/>
          </w:tcPr>
          <w:p w14:paraId="6C4982F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Limited accessibility and visitor facilities in some parts of the archaeological complex.</w:t>
            </w:r>
          </w:p>
        </w:tc>
        <w:tc>
          <w:tcPr>
            <w:tcW w:w="0" w:type="auto"/>
            <w:hideMark/>
          </w:tcPr>
          <w:p w14:paraId="5B32C58D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Promote sustainable tourism by engaging local communities in conservation and tourism activities.</w:t>
            </w:r>
          </w:p>
        </w:tc>
        <w:tc>
          <w:tcPr>
            <w:tcW w:w="0" w:type="auto"/>
            <w:hideMark/>
          </w:tcPr>
          <w:p w14:paraId="45D1A17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Illegal artifact trafficking, vandalism, and uncontrolled tourism activities pose risks to the site.</w:t>
            </w:r>
          </w:p>
        </w:tc>
      </w:tr>
    </w:tbl>
    <w:p w14:paraId="5E5DA22A" w14:textId="77777777" w:rsidR="00BF0CC1" w:rsidRPr="00BF0CC1" w:rsidRDefault="00BF0CC1" w:rsidP="00BF0CC1">
      <w:pPr>
        <w:pStyle w:val="ListParagraph"/>
        <w:spacing w:line="276" w:lineRule="auto"/>
        <w:rPr>
          <w:lang w:val="en-GB"/>
        </w:rPr>
      </w:pPr>
      <w:r w:rsidRPr="00BF0CC1">
        <w:rPr>
          <w:lang w:val="en-GB"/>
        </w:rPr>
        <w:pict w14:anchorId="4EA990A6">
          <v:rect id="_x0000_i1212" style="width:0;height:1.5pt" o:hralign="center" o:hrstd="t" o:hr="t" fillcolor="#a0a0a0" stroked="f"/>
        </w:pict>
      </w:r>
    </w:p>
    <w:p w14:paraId="492311E7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t>Linking the SWOT Analysis to Objectives, Strategies, and Actions</w:t>
      </w:r>
    </w:p>
    <w:tbl>
      <w:tblPr>
        <w:tblStyle w:val="ListTable6Colorful-Accent1"/>
        <w:tblW w:w="0" w:type="auto"/>
        <w:tblLook w:val="04A0" w:firstRow="1" w:lastRow="0" w:firstColumn="1" w:lastColumn="0" w:noHBand="0" w:noVBand="1"/>
      </w:tblPr>
      <w:tblGrid>
        <w:gridCol w:w="2251"/>
        <w:gridCol w:w="2217"/>
        <w:gridCol w:w="2218"/>
        <w:gridCol w:w="2340"/>
      </w:tblGrid>
      <w:tr w:rsidR="00BF0CC1" w:rsidRPr="00BF0CC1" w14:paraId="7E5A14AA" w14:textId="77777777" w:rsidTr="009B14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72B34B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SWOT Factor</w:t>
            </w:r>
          </w:p>
        </w:tc>
        <w:tc>
          <w:tcPr>
            <w:tcW w:w="0" w:type="auto"/>
            <w:hideMark/>
          </w:tcPr>
          <w:p w14:paraId="08551F10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449561FC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31DCCABA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Actions</w:t>
            </w:r>
          </w:p>
        </w:tc>
      </w:tr>
      <w:tr w:rsidR="00BF0CC1" w:rsidRPr="00BF0CC1" w14:paraId="5952EBA1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D7A874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4C665D2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Preserve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 as a globally recognized cultural heritage site.</w:t>
            </w:r>
          </w:p>
        </w:tc>
        <w:tc>
          <w:tcPr>
            <w:tcW w:w="0" w:type="auto"/>
            <w:hideMark/>
          </w:tcPr>
          <w:p w14:paraId="0E109A6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conservation through international partnerships.</w:t>
            </w:r>
          </w:p>
        </w:tc>
        <w:tc>
          <w:tcPr>
            <w:tcW w:w="0" w:type="auto"/>
            <w:hideMark/>
          </w:tcPr>
          <w:p w14:paraId="2E003736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Collaborate with UNESCO, Mexico's National Institute of Anthropology and History (INAH), and international conservation organizations to secure funding and technical expertise.</w:t>
            </w:r>
          </w:p>
        </w:tc>
      </w:tr>
      <w:tr w:rsidR="00BF0CC1" w:rsidRPr="00BF0CC1" w14:paraId="44E7E95A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D26779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2: Historical and archaeological importance</w:t>
            </w:r>
          </w:p>
        </w:tc>
        <w:tc>
          <w:tcPr>
            <w:tcW w:w="0" w:type="auto"/>
            <w:hideMark/>
          </w:tcPr>
          <w:p w14:paraId="27C708F1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Enhance public understanding of Mayan civilization.</w:t>
            </w:r>
          </w:p>
        </w:tc>
        <w:tc>
          <w:tcPr>
            <w:tcW w:w="0" w:type="auto"/>
            <w:hideMark/>
          </w:tcPr>
          <w:p w14:paraId="19AECFA8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Promote educational tourism and cultural interpretation.</w:t>
            </w:r>
          </w:p>
        </w:tc>
        <w:tc>
          <w:tcPr>
            <w:tcW w:w="0" w:type="auto"/>
            <w:hideMark/>
          </w:tcPr>
          <w:p w14:paraId="62612C28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guided heritage tours, museum exhibitions, educational workshops, and multilingual information materials.</w:t>
            </w:r>
          </w:p>
        </w:tc>
      </w:tr>
      <w:tr w:rsidR="00BF0CC1" w:rsidRPr="00BF0CC1" w14:paraId="0F5C99C3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EFEDFA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3: Strong tourism demand</w:t>
            </w:r>
          </w:p>
        </w:tc>
        <w:tc>
          <w:tcPr>
            <w:tcW w:w="0" w:type="auto"/>
            <w:hideMark/>
          </w:tcPr>
          <w:p w14:paraId="02893FD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Increase tourism benefits while protecting the archaeological site.</w:t>
            </w:r>
          </w:p>
        </w:tc>
        <w:tc>
          <w:tcPr>
            <w:tcW w:w="0" w:type="auto"/>
            <w:hideMark/>
          </w:tcPr>
          <w:p w14:paraId="6663523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0B567895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Introduce online ticket reservations, timed-entry systems, improved visitor centres, and professional guide services.</w:t>
            </w:r>
          </w:p>
        </w:tc>
      </w:tr>
      <w:tr w:rsidR="00BF0CC1" w:rsidRPr="00BF0CC1" w14:paraId="50C992B0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839911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 xml:space="preserve">Weakness 1: High </w:t>
            </w:r>
            <w:r w:rsidRPr="00BF0CC1">
              <w:rPr>
                <w:lang w:val="en-GB"/>
              </w:rPr>
              <w:lastRenderedPageBreak/>
              <w:t>conservation requirements</w:t>
            </w:r>
          </w:p>
        </w:tc>
        <w:tc>
          <w:tcPr>
            <w:tcW w:w="0" w:type="auto"/>
            <w:hideMark/>
          </w:tcPr>
          <w:p w14:paraId="4994091A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Ensure long-term </w:t>
            </w:r>
            <w:r w:rsidRPr="00BF0CC1">
              <w:rPr>
                <w:lang w:val="en-GB"/>
              </w:rPr>
              <w:lastRenderedPageBreak/>
              <w:t>preservation of archaeological structures.</w:t>
            </w:r>
          </w:p>
        </w:tc>
        <w:tc>
          <w:tcPr>
            <w:tcW w:w="0" w:type="auto"/>
            <w:hideMark/>
          </w:tcPr>
          <w:p w14:paraId="4F2E01E3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Develop sustainable </w:t>
            </w:r>
            <w:r w:rsidRPr="00BF0CC1">
              <w:rPr>
                <w:lang w:val="en-GB"/>
              </w:rPr>
              <w:lastRenderedPageBreak/>
              <w:t>conservation funding.</w:t>
            </w:r>
          </w:p>
        </w:tc>
        <w:tc>
          <w:tcPr>
            <w:tcW w:w="0" w:type="auto"/>
            <w:hideMark/>
          </w:tcPr>
          <w:p w14:paraId="330B3A55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Secure government </w:t>
            </w:r>
            <w:r w:rsidRPr="00BF0CC1">
              <w:rPr>
                <w:lang w:val="en-GB"/>
              </w:rPr>
              <w:lastRenderedPageBreak/>
              <w:t>funding, private sponsorships, international grants, and allocate tourism revenue for restoration projects.</w:t>
            </w:r>
          </w:p>
        </w:tc>
      </w:tr>
      <w:tr w:rsidR="00BF0CC1" w:rsidRPr="00BF0CC1" w14:paraId="7F993098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0D528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Weakness 2: Visitor overcrowding</w:t>
            </w:r>
          </w:p>
        </w:tc>
        <w:tc>
          <w:tcPr>
            <w:tcW w:w="0" w:type="auto"/>
            <w:hideMark/>
          </w:tcPr>
          <w:p w14:paraId="7A24417C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experience and reduce damage to the site.</w:t>
            </w:r>
          </w:p>
        </w:tc>
        <w:tc>
          <w:tcPr>
            <w:tcW w:w="0" w:type="auto"/>
            <w:hideMark/>
          </w:tcPr>
          <w:p w14:paraId="5BF12B94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Implement effective crowd management strategies.</w:t>
            </w:r>
          </w:p>
        </w:tc>
        <w:tc>
          <w:tcPr>
            <w:tcW w:w="0" w:type="auto"/>
            <w:hideMark/>
          </w:tcPr>
          <w:p w14:paraId="4E21BE95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Introduce visitor quotas, designated walking routes, and encourage off-season tourism.</w:t>
            </w:r>
          </w:p>
        </w:tc>
      </w:tr>
      <w:tr w:rsidR="00BF0CC1" w:rsidRPr="00BF0CC1" w14:paraId="143DBF04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EA2896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Weakness 3: Limited accessibility</w:t>
            </w:r>
          </w:p>
        </w:tc>
        <w:tc>
          <w:tcPr>
            <w:tcW w:w="0" w:type="auto"/>
            <w:hideMark/>
          </w:tcPr>
          <w:p w14:paraId="5C23D59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access while protecting the heritage site.</w:t>
            </w:r>
          </w:p>
        </w:tc>
        <w:tc>
          <w:tcPr>
            <w:tcW w:w="0" w:type="auto"/>
            <w:hideMark/>
          </w:tcPr>
          <w:p w14:paraId="65C5C630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Upgrade tourism infrastructure responsibly.</w:t>
            </w:r>
          </w:p>
        </w:tc>
        <w:tc>
          <w:tcPr>
            <w:tcW w:w="0" w:type="auto"/>
            <w:hideMark/>
          </w:tcPr>
          <w:p w14:paraId="6F511273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pathways, signage, shuttle services, and accessibility features for elderly and disabled visitors where feasible.</w:t>
            </w:r>
          </w:p>
        </w:tc>
      </w:tr>
      <w:tr w:rsidR="00BF0CC1" w:rsidRPr="00BF0CC1" w14:paraId="03A5F2D2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D5AC0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633595D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Increase global access to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Itzá.</w:t>
            </w:r>
          </w:p>
        </w:tc>
        <w:tc>
          <w:tcPr>
            <w:tcW w:w="0" w:type="auto"/>
            <w:hideMark/>
          </w:tcPr>
          <w:p w14:paraId="19C2E26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647550B4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VR tours, AR mobile applications, virtual exhibitions, and interactive educational platforms.</w:t>
            </w:r>
          </w:p>
        </w:tc>
      </w:tr>
      <w:tr w:rsidR="00BF0CC1" w:rsidRPr="00BF0CC1" w14:paraId="50FF032A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610535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 xml:space="preserve">Opportunity 2: </w:t>
            </w:r>
            <w:r w:rsidRPr="00BF0CC1">
              <w:rPr>
                <w:lang w:val="en-GB"/>
              </w:rPr>
              <w:lastRenderedPageBreak/>
              <w:t>International research collaboration</w:t>
            </w:r>
          </w:p>
        </w:tc>
        <w:tc>
          <w:tcPr>
            <w:tcW w:w="0" w:type="auto"/>
            <w:hideMark/>
          </w:tcPr>
          <w:p w14:paraId="75118E74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Advance archaeologic</w:t>
            </w:r>
            <w:r w:rsidRPr="00BF0CC1">
              <w:rPr>
                <w:lang w:val="en-GB"/>
              </w:rPr>
              <w:lastRenderedPageBreak/>
              <w:t>al knowledge and conservation practices.</w:t>
            </w:r>
          </w:p>
        </w:tc>
        <w:tc>
          <w:tcPr>
            <w:tcW w:w="0" w:type="auto"/>
            <w:hideMark/>
          </w:tcPr>
          <w:p w14:paraId="3D92EDEE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Strengthen partnerships </w:t>
            </w:r>
            <w:r w:rsidRPr="00BF0CC1">
              <w:rPr>
                <w:lang w:val="en-GB"/>
              </w:rPr>
              <w:lastRenderedPageBreak/>
              <w:t>with universities and research institutions.</w:t>
            </w:r>
          </w:p>
        </w:tc>
        <w:tc>
          <w:tcPr>
            <w:tcW w:w="0" w:type="auto"/>
            <w:hideMark/>
          </w:tcPr>
          <w:p w14:paraId="48BE8B9E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Conduct joint archaeological </w:t>
            </w:r>
            <w:r w:rsidRPr="00BF0CC1">
              <w:rPr>
                <w:lang w:val="en-GB"/>
              </w:rPr>
              <w:lastRenderedPageBreak/>
              <w:t>excavations, conservation research, and heritage management training.</w:t>
            </w:r>
          </w:p>
        </w:tc>
      </w:tr>
      <w:tr w:rsidR="00BF0CC1" w:rsidRPr="00BF0CC1" w14:paraId="441ED050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294922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Opportunity 3: Community-based tourism</w:t>
            </w:r>
          </w:p>
        </w:tc>
        <w:tc>
          <w:tcPr>
            <w:tcW w:w="0" w:type="auto"/>
            <w:hideMark/>
          </w:tcPr>
          <w:p w14:paraId="64E78640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local economic development while preserving cultural heritage.</w:t>
            </w:r>
          </w:p>
        </w:tc>
        <w:tc>
          <w:tcPr>
            <w:tcW w:w="0" w:type="auto"/>
            <w:hideMark/>
          </w:tcPr>
          <w:p w14:paraId="21162A7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Encourage local participation in tourism.</w:t>
            </w:r>
          </w:p>
        </w:tc>
        <w:tc>
          <w:tcPr>
            <w:tcW w:w="0" w:type="auto"/>
            <w:hideMark/>
          </w:tcPr>
          <w:p w14:paraId="6A68735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Support local artisans, traditional cultural performances, eco-tourism businesses, and community-led tourism initiatives.</w:t>
            </w:r>
          </w:p>
        </w:tc>
      </w:tr>
      <w:tr w:rsidR="00BF0CC1" w:rsidRPr="00BF0CC1" w14:paraId="1E6DE97F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2A6DDE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Threat 1: Climate change and natural disasters</w:t>
            </w:r>
          </w:p>
        </w:tc>
        <w:tc>
          <w:tcPr>
            <w:tcW w:w="0" w:type="auto"/>
            <w:hideMark/>
          </w:tcPr>
          <w:p w14:paraId="0FC5D191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Reduce environmental risks to the archaeological site.</w:t>
            </w:r>
          </w:p>
        </w:tc>
        <w:tc>
          <w:tcPr>
            <w:tcW w:w="0" w:type="auto"/>
            <w:hideMark/>
          </w:tcPr>
          <w:p w14:paraId="33055B27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environmental monitoring and disaster preparedness.</w:t>
            </w:r>
          </w:p>
        </w:tc>
        <w:tc>
          <w:tcPr>
            <w:tcW w:w="0" w:type="auto"/>
            <w:hideMark/>
          </w:tcPr>
          <w:p w14:paraId="6F86B8D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Install weather monitoring systems, improve drainage infrastructure, and develop emergency conservation plans.</w:t>
            </w:r>
          </w:p>
        </w:tc>
      </w:tr>
      <w:tr w:rsidR="00BF0CC1" w:rsidRPr="00BF0CC1" w14:paraId="09A287FA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A37B6F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Threat 2: Environmental erosion</w:t>
            </w:r>
          </w:p>
        </w:tc>
        <w:tc>
          <w:tcPr>
            <w:tcW w:w="0" w:type="auto"/>
            <w:hideMark/>
          </w:tcPr>
          <w:p w14:paraId="0FC34A69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Protect archaeological structures from long-term deterioration.</w:t>
            </w:r>
          </w:p>
        </w:tc>
        <w:tc>
          <w:tcPr>
            <w:tcW w:w="0" w:type="auto"/>
            <w:hideMark/>
          </w:tcPr>
          <w:p w14:paraId="520A6600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Implement preventive conservation measures.</w:t>
            </w:r>
          </w:p>
        </w:tc>
        <w:tc>
          <w:tcPr>
            <w:tcW w:w="0" w:type="auto"/>
            <w:hideMark/>
          </w:tcPr>
          <w:p w14:paraId="73F7EF41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Conduct regular structural inspections, stone restoration, and landscape management programs.</w:t>
            </w:r>
          </w:p>
        </w:tc>
      </w:tr>
      <w:tr w:rsidR="00BF0CC1" w:rsidRPr="00BF0CC1" w14:paraId="51C182E7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4742EF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 xml:space="preserve">Threat 3: Vandalism and illegal </w:t>
            </w:r>
            <w:r w:rsidRPr="00BF0CC1">
              <w:rPr>
                <w:lang w:val="en-GB"/>
              </w:rPr>
              <w:lastRenderedPageBreak/>
              <w:t>artifact trafficking</w:t>
            </w:r>
          </w:p>
        </w:tc>
        <w:tc>
          <w:tcPr>
            <w:tcW w:w="0" w:type="auto"/>
            <w:hideMark/>
          </w:tcPr>
          <w:p w14:paraId="37DF9EBF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Strengthen heritage protection </w:t>
            </w:r>
            <w:r w:rsidRPr="00BF0CC1">
              <w:rPr>
                <w:lang w:val="en-GB"/>
              </w:rPr>
              <w:lastRenderedPageBreak/>
              <w:t>and visitor safety.</w:t>
            </w:r>
          </w:p>
        </w:tc>
        <w:tc>
          <w:tcPr>
            <w:tcW w:w="0" w:type="auto"/>
            <w:hideMark/>
          </w:tcPr>
          <w:p w14:paraId="18D9C9A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Enhance security systems and legal </w:t>
            </w:r>
            <w:r w:rsidRPr="00BF0CC1">
              <w:rPr>
                <w:lang w:val="en-GB"/>
              </w:rPr>
              <w:lastRenderedPageBreak/>
              <w:t>enforcement.</w:t>
            </w:r>
          </w:p>
        </w:tc>
        <w:tc>
          <w:tcPr>
            <w:tcW w:w="0" w:type="auto"/>
            <w:hideMark/>
          </w:tcPr>
          <w:p w14:paraId="7619AAFC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Increase CCTV surveillance, deploy trained </w:t>
            </w:r>
            <w:r w:rsidRPr="00BF0CC1">
              <w:rPr>
                <w:lang w:val="en-GB"/>
              </w:rPr>
              <w:lastRenderedPageBreak/>
              <w:t>security personnel, improve artifact documentation, and enforce stricter penalties for heritage crimes.</w:t>
            </w:r>
          </w:p>
        </w:tc>
      </w:tr>
    </w:tbl>
    <w:p w14:paraId="07C7AD6A" w14:textId="77777777" w:rsidR="00BF0CC1" w:rsidRPr="00BF0CC1" w:rsidRDefault="00BF0CC1" w:rsidP="00BF0CC1">
      <w:pPr>
        <w:pStyle w:val="ListParagraph"/>
        <w:spacing w:line="276" w:lineRule="auto"/>
        <w:rPr>
          <w:lang w:val="en-GB"/>
        </w:rPr>
      </w:pPr>
      <w:r w:rsidRPr="00BF0CC1">
        <w:rPr>
          <w:lang w:val="en-GB"/>
        </w:rPr>
        <w:lastRenderedPageBreak/>
        <w:pict w14:anchorId="5A1F0B7E">
          <v:rect id="_x0000_i1213" style="width:0;height:1.5pt" o:hralign="center" o:hrstd="t" o:hr="t" fillcolor="#a0a0a0" stroked="f"/>
        </w:pict>
      </w:r>
    </w:p>
    <w:p w14:paraId="125478A7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t>Summary Table</w:t>
      </w:r>
    </w:p>
    <w:tbl>
      <w:tblPr>
        <w:tblStyle w:val="ListTable6Colorful-Accent1"/>
        <w:tblW w:w="0" w:type="auto"/>
        <w:tblLook w:val="04A0" w:firstRow="1" w:lastRow="0" w:firstColumn="1" w:lastColumn="0" w:noHBand="0" w:noVBand="1"/>
      </w:tblPr>
      <w:tblGrid>
        <w:gridCol w:w="1979"/>
        <w:gridCol w:w="7047"/>
      </w:tblGrid>
      <w:tr w:rsidR="00BF0CC1" w:rsidRPr="00BF0CC1" w14:paraId="1BB0B0AE" w14:textId="77777777" w:rsidTr="009B14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A55A8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5B8F18A1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Key Focus</w:t>
            </w:r>
          </w:p>
        </w:tc>
      </w:tr>
      <w:tr w:rsidR="00BF0CC1" w:rsidRPr="00BF0CC1" w14:paraId="0E9F72C9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476D508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3DD77B3C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Preserve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Itzá's cultural heritage, improve visitor experience, strengthen conservation, promote sustainable tourism, and support local community development.</w:t>
            </w:r>
          </w:p>
        </w:tc>
      </w:tr>
      <w:tr w:rsidR="00BF0CC1" w:rsidRPr="00BF0CC1" w14:paraId="72D42F0C" w14:textId="77777777" w:rsidTr="009B14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032F2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1334FCD5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Heritage conservation, digital innovation, sustainable tourism, visitor management, international collaboration, environmental protection, and community engagement.</w:t>
            </w:r>
          </w:p>
        </w:tc>
      </w:tr>
      <w:tr w:rsidR="00BF0CC1" w:rsidRPr="00BF0CC1" w14:paraId="250574FA" w14:textId="77777777" w:rsidTr="009B1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1DDDFD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01DA0BD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Restoration projects, VR and AR experiences, online ticketing, educational programs, accessibility improvements, environmental monitoring, enhanced security, disaster preparedness, and partnerships with local communities and research institutions.</w:t>
            </w:r>
          </w:p>
        </w:tc>
      </w:tr>
    </w:tbl>
    <w:p w14:paraId="4B9FEF74" w14:textId="77777777" w:rsidR="00BF0CC1" w:rsidRDefault="00BF0CC1" w:rsidP="004E190D">
      <w:pPr>
        <w:pStyle w:val="ListParagraph"/>
        <w:spacing w:line="276" w:lineRule="auto"/>
        <w:ind w:left="0"/>
        <w:rPr>
          <w:lang w:val="en-US"/>
        </w:rPr>
      </w:pPr>
    </w:p>
    <w:sectPr w:rsidR="00BF0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1E4EA44-3172-4756-8656-B5FF45B7FB70}"/>
    <w:embedBold r:id="rId2" w:fontKey="{AB7855B5-2840-4423-908C-A11391C9290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2800195-3234-4ABE-9D4A-631B0F3BA956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80C77722-E21B-4E82-8240-7137F2572A2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955FE"/>
    <w:rsid w:val="007C7917"/>
    <w:rsid w:val="00844EC2"/>
    <w:rsid w:val="008516FE"/>
    <w:rsid w:val="0089075B"/>
    <w:rsid w:val="009231A0"/>
    <w:rsid w:val="00942251"/>
    <w:rsid w:val="009B1436"/>
    <w:rsid w:val="009C1D0A"/>
    <w:rsid w:val="00A044F7"/>
    <w:rsid w:val="00A057BE"/>
    <w:rsid w:val="00A437B5"/>
    <w:rsid w:val="00A8150E"/>
    <w:rsid w:val="00B20343"/>
    <w:rsid w:val="00B62C8D"/>
    <w:rsid w:val="00B85EA7"/>
    <w:rsid w:val="00BD2C2D"/>
    <w:rsid w:val="00BE5257"/>
    <w:rsid w:val="00BE65DD"/>
    <w:rsid w:val="00BF0CC1"/>
    <w:rsid w:val="00C612A4"/>
    <w:rsid w:val="00C80777"/>
    <w:rsid w:val="00CB519B"/>
    <w:rsid w:val="00CC6AD1"/>
    <w:rsid w:val="00CF34F8"/>
    <w:rsid w:val="00DB7FC2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DB7FC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CB51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4">
    <w:name w:val="Grid Table 1 Light Accent 4"/>
    <w:basedOn w:val="TableNormal"/>
    <w:uiPriority w:val="46"/>
    <w:rsid w:val="007955FE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5Dark-Accent4">
    <w:name w:val="List Table 5 Dark Accent 4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1">
    <w:name w:val="List Table 6 Colorful Accent 1"/>
    <w:basedOn w:val="TableNormal"/>
    <w:uiPriority w:val="51"/>
    <w:rsid w:val="009B1436"/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2026-06-25T14:10:00Z</dcterms:created>
  <dcterms:modified xsi:type="dcterms:W3CDTF">2026-06-25T14:10:00Z</dcterms:modified>
</cp:coreProperties>
</file>