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9DE89"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51B1D45" w14:textId="77777777" w:rsidR="00672345" w:rsidRPr="0019504D" w:rsidRDefault="00672345" w:rsidP="00672345">
      <w:pPr>
        <w:rPr>
          <w:b/>
          <w:bCs/>
          <w:lang w:val="en-US"/>
        </w:rPr>
      </w:pPr>
      <w:r>
        <w:rPr>
          <w:b/>
          <w:bCs/>
          <w:lang w:val="en-US"/>
        </w:rPr>
        <w:t xml:space="preserve">Cultural Heritage Management </w:t>
      </w:r>
    </w:p>
    <w:p w14:paraId="7C3E836E"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5E1FD5">
        <w:rPr>
          <w:lang w:val="en-US"/>
        </w:rPr>
        <w:t>9</w:t>
      </w:r>
    </w:p>
    <w:p w14:paraId="054508FA" w14:textId="77777777" w:rsidR="00672345" w:rsidRPr="0019504D" w:rsidRDefault="005E1FD5" w:rsidP="00672345">
      <w:pPr>
        <w:rPr>
          <w:lang w:val="en-US"/>
        </w:rPr>
      </w:pPr>
      <w:r>
        <w:rPr>
          <w:lang w:val="en-US"/>
        </w:rPr>
        <w:t>1</w:t>
      </w:r>
      <w:r w:rsidR="00705037">
        <w:rPr>
          <w:lang w:val="en-US"/>
        </w:rPr>
        <w:t>0</w:t>
      </w:r>
      <w:r w:rsidR="00672345">
        <w:rPr>
          <w:lang w:val="en-US"/>
        </w:rPr>
        <w:t>.0</w:t>
      </w:r>
      <w:r w:rsidR="00705037">
        <w:rPr>
          <w:lang w:val="en-US"/>
        </w:rPr>
        <w:t>6</w:t>
      </w:r>
      <w:r w:rsidR="00672345">
        <w:rPr>
          <w:lang w:val="en-US"/>
        </w:rPr>
        <w:t>.2026</w:t>
      </w:r>
    </w:p>
    <w:p w14:paraId="44761598" w14:textId="77777777" w:rsidR="00672345" w:rsidRDefault="00672345"/>
    <w:p w14:paraId="01273998" w14:textId="77777777" w:rsidR="00672345" w:rsidRDefault="00672345"/>
    <w:p w14:paraId="58D939BC" w14:textId="77777777" w:rsidR="00672345" w:rsidRDefault="00672345"/>
    <w:p w14:paraId="2088C002" w14:textId="77777777" w:rsidR="00672345" w:rsidRDefault="00672345"/>
    <w:p w14:paraId="393AE272" w14:textId="77777777" w:rsidR="00672345" w:rsidRDefault="00672345"/>
    <w:p w14:paraId="230E0176" w14:textId="77777777" w:rsidR="00672345" w:rsidRDefault="00672345"/>
    <w:p w14:paraId="6B5AE1BC" w14:textId="77777777" w:rsidR="00672345" w:rsidRDefault="00672345"/>
    <w:p w14:paraId="1892C948" w14:textId="77777777" w:rsidR="00672345" w:rsidRDefault="00672345"/>
    <w:p w14:paraId="52409CDB" w14:textId="77777777" w:rsidR="00672345" w:rsidRDefault="00672345"/>
    <w:p w14:paraId="13CE6543" w14:textId="77777777" w:rsidR="00672345" w:rsidRDefault="00672345"/>
    <w:p w14:paraId="700F7DCC" w14:textId="77777777" w:rsidR="00672345" w:rsidRDefault="00672345"/>
    <w:p w14:paraId="1D59FFBC" w14:textId="77777777" w:rsidR="00672345" w:rsidRDefault="00672345"/>
    <w:p w14:paraId="20B49642" w14:textId="77777777" w:rsidR="00672345" w:rsidRDefault="00672345"/>
    <w:p w14:paraId="4AF515FA"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3758F3E8" w14:textId="77777777" w:rsidR="00016EE8" w:rsidRDefault="00016EE8" w:rsidP="00016EE8">
      <w:pPr>
        <w:rPr>
          <w:lang w:val="en-US"/>
        </w:rPr>
      </w:pPr>
    </w:p>
    <w:p w14:paraId="6A91EE2F" w14:textId="77777777" w:rsidR="005E1FD5" w:rsidRPr="005E1FD5" w:rsidRDefault="00705037" w:rsidP="005E1FD5">
      <w:pPr>
        <w:spacing w:line="276" w:lineRule="auto"/>
        <w:rPr>
          <w:b/>
          <w:bCs/>
          <w:lang w:val="en-US"/>
        </w:rPr>
      </w:pPr>
      <w:r w:rsidRPr="005E1FD5">
        <w:rPr>
          <w:b/>
          <w:bCs/>
          <w:lang w:val="en-US"/>
        </w:rPr>
        <w:t xml:space="preserve">1- </w:t>
      </w:r>
      <w:r w:rsidR="005E1FD5" w:rsidRPr="005E1FD5">
        <w:rPr>
          <w:b/>
          <w:bCs/>
          <w:lang w:val="en-US"/>
        </w:rPr>
        <w:t>Can different stakeholders assign different values to the same heritage attribute?</w:t>
      </w:r>
    </w:p>
    <w:p w14:paraId="7B6B7848" w14:textId="77777777" w:rsidR="005E1FD5" w:rsidRPr="005E1FD5" w:rsidRDefault="005E1FD5" w:rsidP="005E1FD5">
      <w:pPr>
        <w:pStyle w:val="ListParagraph"/>
        <w:numPr>
          <w:ilvl w:val="0"/>
          <w:numId w:val="8"/>
        </w:numPr>
        <w:spacing w:line="276" w:lineRule="auto"/>
        <w:rPr>
          <w:lang w:val="en-US"/>
        </w:rPr>
      </w:pPr>
      <w:r w:rsidRPr="005E1FD5">
        <w:rPr>
          <w:lang w:val="en-US"/>
        </w:rPr>
        <w:t>Provide examples and discuss the implications for heritage management.</w:t>
      </w:r>
    </w:p>
    <w:p w14:paraId="64F261FB" w14:textId="77777777" w:rsidR="005E1FD5" w:rsidRPr="005E1FD5" w:rsidRDefault="005E1FD5" w:rsidP="005E1FD5">
      <w:pPr>
        <w:spacing w:line="276" w:lineRule="auto"/>
        <w:rPr>
          <w:lang w:val="en-US"/>
        </w:rPr>
      </w:pPr>
    </w:p>
    <w:p w14:paraId="41A5D5E4" w14:textId="77777777" w:rsidR="005E1FD5" w:rsidRPr="005E1FD5" w:rsidRDefault="005E1FD5" w:rsidP="005E1FD5">
      <w:pPr>
        <w:spacing w:line="276" w:lineRule="auto"/>
        <w:rPr>
          <w:b/>
          <w:bCs/>
          <w:lang w:val="en-US"/>
        </w:rPr>
      </w:pPr>
      <w:r w:rsidRPr="005E1FD5">
        <w:rPr>
          <w:b/>
          <w:bCs/>
          <w:lang w:val="en-US"/>
        </w:rPr>
        <w:t xml:space="preserve">2- Choose </w:t>
      </w:r>
      <w:r>
        <w:rPr>
          <w:b/>
          <w:bCs/>
          <w:lang w:val="en-US"/>
        </w:rPr>
        <w:t>five</w:t>
      </w:r>
      <w:r w:rsidRPr="005E1FD5">
        <w:rPr>
          <w:b/>
          <w:bCs/>
          <w:lang w:val="en-US"/>
        </w:rPr>
        <w:t xml:space="preserve"> attributes from a heritage site of your choice and evaluate:</w:t>
      </w:r>
    </w:p>
    <w:p w14:paraId="120B6166" w14:textId="77777777" w:rsidR="005E1FD5" w:rsidRPr="005E1FD5" w:rsidRDefault="005E1FD5" w:rsidP="005E1FD5">
      <w:pPr>
        <w:pStyle w:val="ListParagraph"/>
        <w:numPr>
          <w:ilvl w:val="0"/>
          <w:numId w:val="9"/>
        </w:numPr>
        <w:spacing w:line="276" w:lineRule="auto"/>
        <w:rPr>
          <w:lang w:val="en-US"/>
        </w:rPr>
      </w:pPr>
      <w:r w:rsidRPr="005E1FD5">
        <w:rPr>
          <w:lang w:val="en-US"/>
        </w:rPr>
        <w:t>Heritage value conveyed</w:t>
      </w:r>
    </w:p>
    <w:p w14:paraId="59A44A2A" w14:textId="77777777" w:rsidR="005E1FD5" w:rsidRPr="005E1FD5" w:rsidRDefault="005E1FD5" w:rsidP="005E1FD5">
      <w:pPr>
        <w:pStyle w:val="ListParagraph"/>
        <w:numPr>
          <w:ilvl w:val="0"/>
          <w:numId w:val="9"/>
        </w:numPr>
        <w:spacing w:line="276" w:lineRule="auto"/>
        <w:rPr>
          <w:lang w:val="en-US"/>
        </w:rPr>
      </w:pPr>
      <w:r w:rsidRPr="005E1FD5">
        <w:rPr>
          <w:lang w:val="en-US"/>
        </w:rPr>
        <w:t>Significance level</w:t>
      </w:r>
    </w:p>
    <w:p w14:paraId="0EBE0B5F" w14:textId="77777777" w:rsidR="005E1FD5" w:rsidRPr="005E1FD5" w:rsidRDefault="005E1FD5" w:rsidP="005E1FD5">
      <w:pPr>
        <w:pStyle w:val="ListParagraph"/>
        <w:numPr>
          <w:ilvl w:val="0"/>
          <w:numId w:val="9"/>
        </w:numPr>
        <w:spacing w:line="276" w:lineRule="auto"/>
        <w:rPr>
          <w:lang w:val="en-US"/>
        </w:rPr>
      </w:pPr>
      <w:r w:rsidRPr="005E1FD5">
        <w:rPr>
          <w:lang w:val="en-US"/>
        </w:rPr>
        <w:t>Potential impacts from development</w:t>
      </w:r>
    </w:p>
    <w:p w14:paraId="2BC6F462" w14:textId="77777777" w:rsidR="00CF34F8" w:rsidRDefault="005E1FD5" w:rsidP="005E1FD5">
      <w:pPr>
        <w:pStyle w:val="ListParagraph"/>
        <w:numPr>
          <w:ilvl w:val="0"/>
          <w:numId w:val="9"/>
        </w:numPr>
        <w:spacing w:line="276" w:lineRule="auto"/>
        <w:rPr>
          <w:lang w:val="en-US"/>
        </w:rPr>
      </w:pPr>
      <w:r w:rsidRPr="005E1FD5">
        <w:rPr>
          <w:lang w:val="en-US"/>
        </w:rPr>
        <w:t>Possible mitigation measures</w:t>
      </w:r>
    </w:p>
    <w:p w14:paraId="2A518FF4" w14:textId="77777777" w:rsidR="001B53D4" w:rsidRDefault="001B53D4" w:rsidP="001B53D4">
      <w:pPr>
        <w:pStyle w:val="ListParagraph"/>
        <w:spacing w:line="276" w:lineRule="auto"/>
        <w:ind w:left="0"/>
        <w:rPr>
          <w:lang w:val="en-US"/>
        </w:rPr>
      </w:pPr>
    </w:p>
    <w:p w14:paraId="73374BAE" w14:textId="77777777" w:rsidR="001B53D4" w:rsidRDefault="001B53D4" w:rsidP="001B53D4">
      <w:pPr>
        <w:pStyle w:val="ListParagraph"/>
        <w:spacing w:line="276" w:lineRule="auto"/>
        <w:ind w:left="0"/>
        <w:rPr>
          <w:lang w:val="en-US"/>
        </w:rPr>
      </w:pPr>
    </w:p>
    <w:p w14:paraId="0276836F" w14:textId="77777777" w:rsidR="001B53D4" w:rsidRDefault="001B53D4" w:rsidP="001B53D4">
      <w:pPr>
        <w:pStyle w:val="ListParagraph"/>
        <w:spacing w:line="276" w:lineRule="auto"/>
        <w:ind w:left="0"/>
        <w:rPr>
          <w:lang w:val="en-US"/>
        </w:rPr>
      </w:pPr>
    </w:p>
    <w:p w14:paraId="77248973" w14:textId="77777777" w:rsidR="001B53D4" w:rsidRDefault="001B53D4" w:rsidP="001B53D4">
      <w:pPr>
        <w:pStyle w:val="ListParagraph"/>
        <w:spacing w:line="276" w:lineRule="auto"/>
        <w:ind w:left="0"/>
        <w:rPr>
          <w:lang w:val="en-US"/>
        </w:rPr>
      </w:pPr>
    </w:p>
    <w:p w14:paraId="2D45F49F" w14:textId="77777777" w:rsidR="001B53D4" w:rsidRDefault="001B53D4" w:rsidP="001B53D4">
      <w:pPr>
        <w:pStyle w:val="ListParagraph"/>
        <w:spacing w:line="276" w:lineRule="auto"/>
        <w:ind w:left="0"/>
        <w:rPr>
          <w:lang w:val="en-US"/>
        </w:rPr>
      </w:pPr>
    </w:p>
    <w:p w14:paraId="259CF979" w14:textId="77777777" w:rsidR="001B53D4" w:rsidRDefault="001B53D4" w:rsidP="001B53D4">
      <w:pPr>
        <w:pStyle w:val="ListParagraph"/>
        <w:spacing w:line="276" w:lineRule="auto"/>
        <w:ind w:left="0"/>
        <w:rPr>
          <w:lang w:val="en-US"/>
        </w:rPr>
      </w:pPr>
    </w:p>
    <w:p w14:paraId="3FF168BB" w14:textId="77777777" w:rsidR="001B53D4" w:rsidRDefault="001B53D4" w:rsidP="001B53D4">
      <w:pPr>
        <w:pStyle w:val="ListParagraph"/>
        <w:spacing w:line="276" w:lineRule="auto"/>
        <w:ind w:left="0"/>
        <w:rPr>
          <w:lang w:val="en-US"/>
        </w:rPr>
      </w:pPr>
    </w:p>
    <w:p w14:paraId="12AF0EBD" w14:textId="77777777" w:rsidR="001B53D4" w:rsidRDefault="001B53D4" w:rsidP="001B53D4">
      <w:pPr>
        <w:pStyle w:val="ListParagraph"/>
        <w:spacing w:line="276" w:lineRule="auto"/>
        <w:ind w:left="0"/>
        <w:rPr>
          <w:lang w:val="en-US"/>
        </w:rPr>
      </w:pPr>
    </w:p>
    <w:p w14:paraId="6D8ADB05" w14:textId="77777777" w:rsidR="001B53D4" w:rsidRDefault="001B53D4" w:rsidP="001B53D4">
      <w:pPr>
        <w:pStyle w:val="ListParagraph"/>
        <w:spacing w:line="276" w:lineRule="auto"/>
        <w:ind w:left="0"/>
        <w:rPr>
          <w:lang w:val="en-US"/>
        </w:rPr>
      </w:pPr>
    </w:p>
    <w:p w14:paraId="6013F4AC" w14:textId="77777777" w:rsidR="001B53D4" w:rsidRDefault="001B53D4" w:rsidP="001B53D4">
      <w:pPr>
        <w:pStyle w:val="ListParagraph"/>
        <w:spacing w:line="276" w:lineRule="auto"/>
        <w:ind w:left="0"/>
        <w:rPr>
          <w:lang w:val="en-US"/>
        </w:rPr>
      </w:pPr>
    </w:p>
    <w:p w14:paraId="6B70A429" w14:textId="77777777" w:rsidR="001B53D4" w:rsidRDefault="001B53D4" w:rsidP="001B53D4">
      <w:pPr>
        <w:pStyle w:val="ListParagraph"/>
        <w:spacing w:line="276" w:lineRule="auto"/>
        <w:ind w:left="0"/>
        <w:rPr>
          <w:lang w:val="en-US"/>
        </w:rPr>
      </w:pPr>
    </w:p>
    <w:p w14:paraId="26786351" w14:textId="77777777" w:rsidR="001B53D4" w:rsidRDefault="001B53D4" w:rsidP="001B53D4">
      <w:pPr>
        <w:pStyle w:val="ListParagraph"/>
        <w:spacing w:line="276" w:lineRule="auto"/>
        <w:ind w:left="0"/>
        <w:rPr>
          <w:lang w:val="en-US"/>
        </w:rPr>
      </w:pPr>
    </w:p>
    <w:p w14:paraId="19645CC0" w14:textId="77777777" w:rsidR="001B53D4" w:rsidRDefault="001B53D4" w:rsidP="001B53D4">
      <w:pPr>
        <w:pStyle w:val="ListParagraph"/>
        <w:spacing w:line="276" w:lineRule="auto"/>
        <w:ind w:left="0"/>
        <w:rPr>
          <w:lang w:val="en-US"/>
        </w:rPr>
      </w:pPr>
    </w:p>
    <w:p w14:paraId="5021CDB8" w14:textId="77777777" w:rsidR="001B53D4" w:rsidRDefault="001B53D4" w:rsidP="001B53D4">
      <w:pPr>
        <w:pStyle w:val="ListParagraph"/>
        <w:spacing w:line="276" w:lineRule="auto"/>
        <w:ind w:left="0"/>
        <w:rPr>
          <w:lang w:val="en-US"/>
        </w:rPr>
      </w:pPr>
    </w:p>
    <w:p w14:paraId="4D172159" w14:textId="77777777" w:rsidR="001B53D4" w:rsidRDefault="001B53D4" w:rsidP="001B53D4">
      <w:pPr>
        <w:pStyle w:val="ListParagraph"/>
        <w:spacing w:line="276" w:lineRule="auto"/>
        <w:ind w:left="0"/>
        <w:rPr>
          <w:lang w:val="en-US"/>
        </w:rPr>
      </w:pPr>
    </w:p>
    <w:p w14:paraId="0BA98807" w14:textId="77777777" w:rsidR="001B53D4" w:rsidRDefault="001B53D4" w:rsidP="001B53D4">
      <w:pPr>
        <w:pStyle w:val="ListParagraph"/>
        <w:spacing w:line="276" w:lineRule="auto"/>
        <w:ind w:left="0"/>
        <w:rPr>
          <w:lang w:val="en-US"/>
        </w:rPr>
      </w:pPr>
      <w:r>
        <w:rPr>
          <w:lang w:val="en-US"/>
        </w:rPr>
        <w:t>\</w:t>
      </w:r>
    </w:p>
    <w:p w14:paraId="31401F9E" w14:textId="77777777" w:rsidR="00FE78A3" w:rsidRPr="00FE78A3" w:rsidRDefault="00FE78A3" w:rsidP="00FE78A3">
      <w:pPr>
        <w:pStyle w:val="ListParagraph"/>
        <w:spacing w:line="276" w:lineRule="auto"/>
        <w:rPr>
          <w:b/>
          <w:bCs/>
          <w:lang w:val="en-GB"/>
        </w:rPr>
      </w:pPr>
      <w:r w:rsidRPr="00FE78A3">
        <w:rPr>
          <w:b/>
          <w:bCs/>
          <w:lang w:val="en-GB"/>
        </w:rPr>
        <w:lastRenderedPageBreak/>
        <w:t>1. Can Different Stakeholders Assign Different Values to the Same Heritage Attribute?</w:t>
      </w:r>
    </w:p>
    <w:p w14:paraId="0409C1B3" w14:textId="77777777" w:rsidR="00FE78A3" w:rsidRPr="00FE78A3" w:rsidRDefault="00FE78A3" w:rsidP="00FE78A3">
      <w:pPr>
        <w:pStyle w:val="ListParagraph"/>
        <w:spacing w:line="276" w:lineRule="auto"/>
        <w:rPr>
          <w:lang w:val="en-GB"/>
        </w:rPr>
      </w:pPr>
      <w:r w:rsidRPr="00FE78A3">
        <w:rPr>
          <w:lang w:val="en-GB"/>
        </w:rPr>
        <w:t>Yes, different stakeholders often assign different values to the same heritage attribute because heritage significance is socially constructed and influenced by cultural, economic, political, and personal perspectives. A single heritage attribute may hold historical, aesthetic, spiritual, social, or economic value depending on who evaluates it.</w:t>
      </w:r>
    </w:p>
    <w:p w14:paraId="0558A694" w14:textId="77777777" w:rsidR="00FE78A3" w:rsidRPr="00FE78A3" w:rsidRDefault="00FE78A3" w:rsidP="00FE78A3">
      <w:pPr>
        <w:pStyle w:val="ListParagraph"/>
        <w:spacing w:line="276" w:lineRule="auto"/>
        <w:rPr>
          <w:lang w:val="en-GB"/>
        </w:rPr>
      </w:pPr>
      <w:r w:rsidRPr="00FE78A3">
        <w:rPr>
          <w:lang w:val="en-GB"/>
        </w:rPr>
        <w:t>For example, the stone structures at Stonehenge are valued differently by various groups. Archaeologists emphasize their scientific and historical significance for understanding prehistoric societies. Local communities may view them as symbols of regional identity and cultural pride. Indigenous spiritual groups may regard the site as sacred, while tourism businesses focus on its economic value through visitor attraction.</w:t>
      </w:r>
    </w:p>
    <w:p w14:paraId="34FB383C" w14:textId="77777777" w:rsidR="00FE78A3" w:rsidRPr="00FE78A3" w:rsidRDefault="00FE78A3" w:rsidP="00FE78A3">
      <w:pPr>
        <w:pStyle w:val="ListParagraph"/>
        <w:spacing w:line="276" w:lineRule="auto"/>
        <w:rPr>
          <w:lang w:val="en-GB"/>
        </w:rPr>
      </w:pPr>
      <w:r w:rsidRPr="00FE78A3">
        <w:rPr>
          <w:lang w:val="en-GB"/>
        </w:rPr>
        <w:t xml:space="preserve">Similarly, at Taj Mahal, conservationists prioritize preserving architectural authenticity, whereas tourism operators may support infrastructure expansion to accommodate increasing visitor numbers. </w:t>
      </w:r>
      <w:proofErr w:type="gramStart"/>
      <w:r w:rsidRPr="00FE78A3">
        <w:rPr>
          <w:lang w:val="en-GB"/>
        </w:rPr>
        <w:t>Local residents</w:t>
      </w:r>
      <w:proofErr w:type="gramEnd"/>
      <w:r w:rsidRPr="00FE78A3">
        <w:rPr>
          <w:lang w:val="en-GB"/>
        </w:rPr>
        <w:t xml:space="preserve"> may value employment opportunities generated by tourism but also express concerns about overcrowding and environmental impacts.</w:t>
      </w:r>
    </w:p>
    <w:p w14:paraId="24A91FAE" w14:textId="77777777" w:rsidR="00FE78A3" w:rsidRPr="00FE78A3" w:rsidRDefault="00FE78A3" w:rsidP="00FE78A3">
      <w:pPr>
        <w:pStyle w:val="ListParagraph"/>
        <w:spacing w:line="276" w:lineRule="auto"/>
        <w:rPr>
          <w:lang w:val="en-GB"/>
        </w:rPr>
      </w:pPr>
      <w:r w:rsidRPr="00FE78A3">
        <w:rPr>
          <w:lang w:val="en-GB"/>
        </w:rPr>
        <w:t>These differing values create challenges for heritage management. Managers must balance conservation objectives with economic development, community interests, and public access. Failure to recognize multiple perspectives can lead to conflicts, stakeholder dissatisfaction, and unsustainable management outcomes.</w:t>
      </w:r>
    </w:p>
    <w:p w14:paraId="07310D70" w14:textId="77777777" w:rsidR="00FE78A3" w:rsidRPr="00FE78A3" w:rsidRDefault="00FE78A3" w:rsidP="00FE78A3">
      <w:pPr>
        <w:pStyle w:val="ListParagraph"/>
        <w:spacing w:line="276" w:lineRule="auto"/>
        <w:rPr>
          <w:lang w:val="en-GB"/>
        </w:rPr>
      </w:pPr>
      <w:r w:rsidRPr="00FE78A3">
        <w:rPr>
          <w:lang w:val="en-GB"/>
        </w:rPr>
        <w:t>Modern heritage management therefore adopts participatory approaches that involve stakeholders in decision-making processes. Tools such as Heritage Impact Assessments (HIAs), public consultations, and stakeholder mapping help identify competing values and support informed decisions. Recognizing diverse values also promotes inclusivity and ensures that heritage sites remain relevant to contemporary communities while maintaining their significance for future generations.</w:t>
      </w:r>
    </w:p>
    <w:p w14:paraId="7FDD3024" w14:textId="77777777" w:rsidR="00FE78A3" w:rsidRPr="00FE78A3" w:rsidRDefault="00FE78A3" w:rsidP="00FE78A3">
      <w:pPr>
        <w:pStyle w:val="ListParagraph"/>
        <w:spacing w:line="276" w:lineRule="auto"/>
        <w:rPr>
          <w:lang w:val="en-GB"/>
        </w:rPr>
      </w:pPr>
      <w:r w:rsidRPr="00FE78A3">
        <w:rPr>
          <w:lang w:val="en-GB"/>
        </w:rPr>
        <w:t>In conclusion, different stakeholders frequently assign different values to the same heritage attribute. Effective heritage management requires understanding these perspectives and balancing them through collaborative and transparent decision-making.</w:t>
      </w:r>
    </w:p>
    <w:p w14:paraId="1F797756" w14:textId="77777777" w:rsidR="00FE78A3" w:rsidRDefault="00FE78A3" w:rsidP="00FE78A3">
      <w:pPr>
        <w:pStyle w:val="ListParagraph"/>
        <w:spacing w:line="276" w:lineRule="auto"/>
        <w:rPr>
          <w:lang w:val="en-GB"/>
        </w:rPr>
      </w:pPr>
    </w:p>
    <w:p w14:paraId="701BC188" w14:textId="77777777" w:rsidR="00FE78A3" w:rsidRDefault="00FE78A3" w:rsidP="00FE78A3">
      <w:pPr>
        <w:pStyle w:val="ListParagraph"/>
        <w:spacing w:line="276" w:lineRule="auto"/>
        <w:rPr>
          <w:lang w:val="en-GB"/>
        </w:rPr>
      </w:pPr>
    </w:p>
    <w:p w14:paraId="6DB84F6B" w14:textId="77777777" w:rsidR="00FE78A3" w:rsidRDefault="00FE78A3" w:rsidP="00FE78A3">
      <w:pPr>
        <w:pStyle w:val="ListParagraph"/>
        <w:spacing w:line="276" w:lineRule="auto"/>
        <w:rPr>
          <w:lang w:val="en-GB"/>
        </w:rPr>
      </w:pPr>
    </w:p>
    <w:p w14:paraId="6A8E1295" w14:textId="77777777" w:rsidR="00FE78A3" w:rsidRDefault="00FE78A3" w:rsidP="00FE78A3">
      <w:pPr>
        <w:pStyle w:val="ListParagraph"/>
        <w:spacing w:line="276" w:lineRule="auto"/>
        <w:rPr>
          <w:lang w:val="en-GB"/>
        </w:rPr>
      </w:pPr>
    </w:p>
    <w:p w14:paraId="2CA27E11" w14:textId="77777777" w:rsidR="00FE78A3" w:rsidRDefault="00FE78A3" w:rsidP="00FE78A3">
      <w:pPr>
        <w:pStyle w:val="ListParagraph"/>
        <w:spacing w:line="276" w:lineRule="auto"/>
        <w:rPr>
          <w:lang w:val="en-GB"/>
        </w:rPr>
      </w:pPr>
    </w:p>
    <w:p w14:paraId="3A596A2C" w14:textId="77777777" w:rsidR="00FE78A3" w:rsidRDefault="00FE78A3" w:rsidP="00FE78A3">
      <w:pPr>
        <w:pStyle w:val="ListParagraph"/>
        <w:spacing w:line="276" w:lineRule="auto"/>
        <w:rPr>
          <w:lang w:val="en-GB"/>
        </w:rPr>
      </w:pPr>
    </w:p>
    <w:p w14:paraId="3E0E309A" w14:textId="77777777" w:rsidR="00FE78A3" w:rsidRDefault="00FE78A3" w:rsidP="00FE78A3">
      <w:pPr>
        <w:pStyle w:val="ListParagraph"/>
        <w:spacing w:line="276" w:lineRule="auto"/>
        <w:rPr>
          <w:lang w:val="en-GB"/>
        </w:rPr>
      </w:pPr>
    </w:p>
    <w:p w14:paraId="4B8A2144" w14:textId="77777777" w:rsidR="00FE78A3" w:rsidRDefault="00FE78A3" w:rsidP="00FE78A3">
      <w:pPr>
        <w:pStyle w:val="ListParagraph"/>
        <w:spacing w:line="276" w:lineRule="auto"/>
        <w:rPr>
          <w:lang w:val="en-GB"/>
        </w:rPr>
      </w:pPr>
    </w:p>
    <w:p w14:paraId="45FE3A7B" w14:textId="77777777" w:rsidR="00FE78A3" w:rsidRDefault="00FE78A3" w:rsidP="00FE78A3">
      <w:pPr>
        <w:pStyle w:val="ListParagraph"/>
        <w:spacing w:line="276" w:lineRule="auto"/>
        <w:rPr>
          <w:lang w:val="en-GB"/>
        </w:rPr>
      </w:pPr>
    </w:p>
    <w:p w14:paraId="0CC980EA" w14:textId="0D2B0227" w:rsidR="00FE78A3" w:rsidRPr="00FE78A3" w:rsidRDefault="00FE78A3" w:rsidP="00FE78A3">
      <w:pPr>
        <w:pStyle w:val="ListParagraph"/>
        <w:spacing w:line="276" w:lineRule="auto"/>
        <w:rPr>
          <w:lang w:val="en-GB"/>
        </w:rPr>
      </w:pPr>
      <w:r w:rsidRPr="00FE78A3">
        <w:rPr>
          <w:lang w:val="en-GB"/>
        </w:rPr>
        <w:lastRenderedPageBreak/>
        <w:t>2. Evaluation of Five Attributes of the Taj Mahal Heritage Site</w:t>
      </w:r>
    </w:p>
    <w:p w14:paraId="29633F8A" w14:textId="77777777" w:rsidR="00FE78A3" w:rsidRPr="00FE78A3" w:rsidRDefault="00FE78A3" w:rsidP="00FE78A3">
      <w:pPr>
        <w:pStyle w:val="ListParagraph"/>
        <w:spacing w:line="276" w:lineRule="auto"/>
        <w:rPr>
          <w:lang w:val="en-GB"/>
        </w:rPr>
      </w:pPr>
      <w:r w:rsidRPr="00FE78A3">
        <w:rPr>
          <w:lang w:val="en-GB"/>
        </w:rPr>
        <w:t>Heritage Site Chosen: Taj Mahal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5"/>
        <w:gridCol w:w="1823"/>
        <w:gridCol w:w="1592"/>
        <w:gridCol w:w="2134"/>
        <w:gridCol w:w="1782"/>
      </w:tblGrid>
      <w:tr w:rsidR="00FE78A3" w:rsidRPr="00FE78A3" w14:paraId="073BEE2A" w14:textId="77777777">
        <w:trPr>
          <w:tblHeader/>
          <w:tblCellSpacing w:w="15" w:type="dxa"/>
        </w:trPr>
        <w:tc>
          <w:tcPr>
            <w:tcW w:w="0" w:type="auto"/>
            <w:vAlign w:val="center"/>
            <w:hideMark/>
          </w:tcPr>
          <w:p w14:paraId="5F896341" w14:textId="77777777" w:rsidR="00FE78A3" w:rsidRPr="00FE78A3" w:rsidRDefault="00FE78A3" w:rsidP="00FE78A3">
            <w:pPr>
              <w:pStyle w:val="ListParagraph"/>
              <w:spacing w:line="276" w:lineRule="auto"/>
              <w:rPr>
                <w:lang w:val="en-GB"/>
              </w:rPr>
            </w:pPr>
            <w:r w:rsidRPr="00FE78A3">
              <w:rPr>
                <w:lang w:val="en-GB"/>
              </w:rPr>
              <w:t>Attribute</w:t>
            </w:r>
          </w:p>
        </w:tc>
        <w:tc>
          <w:tcPr>
            <w:tcW w:w="0" w:type="auto"/>
            <w:vAlign w:val="center"/>
            <w:hideMark/>
          </w:tcPr>
          <w:p w14:paraId="34B19173" w14:textId="77777777" w:rsidR="00FE78A3" w:rsidRPr="00FE78A3" w:rsidRDefault="00FE78A3" w:rsidP="00FE78A3">
            <w:pPr>
              <w:pStyle w:val="ListParagraph"/>
              <w:spacing w:line="276" w:lineRule="auto"/>
              <w:rPr>
                <w:lang w:val="en-GB"/>
              </w:rPr>
            </w:pPr>
            <w:r w:rsidRPr="00FE78A3">
              <w:rPr>
                <w:lang w:val="en-GB"/>
              </w:rPr>
              <w:t>Heritage Value Conveyed</w:t>
            </w:r>
          </w:p>
        </w:tc>
        <w:tc>
          <w:tcPr>
            <w:tcW w:w="0" w:type="auto"/>
            <w:vAlign w:val="center"/>
            <w:hideMark/>
          </w:tcPr>
          <w:p w14:paraId="1B25C4A4" w14:textId="77777777" w:rsidR="00FE78A3" w:rsidRPr="00FE78A3" w:rsidRDefault="00FE78A3" w:rsidP="00FE78A3">
            <w:pPr>
              <w:pStyle w:val="ListParagraph"/>
              <w:spacing w:line="276" w:lineRule="auto"/>
              <w:rPr>
                <w:lang w:val="en-GB"/>
              </w:rPr>
            </w:pPr>
            <w:r w:rsidRPr="00FE78A3">
              <w:rPr>
                <w:lang w:val="en-GB"/>
              </w:rPr>
              <w:t>Significance Level</w:t>
            </w:r>
          </w:p>
        </w:tc>
        <w:tc>
          <w:tcPr>
            <w:tcW w:w="0" w:type="auto"/>
            <w:vAlign w:val="center"/>
            <w:hideMark/>
          </w:tcPr>
          <w:p w14:paraId="12F59595" w14:textId="77777777" w:rsidR="00FE78A3" w:rsidRPr="00FE78A3" w:rsidRDefault="00FE78A3" w:rsidP="00FE78A3">
            <w:pPr>
              <w:pStyle w:val="ListParagraph"/>
              <w:spacing w:line="276" w:lineRule="auto"/>
              <w:rPr>
                <w:lang w:val="en-GB"/>
              </w:rPr>
            </w:pPr>
            <w:r w:rsidRPr="00FE78A3">
              <w:rPr>
                <w:lang w:val="en-GB"/>
              </w:rPr>
              <w:t>Potential Impacts from Development</w:t>
            </w:r>
          </w:p>
        </w:tc>
        <w:tc>
          <w:tcPr>
            <w:tcW w:w="0" w:type="auto"/>
            <w:vAlign w:val="center"/>
            <w:hideMark/>
          </w:tcPr>
          <w:p w14:paraId="72782BF9" w14:textId="77777777" w:rsidR="00FE78A3" w:rsidRPr="00FE78A3" w:rsidRDefault="00FE78A3" w:rsidP="00FE78A3">
            <w:pPr>
              <w:pStyle w:val="ListParagraph"/>
              <w:spacing w:line="276" w:lineRule="auto"/>
              <w:rPr>
                <w:lang w:val="en-GB"/>
              </w:rPr>
            </w:pPr>
            <w:r w:rsidRPr="00FE78A3">
              <w:rPr>
                <w:lang w:val="en-GB"/>
              </w:rPr>
              <w:t>Possible Mitigation Measures</w:t>
            </w:r>
          </w:p>
        </w:tc>
      </w:tr>
      <w:tr w:rsidR="00FE78A3" w:rsidRPr="00FE78A3" w14:paraId="6CFAFF90" w14:textId="77777777">
        <w:trPr>
          <w:tblCellSpacing w:w="15" w:type="dxa"/>
        </w:trPr>
        <w:tc>
          <w:tcPr>
            <w:tcW w:w="0" w:type="auto"/>
            <w:vAlign w:val="center"/>
            <w:hideMark/>
          </w:tcPr>
          <w:p w14:paraId="212C7ABB" w14:textId="77777777" w:rsidR="00FE78A3" w:rsidRPr="00FE78A3" w:rsidRDefault="00FE78A3" w:rsidP="00FE78A3">
            <w:pPr>
              <w:pStyle w:val="ListParagraph"/>
              <w:spacing w:line="276" w:lineRule="auto"/>
              <w:rPr>
                <w:lang w:val="en-GB"/>
              </w:rPr>
            </w:pPr>
            <w:r w:rsidRPr="00FE78A3">
              <w:rPr>
                <w:lang w:val="en-GB"/>
              </w:rPr>
              <w:t>1. Architectural Design</w:t>
            </w:r>
          </w:p>
        </w:tc>
        <w:tc>
          <w:tcPr>
            <w:tcW w:w="0" w:type="auto"/>
            <w:vAlign w:val="center"/>
            <w:hideMark/>
          </w:tcPr>
          <w:p w14:paraId="426D179F" w14:textId="77777777" w:rsidR="00FE78A3" w:rsidRPr="00FE78A3" w:rsidRDefault="00FE78A3" w:rsidP="00FE78A3">
            <w:pPr>
              <w:pStyle w:val="ListParagraph"/>
              <w:spacing w:line="276" w:lineRule="auto"/>
              <w:rPr>
                <w:lang w:val="en-GB"/>
              </w:rPr>
            </w:pPr>
            <w:r w:rsidRPr="00FE78A3">
              <w:rPr>
                <w:lang w:val="en-GB"/>
              </w:rPr>
              <w:t>Represents the peak of Mughal architecture and craftsmanship.</w:t>
            </w:r>
          </w:p>
        </w:tc>
        <w:tc>
          <w:tcPr>
            <w:tcW w:w="0" w:type="auto"/>
            <w:vAlign w:val="center"/>
            <w:hideMark/>
          </w:tcPr>
          <w:p w14:paraId="6E3017BC" w14:textId="77777777" w:rsidR="00FE78A3" w:rsidRPr="00FE78A3" w:rsidRDefault="00FE78A3" w:rsidP="00FE78A3">
            <w:pPr>
              <w:pStyle w:val="ListParagraph"/>
              <w:spacing w:line="276" w:lineRule="auto"/>
              <w:rPr>
                <w:lang w:val="en-GB"/>
              </w:rPr>
            </w:pPr>
            <w:r w:rsidRPr="00FE78A3">
              <w:rPr>
                <w:lang w:val="en-GB"/>
              </w:rPr>
              <w:t>Very High</w:t>
            </w:r>
          </w:p>
        </w:tc>
        <w:tc>
          <w:tcPr>
            <w:tcW w:w="0" w:type="auto"/>
            <w:vAlign w:val="center"/>
            <w:hideMark/>
          </w:tcPr>
          <w:p w14:paraId="460B737E" w14:textId="77777777" w:rsidR="00FE78A3" w:rsidRPr="00FE78A3" w:rsidRDefault="00FE78A3" w:rsidP="00FE78A3">
            <w:pPr>
              <w:pStyle w:val="ListParagraph"/>
              <w:spacing w:line="276" w:lineRule="auto"/>
              <w:rPr>
                <w:lang w:val="en-GB"/>
              </w:rPr>
            </w:pPr>
            <w:r w:rsidRPr="00FE78A3">
              <w:rPr>
                <w:lang w:val="en-GB"/>
              </w:rPr>
              <w:t>Nearby construction may obstruct views and alter the historic setting.</w:t>
            </w:r>
          </w:p>
        </w:tc>
        <w:tc>
          <w:tcPr>
            <w:tcW w:w="0" w:type="auto"/>
            <w:vAlign w:val="center"/>
            <w:hideMark/>
          </w:tcPr>
          <w:p w14:paraId="405A8DB4" w14:textId="77777777" w:rsidR="00FE78A3" w:rsidRPr="00FE78A3" w:rsidRDefault="00FE78A3" w:rsidP="00FE78A3">
            <w:pPr>
              <w:pStyle w:val="ListParagraph"/>
              <w:spacing w:line="276" w:lineRule="auto"/>
              <w:rPr>
                <w:lang w:val="en-GB"/>
              </w:rPr>
            </w:pPr>
            <w:r w:rsidRPr="00FE78A3">
              <w:rPr>
                <w:lang w:val="en-GB"/>
              </w:rPr>
              <w:t>Establish buffer zones and height restrictions.</w:t>
            </w:r>
          </w:p>
        </w:tc>
      </w:tr>
      <w:tr w:rsidR="00FE78A3" w:rsidRPr="00FE78A3" w14:paraId="72287779" w14:textId="77777777">
        <w:trPr>
          <w:tblCellSpacing w:w="15" w:type="dxa"/>
        </w:trPr>
        <w:tc>
          <w:tcPr>
            <w:tcW w:w="0" w:type="auto"/>
            <w:vAlign w:val="center"/>
            <w:hideMark/>
          </w:tcPr>
          <w:p w14:paraId="742B3AF5" w14:textId="77777777" w:rsidR="00FE78A3" w:rsidRPr="00FE78A3" w:rsidRDefault="00FE78A3" w:rsidP="00FE78A3">
            <w:pPr>
              <w:pStyle w:val="ListParagraph"/>
              <w:spacing w:line="276" w:lineRule="auto"/>
              <w:rPr>
                <w:lang w:val="en-GB"/>
              </w:rPr>
            </w:pPr>
            <w:r w:rsidRPr="00FE78A3">
              <w:rPr>
                <w:lang w:val="en-GB"/>
              </w:rPr>
              <w:t>2. White Marble Structure</w:t>
            </w:r>
          </w:p>
        </w:tc>
        <w:tc>
          <w:tcPr>
            <w:tcW w:w="0" w:type="auto"/>
            <w:vAlign w:val="center"/>
            <w:hideMark/>
          </w:tcPr>
          <w:p w14:paraId="3981CEC0" w14:textId="77777777" w:rsidR="00FE78A3" w:rsidRPr="00FE78A3" w:rsidRDefault="00FE78A3" w:rsidP="00FE78A3">
            <w:pPr>
              <w:pStyle w:val="ListParagraph"/>
              <w:spacing w:line="276" w:lineRule="auto"/>
              <w:rPr>
                <w:lang w:val="en-GB"/>
              </w:rPr>
            </w:pPr>
            <w:r w:rsidRPr="00FE78A3">
              <w:rPr>
                <w:lang w:val="en-GB"/>
              </w:rPr>
              <w:t>Demonstrates exceptional artistic and engineering achievement.</w:t>
            </w:r>
          </w:p>
        </w:tc>
        <w:tc>
          <w:tcPr>
            <w:tcW w:w="0" w:type="auto"/>
            <w:vAlign w:val="center"/>
            <w:hideMark/>
          </w:tcPr>
          <w:p w14:paraId="43E57E6E" w14:textId="77777777" w:rsidR="00FE78A3" w:rsidRPr="00FE78A3" w:rsidRDefault="00FE78A3" w:rsidP="00FE78A3">
            <w:pPr>
              <w:pStyle w:val="ListParagraph"/>
              <w:spacing w:line="276" w:lineRule="auto"/>
              <w:rPr>
                <w:lang w:val="en-GB"/>
              </w:rPr>
            </w:pPr>
            <w:r w:rsidRPr="00FE78A3">
              <w:rPr>
                <w:lang w:val="en-GB"/>
              </w:rPr>
              <w:t>Very High</w:t>
            </w:r>
          </w:p>
        </w:tc>
        <w:tc>
          <w:tcPr>
            <w:tcW w:w="0" w:type="auto"/>
            <w:vAlign w:val="center"/>
            <w:hideMark/>
          </w:tcPr>
          <w:p w14:paraId="56302444" w14:textId="77777777" w:rsidR="00FE78A3" w:rsidRPr="00FE78A3" w:rsidRDefault="00FE78A3" w:rsidP="00FE78A3">
            <w:pPr>
              <w:pStyle w:val="ListParagraph"/>
              <w:spacing w:line="276" w:lineRule="auto"/>
              <w:rPr>
                <w:lang w:val="en-GB"/>
              </w:rPr>
            </w:pPr>
            <w:r w:rsidRPr="00FE78A3">
              <w:rPr>
                <w:lang w:val="en-GB"/>
              </w:rPr>
              <w:t xml:space="preserve">Air pollution can </w:t>
            </w:r>
            <w:proofErr w:type="spellStart"/>
            <w:r w:rsidRPr="00FE78A3">
              <w:rPr>
                <w:lang w:val="en-GB"/>
              </w:rPr>
              <w:t>discolor</w:t>
            </w:r>
            <w:proofErr w:type="spellEnd"/>
            <w:r w:rsidRPr="00FE78A3">
              <w:rPr>
                <w:lang w:val="en-GB"/>
              </w:rPr>
              <w:t xml:space="preserve"> marble surfaces and accelerate deterioration.</w:t>
            </w:r>
          </w:p>
        </w:tc>
        <w:tc>
          <w:tcPr>
            <w:tcW w:w="0" w:type="auto"/>
            <w:vAlign w:val="center"/>
            <w:hideMark/>
          </w:tcPr>
          <w:p w14:paraId="0FEC2A89" w14:textId="77777777" w:rsidR="00FE78A3" w:rsidRPr="00FE78A3" w:rsidRDefault="00FE78A3" w:rsidP="00FE78A3">
            <w:pPr>
              <w:pStyle w:val="ListParagraph"/>
              <w:spacing w:line="276" w:lineRule="auto"/>
              <w:rPr>
                <w:lang w:val="en-GB"/>
              </w:rPr>
            </w:pPr>
            <w:r w:rsidRPr="00FE78A3">
              <w:rPr>
                <w:lang w:val="en-GB"/>
              </w:rPr>
              <w:t>Pollution control measures and regular conservation treatments.</w:t>
            </w:r>
          </w:p>
        </w:tc>
      </w:tr>
      <w:tr w:rsidR="00FE78A3" w:rsidRPr="00FE78A3" w14:paraId="7EA87EDF" w14:textId="77777777">
        <w:trPr>
          <w:tblCellSpacing w:w="15" w:type="dxa"/>
        </w:trPr>
        <w:tc>
          <w:tcPr>
            <w:tcW w:w="0" w:type="auto"/>
            <w:vAlign w:val="center"/>
            <w:hideMark/>
          </w:tcPr>
          <w:p w14:paraId="157C5585" w14:textId="77777777" w:rsidR="00FE78A3" w:rsidRPr="00FE78A3" w:rsidRDefault="00FE78A3" w:rsidP="00FE78A3">
            <w:pPr>
              <w:pStyle w:val="ListParagraph"/>
              <w:spacing w:line="276" w:lineRule="auto"/>
              <w:rPr>
                <w:lang w:val="en-GB"/>
              </w:rPr>
            </w:pPr>
            <w:r w:rsidRPr="00FE78A3">
              <w:rPr>
                <w:lang w:val="en-GB"/>
              </w:rPr>
              <w:t>3. Historical Significance</w:t>
            </w:r>
          </w:p>
        </w:tc>
        <w:tc>
          <w:tcPr>
            <w:tcW w:w="0" w:type="auto"/>
            <w:vAlign w:val="center"/>
            <w:hideMark/>
          </w:tcPr>
          <w:p w14:paraId="5DE98CD5" w14:textId="77777777" w:rsidR="00FE78A3" w:rsidRPr="00FE78A3" w:rsidRDefault="00FE78A3" w:rsidP="00FE78A3">
            <w:pPr>
              <w:pStyle w:val="ListParagraph"/>
              <w:spacing w:line="276" w:lineRule="auto"/>
              <w:rPr>
                <w:lang w:val="en-GB"/>
              </w:rPr>
            </w:pPr>
            <w:r w:rsidRPr="00FE78A3">
              <w:rPr>
                <w:lang w:val="en-GB"/>
              </w:rPr>
              <w:t>Symbolizes the reign of Mughal Emperor Shah Jahan and India's cultural history.</w:t>
            </w:r>
          </w:p>
        </w:tc>
        <w:tc>
          <w:tcPr>
            <w:tcW w:w="0" w:type="auto"/>
            <w:vAlign w:val="center"/>
            <w:hideMark/>
          </w:tcPr>
          <w:p w14:paraId="63CCA616" w14:textId="77777777" w:rsidR="00FE78A3" w:rsidRPr="00FE78A3" w:rsidRDefault="00FE78A3" w:rsidP="00FE78A3">
            <w:pPr>
              <w:pStyle w:val="ListParagraph"/>
              <w:spacing w:line="276" w:lineRule="auto"/>
              <w:rPr>
                <w:lang w:val="en-GB"/>
              </w:rPr>
            </w:pPr>
            <w:r w:rsidRPr="00FE78A3">
              <w:rPr>
                <w:lang w:val="en-GB"/>
              </w:rPr>
              <w:t>High</w:t>
            </w:r>
          </w:p>
        </w:tc>
        <w:tc>
          <w:tcPr>
            <w:tcW w:w="0" w:type="auto"/>
            <w:vAlign w:val="center"/>
            <w:hideMark/>
          </w:tcPr>
          <w:p w14:paraId="3D0C8A9C" w14:textId="77777777" w:rsidR="00FE78A3" w:rsidRPr="00FE78A3" w:rsidRDefault="00FE78A3" w:rsidP="00FE78A3">
            <w:pPr>
              <w:pStyle w:val="ListParagraph"/>
              <w:spacing w:line="276" w:lineRule="auto"/>
              <w:rPr>
                <w:lang w:val="en-GB"/>
              </w:rPr>
            </w:pPr>
            <w:r w:rsidRPr="00FE78A3">
              <w:rPr>
                <w:lang w:val="en-GB"/>
              </w:rPr>
              <w:t>Commercialization may reduce historical authenticity.</w:t>
            </w:r>
          </w:p>
        </w:tc>
        <w:tc>
          <w:tcPr>
            <w:tcW w:w="0" w:type="auto"/>
            <w:vAlign w:val="center"/>
            <w:hideMark/>
          </w:tcPr>
          <w:p w14:paraId="252E5CBD" w14:textId="77777777" w:rsidR="00FE78A3" w:rsidRPr="00FE78A3" w:rsidRDefault="00FE78A3" w:rsidP="00FE78A3">
            <w:pPr>
              <w:pStyle w:val="ListParagraph"/>
              <w:spacing w:line="276" w:lineRule="auto"/>
              <w:rPr>
                <w:lang w:val="en-GB"/>
              </w:rPr>
            </w:pPr>
            <w:r w:rsidRPr="00FE78A3">
              <w:rPr>
                <w:lang w:val="en-GB"/>
              </w:rPr>
              <w:t>Heritage-sensitive tourism planning and interpretation programs.</w:t>
            </w:r>
          </w:p>
        </w:tc>
      </w:tr>
      <w:tr w:rsidR="00FE78A3" w:rsidRPr="00FE78A3" w14:paraId="52F937EC" w14:textId="77777777">
        <w:trPr>
          <w:tblCellSpacing w:w="15" w:type="dxa"/>
        </w:trPr>
        <w:tc>
          <w:tcPr>
            <w:tcW w:w="0" w:type="auto"/>
            <w:vAlign w:val="center"/>
            <w:hideMark/>
          </w:tcPr>
          <w:p w14:paraId="21182467" w14:textId="77777777" w:rsidR="00FE78A3" w:rsidRPr="00FE78A3" w:rsidRDefault="00FE78A3" w:rsidP="00FE78A3">
            <w:pPr>
              <w:pStyle w:val="ListParagraph"/>
              <w:spacing w:line="276" w:lineRule="auto"/>
              <w:rPr>
                <w:lang w:val="en-GB"/>
              </w:rPr>
            </w:pPr>
            <w:r w:rsidRPr="00FE78A3">
              <w:rPr>
                <w:lang w:val="en-GB"/>
              </w:rPr>
              <w:t>4. Cultural and Symbolic Value</w:t>
            </w:r>
          </w:p>
        </w:tc>
        <w:tc>
          <w:tcPr>
            <w:tcW w:w="0" w:type="auto"/>
            <w:vAlign w:val="center"/>
            <w:hideMark/>
          </w:tcPr>
          <w:p w14:paraId="363952C5" w14:textId="77777777" w:rsidR="00FE78A3" w:rsidRPr="00FE78A3" w:rsidRDefault="00FE78A3" w:rsidP="00FE78A3">
            <w:pPr>
              <w:pStyle w:val="ListParagraph"/>
              <w:spacing w:line="276" w:lineRule="auto"/>
              <w:rPr>
                <w:lang w:val="en-GB"/>
              </w:rPr>
            </w:pPr>
            <w:r w:rsidRPr="00FE78A3">
              <w:rPr>
                <w:lang w:val="en-GB"/>
              </w:rPr>
              <w:t>Represents love, cultural identity, and national pride.</w:t>
            </w:r>
          </w:p>
        </w:tc>
        <w:tc>
          <w:tcPr>
            <w:tcW w:w="0" w:type="auto"/>
            <w:vAlign w:val="center"/>
            <w:hideMark/>
          </w:tcPr>
          <w:p w14:paraId="502910C1" w14:textId="77777777" w:rsidR="00FE78A3" w:rsidRPr="00FE78A3" w:rsidRDefault="00FE78A3" w:rsidP="00FE78A3">
            <w:pPr>
              <w:pStyle w:val="ListParagraph"/>
              <w:spacing w:line="276" w:lineRule="auto"/>
              <w:rPr>
                <w:lang w:val="en-GB"/>
              </w:rPr>
            </w:pPr>
            <w:r w:rsidRPr="00FE78A3">
              <w:rPr>
                <w:lang w:val="en-GB"/>
              </w:rPr>
              <w:t>High</w:t>
            </w:r>
          </w:p>
        </w:tc>
        <w:tc>
          <w:tcPr>
            <w:tcW w:w="0" w:type="auto"/>
            <w:vAlign w:val="center"/>
            <w:hideMark/>
          </w:tcPr>
          <w:p w14:paraId="52749700" w14:textId="77777777" w:rsidR="00FE78A3" w:rsidRPr="00FE78A3" w:rsidRDefault="00FE78A3" w:rsidP="00FE78A3">
            <w:pPr>
              <w:pStyle w:val="ListParagraph"/>
              <w:spacing w:line="276" w:lineRule="auto"/>
              <w:rPr>
                <w:lang w:val="en-GB"/>
              </w:rPr>
            </w:pPr>
            <w:r w:rsidRPr="00FE78A3">
              <w:rPr>
                <w:lang w:val="en-GB"/>
              </w:rPr>
              <w:t>Excessive tourism may diminish visitor experience and cultural meaning.</w:t>
            </w:r>
          </w:p>
        </w:tc>
        <w:tc>
          <w:tcPr>
            <w:tcW w:w="0" w:type="auto"/>
            <w:vAlign w:val="center"/>
            <w:hideMark/>
          </w:tcPr>
          <w:p w14:paraId="5DD1C180" w14:textId="77777777" w:rsidR="00FE78A3" w:rsidRPr="00FE78A3" w:rsidRDefault="00FE78A3" w:rsidP="00FE78A3">
            <w:pPr>
              <w:pStyle w:val="ListParagraph"/>
              <w:spacing w:line="276" w:lineRule="auto"/>
              <w:rPr>
                <w:lang w:val="en-GB"/>
              </w:rPr>
            </w:pPr>
            <w:r w:rsidRPr="00FE78A3">
              <w:rPr>
                <w:lang w:val="en-GB"/>
              </w:rPr>
              <w:t>Visitor management systems and carrying-capacity limits.</w:t>
            </w:r>
          </w:p>
        </w:tc>
      </w:tr>
      <w:tr w:rsidR="00FE78A3" w:rsidRPr="00FE78A3" w14:paraId="2ACB840C" w14:textId="77777777">
        <w:trPr>
          <w:tblCellSpacing w:w="15" w:type="dxa"/>
        </w:trPr>
        <w:tc>
          <w:tcPr>
            <w:tcW w:w="0" w:type="auto"/>
            <w:vAlign w:val="center"/>
            <w:hideMark/>
          </w:tcPr>
          <w:p w14:paraId="3DE32C34" w14:textId="77777777" w:rsidR="00FE78A3" w:rsidRPr="00FE78A3" w:rsidRDefault="00FE78A3" w:rsidP="00FE78A3">
            <w:pPr>
              <w:pStyle w:val="ListParagraph"/>
              <w:spacing w:line="276" w:lineRule="auto"/>
              <w:rPr>
                <w:lang w:val="en-GB"/>
              </w:rPr>
            </w:pPr>
            <w:r w:rsidRPr="00FE78A3">
              <w:rPr>
                <w:lang w:val="en-GB"/>
              </w:rPr>
              <w:lastRenderedPageBreak/>
              <w:t>5. Landscape and Riverfront Setting</w:t>
            </w:r>
          </w:p>
        </w:tc>
        <w:tc>
          <w:tcPr>
            <w:tcW w:w="0" w:type="auto"/>
            <w:vAlign w:val="center"/>
            <w:hideMark/>
          </w:tcPr>
          <w:p w14:paraId="4F23AE11" w14:textId="77777777" w:rsidR="00FE78A3" w:rsidRPr="00FE78A3" w:rsidRDefault="00FE78A3" w:rsidP="00FE78A3">
            <w:pPr>
              <w:pStyle w:val="ListParagraph"/>
              <w:spacing w:line="276" w:lineRule="auto"/>
              <w:rPr>
                <w:lang w:val="en-GB"/>
              </w:rPr>
            </w:pPr>
            <w:r w:rsidRPr="00FE78A3">
              <w:rPr>
                <w:lang w:val="en-GB"/>
              </w:rPr>
              <w:t>Enhances aesthetic and environmental significance through its relationship with the Yamuna River.</w:t>
            </w:r>
          </w:p>
        </w:tc>
        <w:tc>
          <w:tcPr>
            <w:tcW w:w="0" w:type="auto"/>
            <w:vAlign w:val="center"/>
            <w:hideMark/>
          </w:tcPr>
          <w:p w14:paraId="26D9A096" w14:textId="77777777" w:rsidR="00FE78A3" w:rsidRPr="00FE78A3" w:rsidRDefault="00FE78A3" w:rsidP="00FE78A3">
            <w:pPr>
              <w:pStyle w:val="ListParagraph"/>
              <w:spacing w:line="276" w:lineRule="auto"/>
              <w:rPr>
                <w:lang w:val="en-GB"/>
              </w:rPr>
            </w:pPr>
            <w:r w:rsidRPr="00FE78A3">
              <w:rPr>
                <w:lang w:val="en-GB"/>
              </w:rPr>
              <w:t>High</w:t>
            </w:r>
          </w:p>
        </w:tc>
        <w:tc>
          <w:tcPr>
            <w:tcW w:w="0" w:type="auto"/>
            <w:vAlign w:val="center"/>
            <w:hideMark/>
          </w:tcPr>
          <w:p w14:paraId="05F26F3D" w14:textId="77777777" w:rsidR="00FE78A3" w:rsidRPr="00FE78A3" w:rsidRDefault="00FE78A3" w:rsidP="00FE78A3">
            <w:pPr>
              <w:pStyle w:val="ListParagraph"/>
              <w:spacing w:line="276" w:lineRule="auto"/>
              <w:rPr>
                <w:lang w:val="en-GB"/>
              </w:rPr>
            </w:pPr>
            <w:r w:rsidRPr="00FE78A3">
              <w:rPr>
                <w:lang w:val="en-GB"/>
              </w:rPr>
              <w:t>Urban expansion and river degradation may damage visual integrity.</w:t>
            </w:r>
          </w:p>
        </w:tc>
        <w:tc>
          <w:tcPr>
            <w:tcW w:w="0" w:type="auto"/>
            <w:vAlign w:val="center"/>
            <w:hideMark/>
          </w:tcPr>
          <w:p w14:paraId="40A23B58" w14:textId="77777777" w:rsidR="00FE78A3" w:rsidRPr="00FE78A3" w:rsidRDefault="00FE78A3" w:rsidP="00FE78A3">
            <w:pPr>
              <w:pStyle w:val="ListParagraph"/>
              <w:spacing w:line="276" w:lineRule="auto"/>
              <w:rPr>
                <w:lang w:val="en-GB"/>
              </w:rPr>
            </w:pPr>
            <w:r w:rsidRPr="00FE78A3">
              <w:rPr>
                <w:lang w:val="en-GB"/>
              </w:rPr>
              <w:t>River conservation programs and land-use planning controls.</w:t>
            </w:r>
          </w:p>
        </w:tc>
      </w:tr>
    </w:tbl>
    <w:p w14:paraId="5C959B79" w14:textId="77777777" w:rsidR="00FE78A3" w:rsidRPr="00FE78A3" w:rsidRDefault="00FE78A3" w:rsidP="00FE78A3">
      <w:pPr>
        <w:pStyle w:val="ListParagraph"/>
        <w:spacing w:line="276" w:lineRule="auto"/>
        <w:rPr>
          <w:lang w:val="en-GB"/>
        </w:rPr>
      </w:pPr>
      <w:r w:rsidRPr="00FE78A3">
        <w:rPr>
          <w:lang w:val="en-GB"/>
        </w:rPr>
        <w:t>Discussion</w:t>
      </w:r>
    </w:p>
    <w:p w14:paraId="727A45FF" w14:textId="77777777" w:rsidR="00FE78A3" w:rsidRPr="00FE78A3" w:rsidRDefault="00FE78A3" w:rsidP="00FE78A3">
      <w:pPr>
        <w:pStyle w:val="ListParagraph"/>
        <w:spacing w:line="276" w:lineRule="auto"/>
        <w:rPr>
          <w:lang w:val="en-GB"/>
        </w:rPr>
      </w:pPr>
      <w:r w:rsidRPr="00FE78A3">
        <w:rPr>
          <w:lang w:val="en-GB"/>
        </w:rPr>
        <w:t>The Taj Mahal is one of the world's most recognized cultural heritage sites and was designated a UNESCO World Heritage Site in 1983. Its significance lies not only in its architectural beauty but also in its historical, cultural, and symbolic values. Development pressures such as urbanization, pollution, infrastructure expansion, and mass tourism pose risks to the site's authenticity and integrity.</w:t>
      </w:r>
    </w:p>
    <w:p w14:paraId="57DC4E0F" w14:textId="77777777" w:rsidR="00FE78A3" w:rsidRPr="00FE78A3" w:rsidRDefault="00FE78A3" w:rsidP="00FE78A3">
      <w:pPr>
        <w:pStyle w:val="ListParagraph"/>
        <w:spacing w:line="276" w:lineRule="auto"/>
        <w:rPr>
          <w:lang w:val="en-GB"/>
        </w:rPr>
      </w:pPr>
      <w:r w:rsidRPr="00FE78A3">
        <w:rPr>
          <w:lang w:val="en-GB"/>
        </w:rPr>
        <w:t>Among the identified attributes, architectural design and marble craftsmanship hold exceptional significance because they embody the Outstanding Universal Value for which the site was inscribed. Pollution from vehicles and industries remains a major concern, as airborne contaminants contribute to marble discoloration. Likewise, uncontrolled development around the site may compromise important sightlines and the surrounding cultural landscape.</w:t>
      </w:r>
    </w:p>
    <w:p w14:paraId="39AB6A32" w14:textId="77777777" w:rsidR="00FE78A3" w:rsidRPr="00FE78A3" w:rsidRDefault="00FE78A3" w:rsidP="00FE78A3">
      <w:pPr>
        <w:pStyle w:val="ListParagraph"/>
        <w:spacing w:line="276" w:lineRule="auto"/>
        <w:rPr>
          <w:lang w:val="en-GB"/>
        </w:rPr>
      </w:pPr>
      <w:r w:rsidRPr="00FE78A3">
        <w:rPr>
          <w:lang w:val="en-GB"/>
        </w:rPr>
        <w:t>Mitigation measures should combine regulatory protection, environmental monitoring, sustainable tourism practices, and community engagement. Strengthening buffer zones, reducing emissions, controlling visitor numbers, and protecting the Yamuna River ecosystem can help preserve the site's heritage values while allowing responsible development.</w:t>
      </w:r>
    </w:p>
    <w:p w14:paraId="0015C45A" w14:textId="77777777" w:rsidR="00FE78A3" w:rsidRPr="00FE78A3" w:rsidRDefault="00FE78A3" w:rsidP="00FE78A3">
      <w:pPr>
        <w:pStyle w:val="ListParagraph"/>
        <w:spacing w:line="276" w:lineRule="auto"/>
        <w:rPr>
          <w:b/>
          <w:bCs/>
          <w:lang w:val="en-GB"/>
        </w:rPr>
      </w:pPr>
      <w:r w:rsidRPr="00FE78A3">
        <w:rPr>
          <w:b/>
          <w:bCs/>
          <w:lang w:val="en-GB"/>
        </w:rPr>
        <w:t>References</w:t>
      </w:r>
    </w:p>
    <w:p w14:paraId="5E1A6F69" w14:textId="77777777" w:rsidR="00FE78A3" w:rsidRPr="00FE78A3" w:rsidRDefault="00FE78A3" w:rsidP="00FE78A3">
      <w:pPr>
        <w:pStyle w:val="ListParagraph"/>
        <w:numPr>
          <w:ilvl w:val="0"/>
          <w:numId w:val="11"/>
        </w:numPr>
        <w:spacing w:line="276" w:lineRule="auto"/>
        <w:rPr>
          <w:b/>
          <w:bCs/>
          <w:lang w:val="en-GB"/>
        </w:rPr>
      </w:pPr>
      <w:r w:rsidRPr="00FE78A3">
        <w:rPr>
          <w:b/>
          <w:bCs/>
          <w:lang w:val="en-GB"/>
        </w:rPr>
        <w:t xml:space="preserve">UNESCO World Heritage Centre. </w:t>
      </w:r>
      <w:r w:rsidRPr="00FE78A3">
        <w:rPr>
          <w:b/>
          <w:bCs/>
          <w:i/>
          <w:iCs/>
          <w:lang w:val="en-GB"/>
        </w:rPr>
        <w:t>Taj Mahal</w:t>
      </w:r>
      <w:r w:rsidRPr="00FE78A3">
        <w:rPr>
          <w:b/>
          <w:bCs/>
          <w:lang w:val="en-GB"/>
        </w:rPr>
        <w:t xml:space="preserve">. </w:t>
      </w:r>
      <w:hyperlink r:id="rId6" w:tgtFrame="_new" w:history="1">
        <w:r w:rsidRPr="00FE78A3">
          <w:rPr>
            <w:rStyle w:val="Hyperlink"/>
            <w:b/>
            <w:bCs/>
            <w:lang w:val="en-GB"/>
          </w:rPr>
          <w:t>https://whc.unesco.org/en/list/252/</w:t>
        </w:r>
      </w:hyperlink>
      <w:r w:rsidRPr="00FE78A3">
        <w:rPr>
          <w:b/>
          <w:bCs/>
          <w:lang w:val="en-GB"/>
        </w:rPr>
        <w:t xml:space="preserve"> </w:t>
      </w:r>
    </w:p>
    <w:p w14:paraId="3730EA42" w14:textId="77777777" w:rsidR="00FE78A3" w:rsidRPr="00FE78A3" w:rsidRDefault="00FE78A3" w:rsidP="00FE78A3">
      <w:pPr>
        <w:pStyle w:val="ListParagraph"/>
        <w:numPr>
          <w:ilvl w:val="0"/>
          <w:numId w:val="11"/>
        </w:numPr>
        <w:spacing w:line="276" w:lineRule="auto"/>
        <w:rPr>
          <w:b/>
          <w:bCs/>
          <w:lang w:val="en-GB"/>
        </w:rPr>
      </w:pPr>
      <w:r w:rsidRPr="00FE78A3">
        <w:rPr>
          <w:b/>
          <w:bCs/>
          <w:lang w:val="en-GB"/>
        </w:rPr>
        <w:t xml:space="preserve">Jain, K. K., &amp; Saxena, A. (2019). Heritage Conservation and Sustainable Tourism Management. DOI: 10.1007/978-981-13-0565-5_15 </w:t>
      </w:r>
    </w:p>
    <w:p w14:paraId="6A97C8A8" w14:textId="77777777" w:rsidR="00FE78A3" w:rsidRPr="00FE78A3" w:rsidRDefault="00FE78A3" w:rsidP="00FE78A3">
      <w:pPr>
        <w:pStyle w:val="ListParagraph"/>
        <w:numPr>
          <w:ilvl w:val="0"/>
          <w:numId w:val="11"/>
        </w:numPr>
        <w:spacing w:line="276" w:lineRule="auto"/>
        <w:rPr>
          <w:b/>
          <w:bCs/>
          <w:lang w:val="en-GB"/>
        </w:rPr>
      </w:pPr>
      <w:r w:rsidRPr="00FE78A3">
        <w:rPr>
          <w:b/>
          <w:bCs/>
          <w:lang w:val="en-GB"/>
        </w:rPr>
        <w:t xml:space="preserve">Feilden, B. M. (2003). </w:t>
      </w:r>
      <w:r w:rsidRPr="00FE78A3">
        <w:rPr>
          <w:b/>
          <w:bCs/>
          <w:i/>
          <w:iCs/>
          <w:lang w:val="en-GB"/>
        </w:rPr>
        <w:t>Conservation of Historic Buildings</w:t>
      </w:r>
      <w:r w:rsidRPr="00FE78A3">
        <w:rPr>
          <w:b/>
          <w:bCs/>
          <w:lang w:val="en-GB"/>
        </w:rPr>
        <w:t xml:space="preserve">. DOI: 10.4324/9780080508009 </w:t>
      </w:r>
    </w:p>
    <w:p w14:paraId="5BF9B756" w14:textId="77777777" w:rsidR="00FE78A3" w:rsidRPr="00FE78A3" w:rsidRDefault="00FE78A3" w:rsidP="00FE78A3">
      <w:pPr>
        <w:pStyle w:val="ListParagraph"/>
        <w:numPr>
          <w:ilvl w:val="0"/>
          <w:numId w:val="11"/>
        </w:numPr>
        <w:spacing w:line="276" w:lineRule="auto"/>
        <w:rPr>
          <w:b/>
          <w:bCs/>
          <w:lang w:val="en-GB"/>
        </w:rPr>
      </w:pPr>
      <w:r w:rsidRPr="00FE78A3">
        <w:rPr>
          <w:b/>
          <w:bCs/>
          <w:lang w:val="en-GB"/>
        </w:rPr>
        <w:t xml:space="preserve">UNESCO. </w:t>
      </w:r>
      <w:r w:rsidRPr="00FE78A3">
        <w:rPr>
          <w:b/>
          <w:bCs/>
          <w:i/>
          <w:iCs/>
          <w:lang w:val="en-GB"/>
        </w:rPr>
        <w:t>Operational Guidelines for the Implementation of the World Heritage Convention</w:t>
      </w:r>
      <w:r w:rsidRPr="00FE78A3">
        <w:rPr>
          <w:b/>
          <w:bCs/>
          <w:lang w:val="en-GB"/>
        </w:rPr>
        <w:t xml:space="preserve">. </w:t>
      </w:r>
      <w:hyperlink r:id="rId7" w:tgtFrame="_new" w:history="1">
        <w:r w:rsidRPr="00FE78A3">
          <w:rPr>
            <w:rStyle w:val="Hyperlink"/>
            <w:b/>
            <w:bCs/>
            <w:lang w:val="en-GB"/>
          </w:rPr>
          <w:t>https://whc.unesco.org/en/guidelines/</w:t>
        </w:r>
      </w:hyperlink>
    </w:p>
    <w:p w14:paraId="184185C5" w14:textId="77777777" w:rsidR="001B53D4" w:rsidRPr="005E1FD5" w:rsidRDefault="001B53D4" w:rsidP="003659A9">
      <w:pPr>
        <w:pStyle w:val="ListParagraph"/>
        <w:spacing w:line="276" w:lineRule="auto"/>
        <w:rPr>
          <w:lang w:val="en-US"/>
        </w:rPr>
      </w:pPr>
    </w:p>
    <w:sectPr w:rsidR="001B53D4" w:rsidRPr="005E1F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FD83B50-A163-48DA-9790-45392BFC9480}"/>
    <w:embedBold r:id="rId2" w:fontKey="{7C350C9F-74CB-474C-B2FB-C0B5837C6780}"/>
    <w:embedBoldItalic r:id="rId3" w:fontKey="{760C9B03-7345-4B41-924C-F89B17094C8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7F5A2D6-409C-4164-A0D3-7F71A5A5BEA2}"/>
  </w:font>
  <w:font w:name="Calibri Light">
    <w:panose1 w:val="020F0302020204030204"/>
    <w:charset w:val="00"/>
    <w:family w:val="swiss"/>
    <w:pitch w:val="variable"/>
    <w:sig w:usb0="E4002EFF" w:usb1="C000247B" w:usb2="00000009" w:usb3="00000000" w:csb0="000001FF" w:csb1="00000000"/>
    <w:embedRegular r:id="rId5" w:fontKey="{27039555-1B2A-42D2-B970-98424F30ECC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36FA4"/>
    <w:multiLevelType w:val="multilevel"/>
    <w:tmpl w:val="5C465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A77BE5"/>
    <w:multiLevelType w:val="multilevel"/>
    <w:tmpl w:val="AAEA8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5222506">
    <w:abstractNumId w:val="3"/>
  </w:num>
  <w:num w:numId="2" w16cid:durableId="1882092387">
    <w:abstractNumId w:val="9"/>
  </w:num>
  <w:num w:numId="3" w16cid:durableId="1544052912">
    <w:abstractNumId w:val="0"/>
  </w:num>
  <w:num w:numId="4" w16cid:durableId="746540664">
    <w:abstractNumId w:val="1"/>
  </w:num>
  <w:num w:numId="5" w16cid:durableId="1108088842">
    <w:abstractNumId w:val="4"/>
  </w:num>
  <w:num w:numId="6" w16cid:durableId="1713579031">
    <w:abstractNumId w:val="8"/>
  </w:num>
  <w:num w:numId="7" w16cid:durableId="612253008">
    <w:abstractNumId w:val="7"/>
  </w:num>
  <w:num w:numId="8" w16cid:durableId="314267375">
    <w:abstractNumId w:val="5"/>
  </w:num>
  <w:num w:numId="9" w16cid:durableId="327443921">
    <w:abstractNumId w:val="6"/>
  </w:num>
  <w:num w:numId="10" w16cid:durableId="965618003">
    <w:abstractNumId w:val="10"/>
  </w:num>
  <w:num w:numId="11" w16cid:durableId="18479424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53D4"/>
    <w:rsid w:val="00224FD9"/>
    <w:rsid w:val="002F4AE0"/>
    <w:rsid w:val="003659A9"/>
    <w:rsid w:val="00384E8A"/>
    <w:rsid w:val="003D1074"/>
    <w:rsid w:val="00426865"/>
    <w:rsid w:val="00477CAA"/>
    <w:rsid w:val="00502E29"/>
    <w:rsid w:val="005E1FD5"/>
    <w:rsid w:val="005E458B"/>
    <w:rsid w:val="00672345"/>
    <w:rsid w:val="00705037"/>
    <w:rsid w:val="007C7917"/>
    <w:rsid w:val="00844EC2"/>
    <w:rsid w:val="008516FE"/>
    <w:rsid w:val="00942251"/>
    <w:rsid w:val="009C1D0A"/>
    <w:rsid w:val="00A044F7"/>
    <w:rsid w:val="00A057BE"/>
    <w:rsid w:val="00A8150E"/>
    <w:rsid w:val="00B20343"/>
    <w:rsid w:val="00B85EA7"/>
    <w:rsid w:val="00BE65DD"/>
    <w:rsid w:val="00C063B8"/>
    <w:rsid w:val="00C612A4"/>
    <w:rsid w:val="00C80777"/>
    <w:rsid w:val="00CC6AD1"/>
    <w:rsid w:val="00CF34F8"/>
    <w:rsid w:val="00D344E3"/>
    <w:rsid w:val="00E6778A"/>
    <w:rsid w:val="00F25F5B"/>
    <w:rsid w:val="00F837B1"/>
    <w:rsid w:val="00FE78A3"/>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C8D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B53D4"/>
    <w:rPr>
      <w:color w:val="0563C1" w:themeColor="hyperlink"/>
      <w:u w:val="single"/>
    </w:rPr>
  </w:style>
  <w:style w:type="character" w:styleId="UnresolvedMention">
    <w:name w:val="Unresolved Mention"/>
    <w:basedOn w:val="DefaultParagraphFont"/>
    <w:uiPriority w:val="99"/>
    <w:semiHidden/>
    <w:unhideWhenUsed/>
    <w:rsid w:val="001B5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en/guidelin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5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877</Words>
  <Characters>5005</Characters>
  <Application>Microsoft Office Word</Application>
  <DocSecurity>0</DocSecurity>
  <Lines>41</Lines>
  <Paragraphs>11</Paragraphs>
  <ScaleCrop>false</ScaleCrop>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3</cp:revision>
  <dcterms:created xsi:type="dcterms:W3CDTF">2026-06-16T15:20:00Z</dcterms:created>
  <dcterms:modified xsi:type="dcterms:W3CDTF">2026-06-16T15:20:00Z</dcterms:modified>
</cp:coreProperties>
</file>