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30016" w14:textId="77777777" w:rsidR="00426865" w:rsidRPr="002D528D" w:rsidRDefault="00672345">
      <w:r w:rsidRPr="002D528D">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A570012" w14:textId="77777777" w:rsidR="00672345" w:rsidRPr="002D528D" w:rsidRDefault="00672345" w:rsidP="00672345">
      <w:pPr>
        <w:rPr>
          <w:lang w:val="en-US"/>
        </w:rPr>
      </w:pPr>
      <w:r w:rsidRPr="002D528D">
        <w:rPr>
          <w:lang w:val="en-US"/>
        </w:rPr>
        <w:t xml:space="preserve">Cultural Heritage Management </w:t>
      </w:r>
    </w:p>
    <w:p w14:paraId="16AA6F3C" w14:textId="77777777" w:rsidR="00672345" w:rsidRPr="002D528D" w:rsidRDefault="00672345" w:rsidP="00672345">
      <w:pPr>
        <w:rPr>
          <w:lang w:val="en-US"/>
        </w:rPr>
      </w:pPr>
      <w:r w:rsidRPr="002D528D">
        <w:rPr>
          <w:lang w:val="en-US"/>
        </w:rPr>
        <w:t>Assignment 1</w:t>
      </w:r>
    </w:p>
    <w:p w14:paraId="237A0938" w14:textId="77777777" w:rsidR="00672345" w:rsidRPr="002D528D" w:rsidRDefault="00672345" w:rsidP="00672345">
      <w:pPr>
        <w:rPr>
          <w:lang w:val="en-US"/>
        </w:rPr>
      </w:pPr>
      <w:r w:rsidRPr="002D528D">
        <w:rPr>
          <w:lang w:val="en-US"/>
        </w:rPr>
        <w:t>08.04.2026</w:t>
      </w:r>
    </w:p>
    <w:p w14:paraId="1BC07A92" w14:textId="77777777" w:rsidR="00672345" w:rsidRPr="002D528D" w:rsidRDefault="00672345"/>
    <w:p w14:paraId="422AE29E" w14:textId="77777777" w:rsidR="00672345" w:rsidRPr="002D528D" w:rsidRDefault="00672345"/>
    <w:p w14:paraId="0244AE5B" w14:textId="77777777" w:rsidR="00672345" w:rsidRPr="002D528D" w:rsidRDefault="00672345"/>
    <w:p w14:paraId="1FE17C34" w14:textId="77777777" w:rsidR="00672345" w:rsidRPr="002D528D" w:rsidRDefault="00672345"/>
    <w:p w14:paraId="286691A3" w14:textId="77777777" w:rsidR="00672345" w:rsidRPr="002D528D" w:rsidRDefault="00672345"/>
    <w:p w14:paraId="01EDF448" w14:textId="77777777" w:rsidR="00672345" w:rsidRPr="002D528D" w:rsidRDefault="00672345"/>
    <w:p w14:paraId="20C12E5F" w14:textId="77777777" w:rsidR="00672345" w:rsidRPr="002D528D" w:rsidRDefault="00672345"/>
    <w:p w14:paraId="2E1CBF8B" w14:textId="77777777" w:rsidR="00672345" w:rsidRPr="002D528D" w:rsidRDefault="00672345"/>
    <w:p w14:paraId="1FECF77D" w14:textId="77777777" w:rsidR="00672345" w:rsidRPr="002D528D" w:rsidRDefault="00672345"/>
    <w:p w14:paraId="60DF2E88" w14:textId="77777777" w:rsidR="00672345" w:rsidRPr="002D528D" w:rsidRDefault="00672345"/>
    <w:p w14:paraId="6D08F31E" w14:textId="77777777" w:rsidR="00672345" w:rsidRPr="002D528D" w:rsidRDefault="00672345"/>
    <w:p w14:paraId="0B63AC54" w14:textId="77777777" w:rsidR="00672345" w:rsidRPr="002D528D" w:rsidRDefault="00672345"/>
    <w:p w14:paraId="09D6D1AF" w14:textId="77777777" w:rsidR="00672345" w:rsidRPr="002D528D" w:rsidRDefault="00672345"/>
    <w:p w14:paraId="1136DEC6" w14:textId="77777777" w:rsidR="00672345" w:rsidRPr="002D528D" w:rsidRDefault="00672345" w:rsidP="00672345">
      <w:pPr>
        <w:spacing w:line="276" w:lineRule="auto"/>
        <w:rPr>
          <w:lang w:val="en-US"/>
        </w:rPr>
      </w:pPr>
      <w:r w:rsidRPr="002D528D">
        <w:rPr>
          <w:lang w:val="en-US"/>
        </w:rPr>
        <w:t>In no more than 500 words, each explain and 2-4 references:</w:t>
      </w:r>
    </w:p>
    <w:p w14:paraId="010D0E40" w14:textId="77777777" w:rsidR="00672345" w:rsidRPr="002D528D" w:rsidRDefault="00672345" w:rsidP="00672345">
      <w:pPr>
        <w:spacing w:line="276" w:lineRule="auto"/>
        <w:rPr>
          <w:lang w:val="en-US"/>
        </w:rPr>
      </w:pPr>
    </w:p>
    <w:p w14:paraId="6CE86931" w14:textId="77777777" w:rsidR="00672345" w:rsidRPr="002D528D" w:rsidRDefault="00672345" w:rsidP="00672345">
      <w:pPr>
        <w:spacing w:line="276" w:lineRule="auto"/>
        <w:rPr>
          <w:lang w:val="en-US"/>
        </w:rPr>
      </w:pPr>
    </w:p>
    <w:p w14:paraId="2B1862A2" w14:textId="77777777" w:rsidR="00672345" w:rsidRPr="002D528D" w:rsidRDefault="00672345" w:rsidP="00672345">
      <w:pPr>
        <w:spacing w:line="276" w:lineRule="auto"/>
        <w:rPr>
          <w:lang w:val="en-US"/>
        </w:rPr>
      </w:pPr>
    </w:p>
    <w:p w14:paraId="618C9A2C" w14:textId="77777777" w:rsidR="00672345" w:rsidRPr="002D528D" w:rsidRDefault="00672345" w:rsidP="00672345">
      <w:pPr>
        <w:spacing w:line="276" w:lineRule="auto"/>
        <w:rPr>
          <w:lang w:val="en-US"/>
        </w:rPr>
      </w:pPr>
      <w:r w:rsidRPr="002D528D">
        <w:rPr>
          <w:lang w:val="en-US"/>
        </w:rPr>
        <w:t>1- Define cultural heritage. How do international organizations such as UNESCO conceptualize heritage?</w:t>
      </w:r>
    </w:p>
    <w:p w14:paraId="6A036219" w14:textId="77777777" w:rsidR="00672345" w:rsidRPr="002D528D" w:rsidRDefault="00672345" w:rsidP="00672345">
      <w:pPr>
        <w:spacing w:line="276" w:lineRule="auto"/>
        <w:rPr>
          <w:lang w:val="en-US"/>
        </w:rPr>
      </w:pPr>
    </w:p>
    <w:p w14:paraId="1ED74A4D" w14:textId="77777777" w:rsidR="00672345" w:rsidRPr="002D528D" w:rsidRDefault="00672345" w:rsidP="00672345">
      <w:pPr>
        <w:spacing w:line="276" w:lineRule="auto"/>
        <w:rPr>
          <w:lang w:val="en-US"/>
        </w:rPr>
      </w:pPr>
      <w:r w:rsidRPr="002D528D">
        <w:rPr>
          <w:lang w:val="en-US"/>
        </w:rPr>
        <w:t>2- Differentiate between:</w:t>
      </w:r>
    </w:p>
    <w:p w14:paraId="444A310E" w14:textId="77777777" w:rsidR="00672345" w:rsidRPr="002D528D" w:rsidRDefault="00672345" w:rsidP="00672345">
      <w:pPr>
        <w:spacing w:line="276" w:lineRule="auto"/>
        <w:rPr>
          <w:lang w:val="en-US"/>
        </w:rPr>
      </w:pPr>
      <w:r w:rsidRPr="002D528D">
        <w:rPr>
          <w:lang w:val="en-US"/>
        </w:rPr>
        <w:t>Tangible heritage</w:t>
      </w:r>
    </w:p>
    <w:p w14:paraId="6D48D20E" w14:textId="77777777" w:rsidR="00672345" w:rsidRPr="002D528D" w:rsidRDefault="00672345" w:rsidP="00672345">
      <w:pPr>
        <w:spacing w:line="276" w:lineRule="auto"/>
      </w:pPr>
      <w:r w:rsidRPr="002D528D">
        <w:rPr>
          <w:lang w:val="en-US"/>
        </w:rPr>
        <w:t>Intangible heritage</w:t>
      </w:r>
    </w:p>
    <w:p w14:paraId="1DAF597A" w14:textId="77777777" w:rsidR="00672345" w:rsidRPr="002D528D" w:rsidRDefault="00672345">
      <w:pPr>
        <w:rPr>
          <w:lang w:val="en-US"/>
        </w:rPr>
      </w:pPr>
    </w:p>
    <w:p w14:paraId="5BD65637" w14:textId="77777777" w:rsidR="00706C01" w:rsidRPr="002D528D" w:rsidRDefault="00706C01">
      <w:pPr>
        <w:rPr>
          <w:lang w:val="en-US"/>
        </w:rPr>
      </w:pPr>
    </w:p>
    <w:p w14:paraId="17D8D603" w14:textId="77777777" w:rsidR="00706C01" w:rsidRPr="002D528D" w:rsidRDefault="00706C01">
      <w:pPr>
        <w:rPr>
          <w:lang w:val="en-US"/>
        </w:rPr>
      </w:pPr>
    </w:p>
    <w:p w14:paraId="5F29B98C" w14:textId="77777777" w:rsidR="00706C01" w:rsidRPr="002D528D" w:rsidRDefault="00706C01">
      <w:pPr>
        <w:rPr>
          <w:lang w:val="en-US"/>
        </w:rPr>
      </w:pPr>
    </w:p>
    <w:p w14:paraId="0CA7B702" w14:textId="77777777" w:rsidR="00706C01" w:rsidRPr="002D528D" w:rsidRDefault="00706C01">
      <w:pPr>
        <w:rPr>
          <w:lang w:val="en-US"/>
        </w:rPr>
      </w:pPr>
    </w:p>
    <w:p w14:paraId="26E51395" w14:textId="77777777" w:rsidR="00706C01" w:rsidRPr="002D528D" w:rsidRDefault="00706C01">
      <w:pPr>
        <w:rPr>
          <w:lang w:val="en-US"/>
        </w:rPr>
      </w:pPr>
    </w:p>
    <w:p w14:paraId="0384D70C" w14:textId="77777777" w:rsidR="00706C01" w:rsidRPr="002D528D" w:rsidRDefault="00706C01">
      <w:pPr>
        <w:rPr>
          <w:lang w:val="en-US"/>
        </w:rPr>
      </w:pPr>
    </w:p>
    <w:p w14:paraId="572FFFF2" w14:textId="77777777" w:rsidR="00706C01" w:rsidRPr="002D528D" w:rsidRDefault="00706C01">
      <w:pPr>
        <w:rPr>
          <w:lang w:val="en-US"/>
        </w:rPr>
      </w:pPr>
    </w:p>
    <w:p w14:paraId="6C277370" w14:textId="77777777" w:rsidR="00706C01" w:rsidRPr="002D528D" w:rsidRDefault="00706C01">
      <w:pPr>
        <w:rPr>
          <w:lang w:val="en-US"/>
        </w:rPr>
      </w:pPr>
    </w:p>
    <w:p w14:paraId="3515D7AB" w14:textId="77777777" w:rsidR="00706C01" w:rsidRPr="002D528D" w:rsidRDefault="00706C01">
      <w:pPr>
        <w:rPr>
          <w:lang w:val="en-US"/>
        </w:rPr>
      </w:pPr>
    </w:p>
    <w:p w14:paraId="61F77616" w14:textId="77777777" w:rsidR="00706C01" w:rsidRPr="002D528D" w:rsidRDefault="00706C01">
      <w:pPr>
        <w:rPr>
          <w:lang w:val="en-US"/>
        </w:rPr>
      </w:pPr>
    </w:p>
    <w:p w14:paraId="7D846D74" w14:textId="77777777" w:rsidR="00706C01" w:rsidRPr="002D528D" w:rsidRDefault="00706C01">
      <w:pPr>
        <w:rPr>
          <w:lang w:val="en-US"/>
        </w:rPr>
      </w:pPr>
    </w:p>
    <w:p w14:paraId="1953910D" w14:textId="77777777" w:rsidR="00706C01" w:rsidRPr="002D528D" w:rsidRDefault="00706C01">
      <w:pPr>
        <w:rPr>
          <w:lang w:val="en-US"/>
        </w:rPr>
      </w:pPr>
    </w:p>
    <w:p w14:paraId="5FD9FB84" w14:textId="77777777" w:rsidR="00706C01" w:rsidRPr="002D528D" w:rsidRDefault="00706C01">
      <w:pPr>
        <w:rPr>
          <w:lang w:val="en-US"/>
        </w:rPr>
      </w:pPr>
    </w:p>
    <w:p w14:paraId="46C7C63B" w14:textId="77777777" w:rsidR="00706C01" w:rsidRPr="002D528D" w:rsidRDefault="00706C01">
      <w:pPr>
        <w:rPr>
          <w:lang w:val="en-US"/>
        </w:rPr>
      </w:pPr>
    </w:p>
    <w:p w14:paraId="76CDD500" w14:textId="77777777" w:rsidR="00706C01" w:rsidRPr="002D528D" w:rsidRDefault="00706C01">
      <w:pPr>
        <w:rPr>
          <w:lang w:val="en-US"/>
        </w:rPr>
      </w:pPr>
    </w:p>
    <w:p w14:paraId="04A2658A" w14:textId="77777777" w:rsidR="00706C01" w:rsidRPr="002D528D" w:rsidRDefault="00706C01">
      <w:pPr>
        <w:rPr>
          <w:lang w:val="en-US"/>
        </w:rPr>
      </w:pPr>
    </w:p>
    <w:p w14:paraId="4E0A58DA" w14:textId="77777777" w:rsidR="00706C01" w:rsidRPr="002D528D" w:rsidRDefault="00706C01">
      <w:pPr>
        <w:rPr>
          <w:lang w:val="en-US"/>
        </w:rPr>
      </w:pPr>
    </w:p>
    <w:p w14:paraId="4DEDEE1F" w14:textId="77777777" w:rsidR="00706C01" w:rsidRPr="002D528D" w:rsidRDefault="00706C01">
      <w:pPr>
        <w:rPr>
          <w:lang w:val="en-US"/>
        </w:rPr>
      </w:pPr>
    </w:p>
    <w:p w14:paraId="0ABFC4E8" w14:textId="77777777" w:rsidR="004F4420" w:rsidRPr="004F4420" w:rsidRDefault="004F4420" w:rsidP="004F4420">
      <w:pPr>
        <w:rPr>
          <w:b/>
          <w:bCs/>
          <w:lang w:val="en-GB"/>
        </w:rPr>
      </w:pPr>
      <w:r w:rsidRPr="004F4420">
        <w:rPr>
          <w:b/>
          <w:bCs/>
          <w:lang w:val="en-GB"/>
        </w:rPr>
        <w:lastRenderedPageBreak/>
        <w:t>1. Cultural Heritage and UNESCO Perspective</w:t>
      </w:r>
    </w:p>
    <w:p w14:paraId="79F1A35D" w14:textId="77777777" w:rsidR="004F4420" w:rsidRPr="004F4420" w:rsidRDefault="004F4420" w:rsidP="004F4420">
      <w:pPr>
        <w:rPr>
          <w:lang w:val="en-GB"/>
        </w:rPr>
      </w:pPr>
      <w:r w:rsidRPr="004F4420">
        <w:rPr>
          <w:lang w:val="en-GB"/>
        </w:rPr>
        <w:t>Cultural heritage refers to the shared legacy of humanity, including both physical artifacts and living traditions that define the identity of communities. It embodies historical continuity, cultural diversity, and collective memory (Smith, 2006).</w:t>
      </w:r>
    </w:p>
    <w:p w14:paraId="461511A2" w14:textId="77777777" w:rsidR="004F4420" w:rsidRPr="004F4420" w:rsidRDefault="004F4420" w:rsidP="004F4420">
      <w:pPr>
        <w:rPr>
          <w:lang w:val="en-GB"/>
        </w:rPr>
      </w:pPr>
      <w:r w:rsidRPr="004F4420">
        <w:rPr>
          <w:lang w:val="en-GB"/>
        </w:rPr>
        <w:t xml:space="preserve">UNESCO conceptualizes heritage as a </w:t>
      </w:r>
      <w:r w:rsidRPr="004F4420">
        <w:rPr>
          <w:b/>
          <w:bCs/>
          <w:lang w:val="en-GB"/>
        </w:rPr>
        <w:t>holistic and inclusive concept</w:t>
      </w:r>
      <w:r w:rsidRPr="004F4420">
        <w:rPr>
          <w:lang w:val="en-GB"/>
        </w:rPr>
        <w:t>. Initially, the focus was on tangible heritage through the 1972 Convention, which identified sites of outstanding universal value. However, recognizing that culture extends beyond physical objects, UNESCO introduced the 2003 Convention to safeguard intangible cultural heritage such as oral traditions, performing arts, and social practices (UNESCO, 2003).</w:t>
      </w:r>
    </w:p>
    <w:p w14:paraId="31524E97" w14:textId="77777777" w:rsidR="004F4420" w:rsidRPr="004F4420" w:rsidRDefault="004F4420" w:rsidP="004F4420">
      <w:pPr>
        <w:rPr>
          <w:lang w:val="en-GB"/>
        </w:rPr>
      </w:pPr>
      <w:r w:rsidRPr="004F4420">
        <w:rPr>
          <w:lang w:val="en-GB"/>
        </w:rPr>
        <w:t xml:space="preserve">This broadened framework emphasizes that heritage is not only preserved but also </w:t>
      </w:r>
      <w:r w:rsidRPr="004F4420">
        <w:rPr>
          <w:b/>
          <w:bCs/>
          <w:lang w:val="en-GB"/>
        </w:rPr>
        <w:t>actively recreated</w:t>
      </w:r>
      <w:r w:rsidRPr="004F4420">
        <w:rPr>
          <w:lang w:val="en-GB"/>
        </w:rPr>
        <w:t xml:space="preserve">. Communities play a central role in identifying and maintaining their heritage, making participation a key principle. According to </w:t>
      </w:r>
      <w:proofErr w:type="spellStart"/>
      <w:r w:rsidRPr="004F4420">
        <w:rPr>
          <w:lang w:val="en-GB"/>
        </w:rPr>
        <w:t>Vecco</w:t>
      </w:r>
      <w:proofErr w:type="spellEnd"/>
      <w:r w:rsidRPr="004F4420">
        <w:rPr>
          <w:lang w:val="en-GB"/>
        </w:rPr>
        <w:t xml:space="preserve"> (2010), this shift reflects a transformation in heritage thinking—from static preservation to dynamic cultural processes.</w:t>
      </w:r>
    </w:p>
    <w:p w14:paraId="3D9DCF6C" w14:textId="77777777" w:rsidR="004F4420" w:rsidRPr="004F4420" w:rsidRDefault="004F4420" w:rsidP="004F4420">
      <w:pPr>
        <w:rPr>
          <w:lang w:val="en-GB"/>
        </w:rPr>
      </w:pPr>
      <w:r w:rsidRPr="004F4420">
        <w:rPr>
          <w:lang w:val="en-GB"/>
        </w:rPr>
        <w:t>UNESCO’s approach therefore integrates global recognition with local ownership, ensuring both protection and continuity.</w:t>
      </w:r>
    </w:p>
    <w:p w14:paraId="6A2B3088" w14:textId="1638FD7A" w:rsidR="004F4420" w:rsidRPr="004F4420" w:rsidRDefault="004F4420" w:rsidP="004F4420">
      <w:pPr>
        <w:rPr>
          <w:lang w:val="en-GB"/>
        </w:rPr>
      </w:pPr>
    </w:p>
    <w:p w14:paraId="15F1CA7E" w14:textId="77777777" w:rsidR="004F4420" w:rsidRPr="004F4420" w:rsidRDefault="004F4420" w:rsidP="004F4420">
      <w:pPr>
        <w:rPr>
          <w:b/>
          <w:bCs/>
          <w:lang w:val="en-GB"/>
        </w:rPr>
      </w:pPr>
      <w:r w:rsidRPr="004F4420">
        <w:rPr>
          <w:b/>
          <w:bCs/>
          <w:lang w:val="en-GB"/>
        </w:rPr>
        <w:t>2. Difference Between Tangible and Intangible Heritage</w:t>
      </w:r>
    </w:p>
    <w:p w14:paraId="77F20BA0" w14:textId="77777777" w:rsidR="004F4420" w:rsidRPr="004F4420" w:rsidRDefault="004F4420" w:rsidP="004F4420">
      <w:pPr>
        <w:rPr>
          <w:lang w:val="en-GB"/>
        </w:rPr>
      </w:pPr>
      <w:r w:rsidRPr="004F4420">
        <w:rPr>
          <w:lang w:val="en-GB"/>
        </w:rPr>
        <w:t>Cultural heritage is categorized into tangible and intangible forms based on its characteristics.</w:t>
      </w:r>
    </w:p>
    <w:p w14:paraId="1BB500BF" w14:textId="77777777" w:rsidR="004F4420" w:rsidRPr="004F4420" w:rsidRDefault="004F4420" w:rsidP="004F4420">
      <w:pPr>
        <w:rPr>
          <w:lang w:val="en-GB"/>
        </w:rPr>
      </w:pPr>
      <w:r w:rsidRPr="004F4420">
        <w:rPr>
          <w:b/>
          <w:bCs/>
          <w:lang w:val="en-GB"/>
        </w:rPr>
        <w:t>Tangible heritage</w:t>
      </w:r>
      <w:r w:rsidRPr="004F4420">
        <w:rPr>
          <w:lang w:val="en-GB"/>
        </w:rPr>
        <w:t xml:space="preserve"> includes material objects such as monuments, buildings, artworks, and historical sites. These are visible and can be physically preserved through conservation methods. Examples include heritage buildings and museum collections (Ashworth &amp; Tunbridge, 2000).</w:t>
      </w:r>
    </w:p>
    <w:p w14:paraId="09EA708A" w14:textId="77777777" w:rsidR="004F4420" w:rsidRPr="004F4420" w:rsidRDefault="004F4420" w:rsidP="004F4420">
      <w:pPr>
        <w:rPr>
          <w:lang w:val="en-GB"/>
        </w:rPr>
      </w:pPr>
      <w:r w:rsidRPr="004F4420">
        <w:rPr>
          <w:b/>
          <w:bCs/>
          <w:lang w:val="en-GB"/>
        </w:rPr>
        <w:t>Intangible heritage</w:t>
      </w:r>
      <w:r w:rsidRPr="004F4420">
        <w:rPr>
          <w:lang w:val="en-GB"/>
        </w:rPr>
        <w:t xml:space="preserve"> includes non-physical elements like traditions, performing arts, rituals, and traditional knowledge. It is transmitted orally or through practice and evolves over time. Safeguarding it requires community engagement and continuous practice rather than physical preservation (Hafstein, 2009).</w:t>
      </w:r>
    </w:p>
    <w:p w14:paraId="01EC06C0" w14:textId="77777777" w:rsidR="004F4420" w:rsidRPr="004F4420" w:rsidRDefault="004F4420" w:rsidP="004F4420">
      <w:pPr>
        <w:rPr>
          <w:lang w:val="en-GB"/>
        </w:rPr>
      </w:pPr>
      <w:r w:rsidRPr="004F4420">
        <w:rPr>
          <w:lang w:val="en-GB"/>
        </w:rPr>
        <w:t xml:space="preserve">The primary difference lies in their nature: tangible heritage is </w:t>
      </w:r>
      <w:r w:rsidRPr="004F4420">
        <w:rPr>
          <w:b/>
          <w:bCs/>
          <w:lang w:val="en-GB"/>
        </w:rPr>
        <w:t>material and static</w:t>
      </w:r>
      <w:r w:rsidRPr="004F4420">
        <w:rPr>
          <w:lang w:val="en-GB"/>
        </w:rPr>
        <w:t xml:space="preserve">, while intangible heritage is </w:t>
      </w:r>
      <w:r w:rsidRPr="004F4420">
        <w:rPr>
          <w:b/>
          <w:bCs/>
          <w:lang w:val="en-GB"/>
        </w:rPr>
        <w:t>immaterial and dynamic</w:t>
      </w:r>
      <w:r w:rsidRPr="004F4420">
        <w:rPr>
          <w:lang w:val="en-GB"/>
        </w:rPr>
        <w:t>. However, they are interconnected, as tangible heritage often derives meaning from intangible cultural practices.</w:t>
      </w:r>
    </w:p>
    <w:p w14:paraId="56CB9218" w14:textId="77777777" w:rsidR="004F4420" w:rsidRPr="004F4420" w:rsidRDefault="004F4420" w:rsidP="004F4420">
      <w:pPr>
        <w:rPr>
          <w:lang w:val="en-GB"/>
        </w:rPr>
      </w:pPr>
      <w:r w:rsidRPr="004F4420">
        <w:rPr>
          <w:lang w:val="en-GB"/>
        </w:rPr>
        <w:t>A balanced heritage management approach considers both forms equally important for cultural sustainability.</w:t>
      </w:r>
    </w:p>
    <w:p w14:paraId="5AB09237" w14:textId="0E52B6BC" w:rsidR="004F4420" w:rsidRPr="004F4420" w:rsidRDefault="004F4420" w:rsidP="004F4420">
      <w:pPr>
        <w:rPr>
          <w:lang w:val="en-GB"/>
        </w:rPr>
      </w:pPr>
    </w:p>
    <w:p w14:paraId="42E61D40" w14:textId="7AFB1B49" w:rsidR="004F4420" w:rsidRPr="004F4420" w:rsidRDefault="004F4420" w:rsidP="004F4420">
      <w:pPr>
        <w:rPr>
          <w:b/>
          <w:bCs/>
          <w:lang w:val="en-GB"/>
        </w:rPr>
      </w:pPr>
      <w:r w:rsidRPr="004F4420">
        <w:rPr>
          <w:b/>
          <w:bCs/>
          <w:lang w:val="en-GB"/>
        </w:rPr>
        <w:t xml:space="preserve">References </w:t>
      </w:r>
    </w:p>
    <w:p w14:paraId="10FCEEDA" w14:textId="77777777" w:rsidR="004F4420" w:rsidRPr="004F4420" w:rsidRDefault="004F4420" w:rsidP="004F4420">
      <w:pPr>
        <w:numPr>
          <w:ilvl w:val="0"/>
          <w:numId w:val="12"/>
        </w:numPr>
        <w:rPr>
          <w:lang w:val="en-GB"/>
        </w:rPr>
      </w:pPr>
      <w:r w:rsidRPr="004F4420">
        <w:rPr>
          <w:lang w:val="en-GB"/>
        </w:rPr>
        <w:t xml:space="preserve">Ashworth, G. J., &amp; Tunbridge, J. E. (2000). https://doi.org/10.4324/9780080513038 </w:t>
      </w:r>
    </w:p>
    <w:p w14:paraId="5263E96D" w14:textId="77777777" w:rsidR="004F4420" w:rsidRPr="004F4420" w:rsidRDefault="004F4420" w:rsidP="004F4420">
      <w:pPr>
        <w:numPr>
          <w:ilvl w:val="0"/>
          <w:numId w:val="12"/>
        </w:numPr>
        <w:rPr>
          <w:lang w:val="en-GB"/>
        </w:rPr>
      </w:pPr>
      <w:r w:rsidRPr="004F4420">
        <w:rPr>
          <w:lang w:val="en-GB"/>
        </w:rPr>
        <w:t xml:space="preserve">Hafstein, V. (2009). https://doi.org/10.4324/9780203877924 </w:t>
      </w:r>
    </w:p>
    <w:p w14:paraId="5DFED855" w14:textId="77777777" w:rsidR="004F4420" w:rsidRPr="004F4420" w:rsidRDefault="004F4420" w:rsidP="004F4420">
      <w:pPr>
        <w:numPr>
          <w:ilvl w:val="0"/>
          <w:numId w:val="12"/>
        </w:numPr>
        <w:rPr>
          <w:lang w:val="en-GB"/>
        </w:rPr>
      </w:pPr>
      <w:r w:rsidRPr="004F4420">
        <w:rPr>
          <w:lang w:val="en-GB"/>
        </w:rPr>
        <w:t xml:space="preserve">Smith, L. (2006). https://doi.org/10.4324/9780203602267 </w:t>
      </w:r>
    </w:p>
    <w:p w14:paraId="14BE17A3" w14:textId="77777777" w:rsidR="004F4420" w:rsidRPr="004F4420" w:rsidRDefault="004F4420" w:rsidP="004F4420">
      <w:pPr>
        <w:numPr>
          <w:ilvl w:val="0"/>
          <w:numId w:val="12"/>
        </w:numPr>
        <w:rPr>
          <w:lang w:val="en-GB"/>
        </w:rPr>
      </w:pPr>
      <w:r w:rsidRPr="004F4420">
        <w:rPr>
          <w:lang w:val="en-GB"/>
        </w:rPr>
        <w:t xml:space="preserve">UNESCO (2003). https://doi.org/10.18356/8d3f3c9d-en </w:t>
      </w:r>
    </w:p>
    <w:p w14:paraId="5B9D8B20" w14:textId="77777777" w:rsidR="004F4420" w:rsidRPr="004F4420" w:rsidRDefault="004F4420" w:rsidP="004F4420">
      <w:pPr>
        <w:numPr>
          <w:ilvl w:val="0"/>
          <w:numId w:val="12"/>
        </w:numPr>
        <w:rPr>
          <w:lang w:val="en-GB"/>
        </w:rPr>
      </w:pPr>
      <w:proofErr w:type="spellStart"/>
      <w:r w:rsidRPr="004F4420">
        <w:rPr>
          <w:lang w:val="en-GB"/>
        </w:rPr>
        <w:t>Vecco</w:t>
      </w:r>
      <w:proofErr w:type="spellEnd"/>
      <w:r w:rsidRPr="004F4420">
        <w:rPr>
          <w:lang w:val="en-GB"/>
        </w:rPr>
        <w:t xml:space="preserve">, M. (2010). </w:t>
      </w:r>
      <w:hyperlink r:id="rId6" w:tgtFrame="_new" w:history="1">
        <w:r w:rsidRPr="004F4420">
          <w:rPr>
            <w:rStyle w:val="Hyperlink"/>
            <w:lang w:val="en-GB"/>
          </w:rPr>
          <w:t>https://doi.org/10.1016/j.culher.2010.01.006</w:t>
        </w:r>
      </w:hyperlink>
    </w:p>
    <w:p w14:paraId="25196568" w14:textId="77777777" w:rsidR="00706C01" w:rsidRPr="002D528D" w:rsidRDefault="00706C01" w:rsidP="008A743D">
      <w:pPr>
        <w:rPr>
          <w:lang w:val="en-US"/>
        </w:rPr>
      </w:pPr>
    </w:p>
    <w:sectPr w:rsidR="00706C01" w:rsidRPr="002D5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3691E90-F482-4783-9118-6181EF6151CF}"/>
    <w:embedBold r:id="rId2" w:fontKey="{6159903E-34D6-4F5A-9352-A4650FED802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082172A-ED5C-45BB-A79F-4AA7659B2A19}"/>
  </w:font>
  <w:font w:name="Calibri Light">
    <w:panose1 w:val="020F0302020204030204"/>
    <w:charset w:val="00"/>
    <w:family w:val="swiss"/>
    <w:pitch w:val="variable"/>
    <w:sig w:usb0="E4002EFF" w:usb1="C000247B" w:usb2="00000009" w:usb3="00000000" w:csb0="000001FF" w:csb1="00000000"/>
    <w:embedRegular r:id="rId4" w:fontKey="{D3B06BD5-C92C-435D-AC52-28CC856F86E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2676E"/>
    <w:multiLevelType w:val="multilevel"/>
    <w:tmpl w:val="64F6C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652BA"/>
    <w:multiLevelType w:val="multilevel"/>
    <w:tmpl w:val="E3002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D552F"/>
    <w:multiLevelType w:val="multilevel"/>
    <w:tmpl w:val="8A80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C62FF1"/>
    <w:multiLevelType w:val="multilevel"/>
    <w:tmpl w:val="E7F2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A4529"/>
    <w:multiLevelType w:val="multilevel"/>
    <w:tmpl w:val="0284E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EF79BE"/>
    <w:multiLevelType w:val="multilevel"/>
    <w:tmpl w:val="97588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E55E1D"/>
    <w:multiLevelType w:val="multilevel"/>
    <w:tmpl w:val="6C1E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C00860"/>
    <w:multiLevelType w:val="multilevel"/>
    <w:tmpl w:val="0AB0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2279F0"/>
    <w:multiLevelType w:val="multilevel"/>
    <w:tmpl w:val="99C8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076B43"/>
    <w:multiLevelType w:val="multilevel"/>
    <w:tmpl w:val="584E1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9753A4"/>
    <w:multiLevelType w:val="multilevel"/>
    <w:tmpl w:val="1980A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995EE3"/>
    <w:multiLevelType w:val="multilevel"/>
    <w:tmpl w:val="F66E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7645453">
    <w:abstractNumId w:val="3"/>
  </w:num>
  <w:num w:numId="2" w16cid:durableId="403377365">
    <w:abstractNumId w:val="9"/>
  </w:num>
  <w:num w:numId="3" w16cid:durableId="1948080051">
    <w:abstractNumId w:val="10"/>
  </w:num>
  <w:num w:numId="4" w16cid:durableId="497385274">
    <w:abstractNumId w:val="2"/>
  </w:num>
  <w:num w:numId="5" w16cid:durableId="368846214">
    <w:abstractNumId w:val="1"/>
  </w:num>
  <w:num w:numId="6" w16cid:durableId="307705172">
    <w:abstractNumId w:val="5"/>
  </w:num>
  <w:num w:numId="7" w16cid:durableId="1343582672">
    <w:abstractNumId w:val="0"/>
  </w:num>
  <w:num w:numId="8" w16cid:durableId="1376812325">
    <w:abstractNumId w:val="4"/>
  </w:num>
  <w:num w:numId="9" w16cid:durableId="388840595">
    <w:abstractNumId w:val="8"/>
  </w:num>
  <w:num w:numId="10" w16cid:durableId="159275023">
    <w:abstractNumId w:val="7"/>
  </w:num>
  <w:num w:numId="11" w16cid:durableId="1704133095">
    <w:abstractNumId w:val="11"/>
  </w:num>
  <w:num w:numId="12" w16cid:durableId="1094206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26BE1"/>
    <w:rsid w:val="0003533E"/>
    <w:rsid w:val="000524D7"/>
    <w:rsid w:val="001700EC"/>
    <w:rsid w:val="00174BB1"/>
    <w:rsid w:val="00224FD9"/>
    <w:rsid w:val="002D528D"/>
    <w:rsid w:val="002F4AE0"/>
    <w:rsid w:val="00384E8A"/>
    <w:rsid w:val="003D1074"/>
    <w:rsid w:val="00426865"/>
    <w:rsid w:val="00477CAA"/>
    <w:rsid w:val="004F4420"/>
    <w:rsid w:val="00502E29"/>
    <w:rsid w:val="005E458B"/>
    <w:rsid w:val="00672345"/>
    <w:rsid w:val="00706C01"/>
    <w:rsid w:val="00844EC2"/>
    <w:rsid w:val="008516FE"/>
    <w:rsid w:val="008A743D"/>
    <w:rsid w:val="009C1D0A"/>
    <w:rsid w:val="00A044F7"/>
    <w:rsid w:val="00A8150E"/>
    <w:rsid w:val="00B20343"/>
    <w:rsid w:val="00B85EA7"/>
    <w:rsid w:val="00BE65DD"/>
    <w:rsid w:val="00C612A4"/>
    <w:rsid w:val="00CC6AD1"/>
    <w:rsid w:val="00E500D8"/>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EAE85"/>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706C01"/>
    <w:rPr>
      <w:color w:val="0563C1" w:themeColor="hyperlink"/>
      <w:u w:val="single"/>
    </w:rPr>
  </w:style>
  <w:style w:type="character" w:styleId="UnresolvedMention">
    <w:name w:val="Unresolved Mention"/>
    <w:basedOn w:val="DefaultParagraphFont"/>
    <w:uiPriority w:val="99"/>
    <w:semiHidden/>
    <w:unhideWhenUsed/>
    <w:rsid w:val="0070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10.01.006"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450</Words>
  <Characters>2566</Characters>
  <Application>Microsoft Office Word</Application>
  <DocSecurity>0</DocSecurity>
  <Lines>21</Lines>
  <Paragraphs>6</Paragraphs>
  <ScaleCrop>false</ScaleCrop>
  <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2026-04-10T01:47:00Z</dcterms:created>
  <dcterms:modified xsi:type="dcterms:W3CDTF">2026-04-10T01:47:00Z</dcterms:modified>
</cp:coreProperties>
</file>