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 w:after="400"/>
        <w:jc w:val="center"/>
      </w:pPr>
      <w:r>
        <w:drawing>
          <wp:inline distT="0" distB="0" distL="0" distR="0">
            <wp:extent cx="4286250" cy="876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286250" cy="876300"/>
                    </a:xfrm>
                    <a:prstGeom prst="rect">
                      <a:avLst/>
                    </a:prstGeom>
                  </pic:spPr>
                </pic:pic>
              </a:graphicData>
            </a:graphic>
          </wp:inline>
        </w:drawing>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line="480" w:before="0" w:after="160"/>
        <w:jc w:val="center"/>
      </w:pPr>
      <w:r>
        <w:rPr>
          <w:rFonts w:ascii="Times New Roman" w:cs="Times New Roman" w:eastAsia="Times New Roman" w:hAnsi="Times New Roman"/>
          <w:b/>
          <w:bCs/>
          <w:sz w:val="28"/>
          <w:szCs w:val="28"/>
        </w:rPr>
        <w:t xml:space="preserve">Talent Management, Employee Engagement,</w:t>
      </w:r>
    </w:p>
    <w:p>
      <w:pPr>
        <w:spacing w:line="480" w:before="0" w:after="160"/>
        <w:jc w:val="center"/>
      </w:pPr>
      <w:r>
        <w:rPr>
          <w:rFonts w:ascii="Times New Roman" w:cs="Times New Roman" w:eastAsia="Times New Roman" w:hAnsi="Times New Roman"/>
          <w:b/>
          <w:bCs/>
          <w:sz w:val="28"/>
          <w:szCs w:val="28"/>
        </w:rPr>
        <w:t xml:space="preserve">and Organisational Performance:</w:t>
      </w:r>
    </w:p>
    <w:p>
      <w:pPr>
        <w:spacing w:line="480" w:before="0" w:after="160"/>
        <w:jc w:val="center"/>
      </w:pPr>
      <w:r>
        <w:rPr>
          <w:rFonts w:ascii="Times New Roman" w:cs="Times New Roman" w:eastAsia="Times New Roman" w:hAnsi="Times New Roman"/>
          <w:b/>
          <w:bCs/>
          <w:sz w:val="26"/>
          <w:szCs w:val="26"/>
        </w:rPr>
        <w:t xml:space="preserve">A Case Study of Google</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pPr>
        <w:spacing w:line="480" w:before="0" w:after="160"/>
        <w:jc w:val="center"/>
      </w:pPr>
      <w:r>
        <w:rPr>
          <w:rFonts w:ascii="Times New Roman" w:cs="Times New Roman" w:eastAsia="Times New Roman" w:hAnsi="Times New Roman"/>
          <w:sz w:val="24"/>
          <w:szCs w:val="24"/>
        </w:rPr>
        <w:t xml:space="preserve">Submitted by: Manprit Kour</w:t>
      </w:r>
    </w:p>
    <w:p>
      <w:pPr>
        <w:spacing w:line="480" w:before="0" w:after="160"/>
        <w:jc w:val="center"/>
      </w:pPr>
      <w:r>
        <w:rPr>
          <w:rFonts w:ascii="Times New Roman" w:cs="Times New Roman" w:eastAsia="Times New Roman" w:hAnsi="Times New Roman"/>
          <w:sz w:val="24"/>
          <w:szCs w:val="24"/>
        </w:rPr>
        <w:t xml:space="preserve">Student ID: DE240278</w:t>
      </w:r>
    </w:p>
    <w:p>
      <w:pPr>
        <w:spacing w:line="480" w:before="0" w:after="160"/>
        <w:jc w:val="center"/>
      </w:pPr>
      <w:r>
        <w:rPr>
          <w:rFonts w:ascii="Times New Roman" w:cs="Times New Roman" w:eastAsia="Times New Roman" w:hAnsi="Times New Roman"/>
          <w:sz w:val="24"/>
          <w:szCs w:val="24"/>
        </w:rPr>
        <w:t xml:space="preserve">Course: Human Resource Management</w:t>
      </w:r>
    </w:p>
    <w:p>
      <w:pPr>
        <w:spacing w:line="480" w:before="0" w:after="160"/>
        <w:jc w:val="center"/>
      </w:pPr>
      <w:r>
        <w:rPr>
          <w:rFonts w:ascii="Times New Roman" w:cs="Times New Roman" w:eastAsia="Times New Roman" w:hAnsi="Times New Roman"/>
          <w:sz w:val="24"/>
          <w:szCs w:val="24"/>
        </w:rPr>
        <w:t xml:space="preserve">Institution: European Institute of Innovation, Entrepreneurship, and Technology (EIIET)</w:t>
      </w:r>
    </w:p>
    <w:p>
      <w:pPr>
        <w:spacing w:line="480" w:before="0" w:after="160"/>
        <w:jc w:val="center"/>
      </w:pPr>
      <w:r>
        <w:rPr>
          <w:rFonts w:ascii="Times New Roman" w:cs="Times New Roman" w:eastAsia="Times New Roman" w:hAnsi="Times New Roman"/>
          <w:sz w:val="24"/>
          <w:szCs w:val="24"/>
        </w:rPr>
        <w:t xml:space="preserve">Submission Date: 1st April 2026</w:t>
      </w:r>
    </w:p>
    <w:p>
      <w:pPr>
        <w:spacing w:line="480"/>
      </w:pPr>
      <w:r>
        <w:rPr>
          <w:rFonts w:ascii="Times New Roman" w:cs="Times New Roman" w:eastAsia="Times New Roman" w:hAnsi="Times New Roman"/>
          <w:sz w:val="24"/>
          <w:szCs w:val="24"/>
        </w:rPr>
        <w:t xml:space="preserve"/>
      </w:r>
    </w:p>
    <w:p>
      <w:pPr>
        <w:spacing w:line="480"/>
      </w:pPr>
      <w:r>
        <w:rPr>
          <w:rFonts w:ascii="Times New Roman" w:cs="Times New Roman" w:eastAsia="Times New Roman" w:hAnsi="Times New Roman"/>
          <w:sz w:val="24"/>
          <w:szCs w:val="24"/>
        </w:rPr>
        <w:t xml:space="preserve"/>
      </w:r>
    </w:p>
    <w:p>
      <w:r>
        <w:br w:type="page"/>
      </w:r>
    </w:p>
    <w:p>
      <w:pPr>
        <w:pStyle w:val="Heading1"/>
        <w:spacing w:before="400" w:after="200"/>
      </w:pPr>
      <w:r>
        <w:rPr>
          <w:rFonts w:ascii="Times New Roman" w:cs="Times New Roman" w:eastAsia="Times New Roman" w:hAnsi="Times New Roman"/>
          <w:b/>
          <w:bCs/>
          <w:color w:val="1F3864"/>
          <w:sz w:val="28"/>
          <w:szCs w:val="28"/>
        </w:rPr>
        <w:t xml:space="preserve">Table of Contents</w:t>
      </w:r>
    </w:p>
    <w:p>
      <w:pPr>
        <w:spacing w:line="480" w:before="0" w:after="160"/>
        <w:jc w:val="both"/>
      </w:pPr>
      <w:r>
        <w:rPr>
          <w:rFonts w:ascii="Times New Roman" w:cs="Times New Roman" w:eastAsia="Times New Roman" w:hAnsi="Times New Roman"/>
          <w:sz w:val="24"/>
          <w:szCs w:val="24"/>
        </w:rPr>
        <w:t xml:space="preserve">Abstract</w:t>
      </w:r>
    </w:p>
    <w:p>
      <w:pPr>
        <w:spacing w:line="480" w:before="0" w:after="160"/>
        <w:jc w:val="both"/>
      </w:pPr>
      <w:r>
        <w:rPr>
          <w:rFonts w:ascii="Times New Roman" w:cs="Times New Roman" w:eastAsia="Times New Roman" w:hAnsi="Times New Roman"/>
          <w:sz w:val="24"/>
          <w:szCs w:val="24"/>
        </w:rPr>
        <w:t xml:space="preserve">1. Introduction</w:t>
      </w:r>
    </w:p>
    <w:p>
      <w:pPr>
        <w:spacing w:line="480" w:before="0" w:after="160"/>
        <w:jc w:val="both"/>
      </w:pPr>
      <w:r>
        <w:rPr>
          <w:rFonts w:ascii="Times New Roman" w:cs="Times New Roman" w:eastAsia="Times New Roman" w:hAnsi="Times New Roman"/>
          <w:sz w:val="24"/>
          <w:szCs w:val="24"/>
        </w:rPr>
        <w:t xml:space="preserve">2. Literature Review</w:t>
      </w:r>
    </w:p>
    <w:p>
      <w:pPr>
        <w:spacing w:line="480" w:before="0" w:after="160"/>
        <w:jc w:val="both"/>
      </w:pPr>
      <w:r>
        <w:rPr>
          <w:rFonts w:ascii="Times New Roman" w:cs="Times New Roman" w:eastAsia="Times New Roman" w:hAnsi="Times New Roman"/>
          <w:sz w:val="24"/>
          <w:szCs w:val="24"/>
        </w:rPr>
        <w:t xml:space="preserve">3. Methodology</w:t>
      </w:r>
    </w:p>
    <w:p>
      <w:pPr>
        <w:spacing w:line="480" w:before="0" w:after="160"/>
        <w:jc w:val="both"/>
      </w:pPr>
      <w:r>
        <w:rPr>
          <w:rFonts w:ascii="Times New Roman" w:cs="Times New Roman" w:eastAsia="Times New Roman" w:hAnsi="Times New Roman"/>
          <w:sz w:val="24"/>
          <w:szCs w:val="24"/>
        </w:rPr>
        <w:t xml:space="preserve">4. Findings</w:t>
      </w:r>
    </w:p>
    <w:p>
      <w:pPr>
        <w:spacing w:line="480" w:before="0" w:after="160"/>
        <w:jc w:val="both"/>
      </w:pPr>
      <w:r>
        <w:rPr>
          <w:rFonts w:ascii="Times New Roman" w:cs="Times New Roman" w:eastAsia="Times New Roman" w:hAnsi="Times New Roman"/>
          <w:sz w:val="24"/>
          <w:szCs w:val="24"/>
        </w:rPr>
        <w:t xml:space="preserve">    4.1 Google's Talent Acquisition Strategy</w:t>
      </w:r>
    </w:p>
    <w:p>
      <w:pPr>
        <w:spacing w:line="480" w:before="0" w:after="160"/>
        <w:jc w:val="both"/>
      </w:pPr>
      <w:r>
        <w:rPr>
          <w:rFonts w:ascii="Times New Roman" w:cs="Times New Roman" w:eastAsia="Times New Roman" w:hAnsi="Times New Roman"/>
          <w:sz w:val="24"/>
          <w:szCs w:val="24"/>
        </w:rPr>
        <w:t xml:space="preserve">    4.2 Employee Development and Learning Culture</w:t>
      </w:r>
    </w:p>
    <w:p>
      <w:pPr>
        <w:spacing w:line="480" w:before="0" w:after="160"/>
        <w:jc w:val="both"/>
      </w:pPr>
      <w:r>
        <w:rPr>
          <w:rFonts w:ascii="Times New Roman" w:cs="Times New Roman" w:eastAsia="Times New Roman" w:hAnsi="Times New Roman"/>
          <w:sz w:val="24"/>
          <w:szCs w:val="24"/>
        </w:rPr>
        <w:t xml:space="preserve">    4.3 Retention Strategies and Employee Engagement</w:t>
      </w:r>
    </w:p>
    <w:p>
      <w:pPr>
        <w:spacing w:line="480" w:before="0" w:after="160"/>
        <w:jc w:val="both"/>
      </w:pPr>
      <w:r>
        <w:rPr>
          <w:rFonts w:ascii="Times New Roman" w:cs="Times New Roman" w:eastAsia="Times New Roman" w:hAnsi="Times New Roman"/>
          <w:sz w:val="24"/>
          <w:szCs w:val="24"/>
        </w:rPr>
        <w:t xml:space="preserve">5. Discussion</w:t>
      </w:r>
    </w:p>
    <w:p>
      <w:pPr>
        <w:spacing w:line="480" w:before="0" w:after="160"/>
        <w:jc w:val="both"/>
      </w:pPr>
      <w:r>
        <w:rPr>
          <w:rFonts w:ascii="Times New Roman" w:cs="Times New Roman" w:eastAsia="Times New Roman" w:hAnsi="Times New Roman"/>
          <w:sz w:val="24"/>
          <w:szCs w:val="24"/>
        </w:rPr>
        <w:t xml:space="preserve">6. Conclusion</w:t>
      </w:r>
    </w:p>
    <w:p>
      <w:pPr>
        <w:spacing w:line="480" w:before="0" w:after="160"/>
        <w:jc w:val="both"/>
      </w:pPr>
      <w:r>
        <w:rPr>
          <w:rFonts w:ascii="Times New Roman" w:cs="Times New Roman" w:eastAsia="Times New Roman" w:hAnsi="Times New Roman"/>
          <w:sz w:val="24"/>
          <w:szCs w:val="24"/>
        </w:rPr>
        <w:t xml:space="preserve">References</w:t>
      </w:r>
    </w:p>
    <w:p>
      <w:pPr>
        <w:spacing w:line="480" w:before="0" w:after="160"/>
        <w:jc w:val="both"/>
      </w:pPr>
      <w:r>
        <w:rPr>
          <w:rFonts w:ascii="Times New Roman" w:cs="Times New Roman" w:eastAsia="Times New Roman" w:hAnsi="Times New Roman"/>
          <w:sz w:val="24"/>
          <w:szCs w:val="24"/>
        </w:rPr>
        <w:t xml:space="preserve">Appendices</w:t>
      </w:r>
    </w:p>
    <w:p>
      <w:r>
        <w:br w:type="page"/>
      </w:r>
    </w:p>
    <w:p>
      <w:pPr>
        <w:pStyle w:val="Heading1"/>
        <w:spacing w:before="400" w:after="200"/>
      </w:pPr>
      <w:r>
        <w:rPr>
          <w:rFonts w:ascii="Times New Roman" w:cs="Times New Roman" w:eastAsia="Times New Roman" w:hAnsi="Times New Roman"/>
          <w:b/>
          <w:bCs/>
          <w:color w:val="1F3864"/>
          <w:sz w:val="28"/>
          <w:szCs w:val="28"/>
        </w:rPr>
        <w:t xml:space="preserve">Abstract</w:t>
      </w:r>
    </w:p>
    <w:p>
      <w:pPr>
        <w:spacing w:line="480" w:before="0" w:after="160"/>
        <w:jc w:val="both"/>
      </w:pPr>
      <w:r>
        <w:rPr>
          <w:rFonts w:ascii="Times New Roman" w:cs="Times New Roman" w:eastAsia="Times New Roman" w:hAnsi="Times New Roman"/>
          <w:sz w:val="24"/>
          <w:szCs w:val="24"/>
        </w:rPr>
        <w:t xml:space="preserve">This paper examines the talent management and employee engagement strategies employed by Google (Alphabet Inc.) and analyses how these practices have contributed to the company's sustained market leadership and culture of innovation. Drawing on academic literature, industry reports, and publicly available organisational data, the paper explores three interconnected dimensions of Google's human resource strategy: talent acquisition, employee development, and retention. Google's approach to people management — characterised by data-driven hiring, psychological safety, generous employee benefits, and a deeply embedded learning culture — offers a compelling case study in how strategic human resource management can function as a genuine source of competitive advantage. The paper finds that Google's HR practices have produced measurable outcomes in employee satisfaction and organisational performance, while also identifying the limitations and challenges of replicating this model across different organisational contexts. The discussion concludes with broader implications for HR leaders seeking to build high-performing, innovation-oriented workplaces.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Keywords: Talent management, employee engagement, Google HR practices, organisational performance, people analytics, innovation culture, retention</w:t>
      </w:r>
    </w:p>
    <w:p>
      <w:r>
        <w:br w:type="page"/>
      </w:r>
    </w:p>
    <w:p>
      <w:pPr>
        <w:pStyle w:val="Heading1"/>
        <w:spacing w:before="400" w:after="200"/>
      </w:pPr>
      <w:r>
        <w:rPr>
          <w:rFonts w:ascii="Times New Roman" w:cs="Times New Roman" w:eastAsia="Times New Roman" w:hAnsi="Times New Roman"/>
          <w:b/>
          <w:bCs/>
          <w:color w:val="1F3864"/>
          <w:sz w:val="28"/>
          <w:szCs w:val="28"/>
        </w:rPr>
        <w:t xml:space="preserve">1. Introduction</w:t>
      </w:r>
    </w:p>
    <w:p>
      <w:pPr>
        <w:spacing w:line="480" w:before="0" w:after="160"/>
        <w:jc w:val="both"/>
      </w:pPr>
      <w:r>
        <w:rPr>
          <w:rFonts w:ascii="Times New Roman" w:cs="Times New Roman" w:eastAsia="Times New Roman" w:hAnsi="Times New Roman"/>
          <w:sz w:val="24"/>
          <w:szCs w:val="24"/>
        </w:rPr>
        <w:t xml:space="preserve">There is a question that has occupied the minds of business leaders and human resource professionals for decades: what makes some organisations consistently more innovative, more productive, and more successful at attracting and keeping talented people than others? The answers are varied and context-dependent, but one organisation has become almost synonymous with the idea that the way you treat your people is inseparable from the results you achieve. That organisation is Google.</w:t>
      </w:r>
    </w:p>
    <w:p>
      <w:pPr>
        <w:spacing w:line="480" w:before="0" w:after="160"/>
        <w:jc w:val="both"/>
      </w:pPr>
      <w:r>
        <w:rPr>
          <w:rFonts w:ascii="Times New Roman" w:cs="Times New Roman" w:eastAsia="Times New Roman" w:hAnsi="Times New Roman"/>
          <w:sz w:val="24"/>
          <w:szCs w:val="24"/>
        </w:rPr>
        <w:t xml:space="preserve">Since its founding in 1998, Google has grown from a two-person startup operating out of a garage in Menlo Park to one of the most valuable companies on earth, with a market capitalisation exceeding one trillion dollars and a workforce of more than 180,000 employees across the globe. Much of this growth has been attributed to Google's technological innovations — its search algorithm, its advertising platform, its suite of productivity tools — but a less visible and arguably equally important driver has been the company's approach to managing its most important asset: its people.</w:t>
      </w:r>
    </w:p>
    <w:p>
      <w:pPr>
        <w:spacing w:line="480" w:before="0" w:after="160"/>
        <w:jc w:val="both"/>
      </w:pPr>
      <w:r>
        <w:rPr>
          <w:rFonts w:ascii="Times New Roman" w:cs="Times New Roman" w:eastAsia="Times New Roman" w:hAnsi="Times New Roman"/>
          <w:sz w:val="24"/>
          <w:szCs w:val="24"/>
        </w:rPr>
        <w:t xml:space="preserve">Google has long been regarded as one of the best places to work in the world. For more than a decade, it has appeared on Fortune's list of the 100 Best Companies to Work For, and it consistently ranks among the most sought-after employers in surveys of university graduates and experienced professionals alike. This reputation is not accidental; it is the product of deliberate, carefully designed talent management strategies that touch every stage of the employee lifecycle, from the moment a candidate first encounters the Google brand through to the day they eventually leave the organisation.</w:t>
      </w:r>
    </w:p>
    <w:p>
      <w:pPr>
        <w:spacing w:line="480" w:before="0" w:after="160"/>
        <w:jc w:val="both"/>
      </w:pPr>
      <w:r>
        <w:rPr>
          <w:rFonts w:ascii="Times New Roman" w:cs="Times New Roman" w:eastAsia="Times New Roman" w:hAnsi="Times New Roman"/>
          <w:sz w:val="24"/>
          <w:szCs w:val="24"/>
        </w:rPr>
        <w:t xml:space="preserve">This paper takes a close look at those strategies. Its central question is: how has Google's approach to attracting, developing, and retaining talent contributed to its market leadership and culture of innovation, and what does this mean for our understanding of the relationship between human resource management and organisational performance? To answer this question, the paper reviews relevant academic literature on talent management and employee engagement, examines Google's specific HR practices through the lens of that literature, and draws out the implications for both theory and practice.</w:t>
      </w:r>
    </w:p>
    <w:p>
      <w:pPr>
        <w:spacing w:line="480" w:before="0" w:after="160"/>
        <w:jc w:val="both"/>
      </w:pPr>
      <w:r>
        <w:rPr>
          <w:rFonts w:ascii="Times New Roman" w:cs="Times New Roman" w:eastAsia="Times New Roman" w:hAnsi="Times New Roman"/>
          <w:sz w:val="24"/>
          <w:szCs w:val="24"/>
        </w:rPr>
        <w:t xml:space="preserve">The paper is structured as follows. Section 2 reviews the key academic literature on talent management, employee engagement, and their relationship to organisational performance. Section 3 describes the methodology adopted for this study. Section 4 presents the findings, organised around three key dimensions of Google's HR strategy: talent acquisition, employee development, and retention. Section 5 discusses the implications of these findings, including the challenges of applying Google's model in different contexts. Section 6 concludes with a summary of key insights and recommendations for HR practitioners.</w:t>
      </w:r>
    </w:p>
    <w:p>
      <w:r>
        <w:br w:type="page"/>
      </w:r>
    </w:p>
    <w:p>
      <w:pPr>
        <w:pStyle w:val="Heading1"/>
        <w:spacing w:before="400" w:after="200"/>
      </w:pPr>
      <w:r>
        <w:rPr>
          <w:rFonts w:ascii="Times New Roman" w:cs="Times New Roman" w:eastAsia="Times New Roman" w:hAnsi="Times New Roman"/>
          <w:b/>
          <w:bCs/>
          <w:color w:val="1F3864"/>
          <w:sz w:val="28"/>
          <w:szCs w:val="28"/>
        </w:rPr>
        <w:t xml:space="preserve">2. Literature Review</w:t>
      </w:r>
    </w:p>
    <w:p>
      <w:pPr>
        <w:spacing w:line="480" w:before="0" w:after="160"/>
        <w:jc w:val="both"/>
      </w:pPr>
      <w:r>
        <w:rPr>
          <w:rFonts w:ascii="Times New Roman" w:cs="Times New Roman" w:eastAsia="Times New Roman" w:hAnsi="Times New Roman"/>
          <w:sz w:val="24"/>
          <w:szCs w:val="24"/>
        </w:rPr>
        <w:t xml:space="preserve">The academic literature on talent management has grown considerably since the term was first popularised by McKinsey consultants in the late 1990s, who described what they called 'the war for talent' — the intensifying competition among organisations for a limited pool of highly skilled workers (Michaels, Handfield-Jones, &amp; Axelrod, 2001). While the 'war for talent' framing has attracted some criticism for its zero-sum assumptions, it catalysed a significant shift in how organisations and researchers think about the strategic importance of human capital.</w:t>
      </w:r>
    </w:p>
    <w:p>
      <w:pPr>
        <w:spacing w:line="480" w:before="0" w:after="160"/>
        <w:jc w:val="both"/>
      </w:pPr>
      <w:r>
        <w:rPr>
          <w:rFonts w:ascii="Times New Roman" w:cs="Times New Roman" w:eastAsia="Times New Roman" w:hAnsi="Times New Roman"/>
          <w:sz w:val="24"/>
          <w:szCs w:val="24"/>
        </w:rPr>
        <w:t xml:space="preserve">Collings and Mellahi (2009) offer one of the most widely cited academic definitions of strategic talent management, describing it as activities and processes that involve the systematic identification of key positions which differentially contribute to the organisation's sustainable competitive advantage, the development of a talent pool of high-potential and high-performing incumbents to fill these roles, and the development of a differentiated human resource architecture to facilitate filling these positions with competent incumbents and to ensure their continued commitment to the organisation. This definition is notable for its emphasis on selectivity and differentiation — the idea that not all roles are equally important and that talent management resources should be concentrated where they create the most strategic value.</w:t>
      </w:r>
    </w:p>
    <w:p>
      <w:pPr>
        <w:spacing w:line="480" w:before="0" w:after="160"/>
        <w:jc w:val="both"/>
      </w:pPr>
      <w:r>
        <w:rPr>
          <w:rFonts w:ascii="Times New Roman" w:cs="Times New Roman" w:eastAsia="Times New Roman" w:hAnsi="Times New Roman"/>
          <w:sz w:val="24"/>
          <w:szCs w:val="24"/>
        </w:rPr>
        <w:t xml:space="preserve">The concept of employee engagement has been a central preoccupation of both academic researchers and HR practitioners for the past two decades. Kahn (1990) is widely credited with introducing the concept, describing engagement as the harnessing of organisational members' selves to their work roles — the degree to which employees bring their physical, cognitive, and emotional energy to their work. Subsequent research has consistently found strong positive associations between employee engagement and a wide range of organisational outcomes, including productivity, customer satisfaction, employee retention, and profitability (Harter, Schmidt, &amp; Hayes, 2002).</w:t>
      </w:r>
    </w:p>
    <w:p>
      <w:pPr>
        <w:spacing w:line="480" w:before="0" w:after="160"/>
        <w:jc w:val="both"/>
      </w:pPr>
      <w:r>
        <w:rPr>
          <w:rFonts w:ascii="Times New Roman" w:cs="Times New Roman" w:eastAsia="Times New Roman" w:hAnsi="Times New Roman"/>
          <w:sz w:val="24"/>
          <w:szCs w:val="24"/>
        </w:rPr>
        <w:t xml:space="preserve">Saks (2006) extended Kahn's framework by distinguishing between job engagement (the relationship between an employee and their work) and organisational engagement (the relationship between an employee and their employer), arguing that these two forms of engagement are related but distinct and may be influenced by different antecedents. This distinction is relevant to Google's case, where the company has invested heavily in both the content of work (making roles challenging, meaningful, and autonomy-rich) and the conditions of employment (providing generous benefits, flexible working, and a supportive organisational culture).</w:t>
      </w:r>
    </w:p>
    <w:p>
      <w:pPr>
        <w:spacing w:line="480" w:before="0" w:after="160"/>
        <w:jc w:val="both"/>
      </w:pPr>
      <w:r>
        <w:rPr>
          <w:rFonts w:ascii="Times New Roman" w:cs="Times New Roman" w:eastAsia="Times New Roman" w:hAnsi="Times New Roman"/>
          <w:sz w:val="24"/>
          <w:szCs w:val="24"/>
        </w:rPr>
        <w:t xml:space="preserve">The resource-based view of the firm, as developed by Barney (1991), provides a theoretical foundation for understanding why talent management matters strategically. Barney argued that sustainable competitive advantage arises from resources that are valuable, rare, inimitable, and non-substitutable — the so-called VRIN criteria. Skilled, motivated, and well-led human capital meets all four of these criteria: it is clearly valuable, the supply of exceptional talent is inherently limited, the organisational cultures and management practices that develop and retain talent are extremely difficult to copy, and human capabilities cannot be substituted by technology in many knowledge-intensive roles. From this perspective, talent management is not simply an HR function; it is a core strategic capability.</w:t>
      </w:r>
    </w:p>
    <w:p>
      <w:pPr>
        <w:spacing w:line="480" w:before="0" w:after="160"/>
        <w:jc w:val="both"/>
      </w:pPr>
      <w:r>
        <w:rPr>
          <w:rFonts w:ascii="Times New Roman" w:cs="Times New Roman" w:eastAsia="Times New Roman" w:hAnsi="Times New Roman"/>
          <w:sz w:val="24"/>
          <w:szCs w:val="24"/>
        </w:rPr>
        <w:t xml:space="preserve">The role of organisational culture in supporting talent management and employee engagement has been extensively studied. Schein (2010) describes organisational culture as the pattern of shared basic assumptions that a group has learned as it solved its problems of external adaptation and internal integration, which has worked well enough to be considered valid and therefore to be taught to new members as the correct way to perceive, think, and feel in relation to those problems. For organisations like Google, culture is not a passive backdrop to talent management; it is an active force that shapes who is attracted to the organisation, how people behave once they join, and whether they choose to stay.</w:t>
      </w:r>
    </w:p>
    <w:p>
      <w:pPr>
        <w:spacing w:line="480" w:before="0" w:after="160"/>
        <w:jc w:val="both"/>
      </w:pPr>
      <w:r>
        <w:rPr>
          <w:rFonts w:ascii="Times New Roman" w:cs="Times New Roman" w:eastAsia="Times New Roman" w:hAnsi="Times New Roman"/>
          <w:sz w:val="24"/>
          <w:szCs w:val="24"/>
        </w:rPr>
        <w:t xml:space="preserve">More recently, the concept of psychological safety — defined by Edmondson (1999) as a shared belief held by members of a team that the team is safe for interpersonal risk-taking — has attracted significant attention as a driver of both employee engagement and team performance. Google's own internal research, conducted as part of the widely publicised Project Aristotle, identified psychological safety as the single most important factor distinguishing high-performing teams from their less effective counterparts (Duhigg, 2016). This finding placed Google's HR practices firmly at the centre of contemporary debates about what makes teams effective.</w:t>
      </w:r>
    </w:p>
    <w:p>
      <w:pPr>
        <w:spacing w:line="480" w:before="0" w:after="160"/>
        <w:jc w:val="both"/>
      </w:pPr>
      <w:r>
        <w:rPr>
          <w:rFonts w:ascii="Times New Roman" w:cs="Times New Roman" w:eastAsia="Times New Roman" w:hAnsi="Times New Roman"/>
          <w:sz w:val="24"/>
          <w:szCs w:val="24"/>
        </w:rPr>
        <w:t xml:space="preserve">People analytics — the use of data and statistical methods to inform HR decisions — has emerged as an increasingly important theme in the talent management literature. Tursunbayeva, Di Lauro, and Pagliari (2018) describe people analytics as the application of advanced data analysis techniques to human resource data with the purpose of improving organisational decision-making. Google has been a pioneer in this field, applying analytical rigour to hiring, performance management, and people development in ways that have challenged many long-held assumptions about effective HR practice.</w:t>
      </w:r>
    </w:p>
    <w:p>
      <w:r>
        <w:br w:type="page"/>
      </w:r>
    </w:p>
    <w:p>
      <w:pPr>
        <w:pStyle w:val="Heading1"/>
        <w:spacing w:before="400" w:after="200"/>
      </w:pPr>
      <w:r>
        <w:rPr>
          <w:rFonts w:ascii="Times New Roman" w:cs="Times New Roman" w:eastAsia="Times New Roman" w:hAnsi="Times New Roman"/>
          <w:b/>
          <w:bCs/>
          <w:color w:val="1F3864"/>
          <w:sz w:val="28"/>
          <w:szCs w:val="28"/>
        </w:rPr>
        <w:t xml:space="preserve">3. Methodology</w:t>
      </w:r>
    </w:p>
    <w:p>
      <w:pPr>
        <w:spacing w:line="480" w:before="0" w:after="160"/>
        <w:jc w:val="both"/>
      </w:pPr>
      <w:r>
        <w:rPr>
          <w:rFonts w:ascii="Times New Roman" w:cs="Times New Roman" w:eastAsia="Times New Roman" w:hAnsi="Times New Roman"/>
          <w:sz w:val="24"/>
          <w:szCs w:val="24"/>
        </w:rPr>
        <w:t xml:space="preserve">This paper adopts a qualitative case study methodology, focusing on Google (Alphabet Inc.) as the primary unit of analysis. The case study approach is well-suited to research questions that ask 'how' and 'why' about complex, real-world phenomena within their natural context (Yin, 2018). Google represents what Eisenhardt (1989) would describe as a 'revelatory case' — an organisation whose HR practices have been extensively documented and discussed, and which offers rich insights into the relationship between talent management and organisational performance that would be difficult to access through large-scale survey research alone.</w:t>
      </w:r>
    </w:p>
    <w:p>
      <w:pPr>
        <w:spacing w:line="480" w:before="0" w:after="160"/>
        <w:jc w:val="both"/>
      </w:pPr>
      <w:r>
        <w:rPr>
          <w:rFonts w:ascii="Times New Roman" w:cs="Times New Roman" w:eastAsia="Times New Roman" w:hAnsi="Times New Roman"/>
          <w:sz w:val="24"/>
          <w:szCs w:val="24"/>
        </w:rPr>
        <w:t xml:space="preserve">The data sources for this study are exclusively secondary, drawn from a combination of peer-reviewed academic literature, reputable industry reports, journalistic investigations, and publicly available organisational documents. Academic sources were accessed through Google Scholar, Emerald Insight, and JSTOR. Industry sources include reports from McKinsey &amp; Company, Gallup, LinkedIn Talent Solutions, and Glassdoor. Organisational sources include Google's own published research, including the findings of Project Oxygen and Project Aristotle, and public statements from senior HR leaders within the company.</w:t>
      </w:r>
    </w:p>
    <w:p>
      <w:pPr>
        <w:spacing w:line="480" w:before="0" w:after="160"/>
        <w:jc w:val="both"/>
      </w:pPr>
      <w:r>
        <w:rPr>
          <w:rFonts w:ascii="Times New Roman" w:cs="Times New Roman" w:eastAsia="Times New Roman" w:hAnsi="Times New Roman"/>
          <w:sz w:val="24"/>
          <w:szCs w:val="24"/>
        </w:rPr>
        <w:t xml:space="preserve">The analysis follows an inductive, thematic approach. The findings are organised around three key dimensions of Google's talent management strategy — acquisition, development, and retention — which emerged from the literature review as the most commonly cited components of comprehensive talent management frameworks (Collings &amp; Mellahi, 2009; Sparrow &amp; Makram, 2015). Within each dimension, the analysis draws on both theoretical frameworks from the academic literature and specific evidence from Google's documented practices.</w:t>
      </w:r>
    </w:p>
    <w:p>
      <w:pPr>
        <w:spacing w:line="480" w:before="0" w:after="160"/>
        <w:jc w:val="both"/>
      </w:pPr>
      <w:r>
        <w:rPr>
          <w:rFonts w:ascii="Times New Roman" w:cs="Times New Roman" w:eastAsia="Times New Roman" w:hAnsi="Times New Roman"/>
          <w:sz w:val="24"/>
          <w:szCs w:val="24"/>
        </w:rPr>
        <w:t xml:space="preserve">This methodology has several limitations. Reliance on secondary sources means that the analysis is constrained by what has been publicly disclosed about Google's HR practices; internal processes that have not been documented or publicised cannot be examined. Additionally, as a case study of a single organisation, the findings may not be generalisable to organisations operating in different industries, geographies, or at different scales. These limitations are acknowledged throughout the discussion and are reflected in the care taken not to over-generalise from Google's experience.</w:t>
      </w:r>
    </w:p>
    <w:p>
      <w:r>
        <w:br w:type="page"/>
      </w:r>
    </w:p>
    <w:p>
      <w:pPr>
        <w:pStyle w:val="Heading1"/>
        <w:spacing w:before="400" w:after="200"/>
      </w:pPr>
      <w:r>
        <w:rPr>
          <w:rFonts w:ascii="Times New Roman" w:cs="Times New Roman" w:eastAsia="Times New Roman" w:hAnsi="Times New Roman"/>
          <w:b/>
          <w:bCs/>
          <w:color w:val="1F3864"/>
          <w:sz w:val="28"/>
          <w:szCs w:val="28"/>
        </w:rPr>
        <w:t xml:space="preserve">4. Findings</w:t>
      </w:r>
    </w:p>
    <w:p>
      <w:pPr>
        <w:pStyle w:val="Heading2"/>
        <w:spacing w:before="300" w:after="160"/>
      </w:pPr>
      <w:r>
        <w:rPr>
          <w:rFonts w:ascii="Times New Roman" w:cs="Times New Roman" w:eastAsia="Times New Roman" w:hAnsi="Times New Roman"/>
          <w:b/>
          <w:bCs/>
          <w:color w:val="1F3864"/>
          <w:sz w:val="26"/>
          <w:szCs w:val="26"/>
        </w:rPr>
        <w:t xml:space="preserve">4.1 Google's Talent Acquisition Strategy</w:t>
      </w:r>
    </w:p>
    <w:p>
      <w:pPr>
        <w:spacing w:line="480" w:before="0" w:after="160"/>
        <w:jc w:val="both"/>
      </w:pPr>
      <w:r>
        <w:rPr>
          <w:rFonts w:ascii="Times New Roman" w:cs="Times New Roman" w:eastAsia="Times New Roman" w:hAnsi="Times New Roman"/>
          <w:sz w:val="24"/>
          <w:szCs w:val="24"/>
        </w:rPr>
        <w:t xml:space="preserve">Google receives more than three million job applications per year — a volume that reflects both the strength of its employer brand and the highly competitive nature of the technology labour market. Managing this volume of applications while maintaining the quality and rigour of the hiring process is one of the central challenges of Google's talent acquisition function, and the company's approach to meeting this challenge has attracted considerable attention from HR practitioners and researchers alike.</w:t>
      </w:r>
    </w:p>
    <w:p>
      <w:pPr>
        <w:spacing w:line="480" w:before="0" w:after="160"/>
        <w:jc w:val="both"/>
      </w:pPr>
      <w:r>
        <w:rPr>
          <w:rFonts w:ascii="Times New Roman" w:cs="Times New Roman" w:eastAsia="Times New Roman" w:hAnsi="Times New Roman"/>
          <w:sz w:val="24"/>
          <w:szCs w:val="24"/>
        </w:rPr>
        <w:t xml:space="preserve">At the heart of Google's hiring philosophy is the belief that the quality of the people you hire is the single most important determinant of organisational success. Former SVP of People Operations Laszlo Bock articulated this view clearly in his widely read book Work Rules! (2015), arguing that hiring is the most important people activity in any organisation and that most companies invest far too little time and analytical rigour in getting it right. Google, by contrast, has invested heavily in developing what it calls 'structured hiring' — a systematic, data-driven approach to selection that is designed to minimise the influence of unconscious bias and maximise predictive validity.</w:t>
      </w:r>
    </w:p>
    <w:p>
      <w:pPr>
        <w:spacing w:line="480" w:before="0" w:after="160"/>
        <w:jc w:val="both"/>
      </w:pPr>
      <w:r>
        <w:rPr>
          <w:rFonts w:ascii="Times New Roman" w:cs="Times New Roman" w:eastAsia="Times New Roman" w:hAnsi="Times New Roman"/>
          <w:sz w:val="24"/>
          <w:szCs w:val="24"/>
        </w:rPr>
        <w:t xml:space="preserve">Central to Google's structured hiring approach is the use of behavioural and situational interview techniques, supplemented by work sample tests and cognitive ability assessments. Research by Schmidt and Hunter (1998), whose meta-analysis of 85 years of research on personnel selection remains one of the most cited studies in the HR literature, found that cognitive ability tests and structured interviews are among the most valid predictors of job performance — a finding that directly informed Google's hiring methodology. Google's own internal analysis found that unstructured interviews, where interviewers ask different questions to different candidates and rely on gut instinct to evaluate responses, are no better than random at predicting whether a candidate will succeed in the role (Bock, 2015).</w:t>
      </w:r>
    </w:p>
    <w:p>
      <w:pPr>
        <w:spacing w:line="480" w:before="0" w:after="160"/>
        <w:jc w:val="both"/>
      </w:pPr>
      <w:r>
        <w:rPr>
          <w:rFonts w:ascii="Times New Roman" w:cs="Times New Roman" w:eastAsia="Times New Roman" w:hAnsi="Times New Roman"/>
          <w:sz w:val="24"/>
          <w:szCs w:val="24"/>
        </w:rPr>
        <w:t xml:space="preserve">Google also places significant emphasis on the concept of 'Googleyness' — a loosely defined but consistently applied set of cultural attributes that hiring managers look for in candidates. These include intellectual curiosity, comfort with ambiguity, a collaborative orientation, and what Google calls 'emergent leadership' — the ability to step up and take charge when the situation demands it, and to step back and follow when that is more appropriate. Critically, Google does not treat cultural fit as a licence to hire people who look or think like existing employees; the company has invested in training hiring managers to distinguish between genuine cultural alignment and mere demographic or cognitive similarity.</w:t>
      </w:r>
    </w:p>
    <w:p>
      <w:pPr>
        <w:spacing w:line="480" w:before="0" w:after="160"/>
        <w:jc w:val="both"/>
      </w:pPr>
      <w:r>
        <w:rPr>
          <w:rFonts w:ascii="Times New Roman" w:cs="Times New Roman" w:eastAsia="Times New Roman" w:hAnsi="Times New Roman"/>
          <w:sz w:val="24"/>
          <w:szCs w:val="24"/>
        </w:rPr>
        <w:t xml:space="preserve">Google's employer branding strategy plays an important role in talent acquisition. The company invests heavily in communicating its culture, values, and employee experience to the external labour market, through channels including its careers website, social media presence, employee review platforms like Glassdoor, and high-profile publications like Work Rules!. This investment in employer branding serves both to attract high-quality candidates and to pre-screen applicants — people who are not aligned with Google's culture and values are less likely to apply in the first place, reducing the volume of unsuitable applications the company has to process.</w:t>
      </w:r>
    </w:p>
    <w:p>
      <w:pPr>
        <w:pStyle w:val="Heading2"/>
        <w:spacing w:before="300" w:after="160"/>
      </w:pPr>
      <w:r>
        <w:rPr>
          <w:rFonts w:ascii="Times New Roman" w:cs="Times New Roman" w:eastAsia="Times New Roman" w:hAnsi="Times New Roman"/>
          <w:b/>
          <w:bCs/>
          <w:color w:val="1F3864"/>
          <w:sz w:val="26"/>
          <w:szCs w:val="26"/>
        </w:rPr>
        <w:t xml:space="preserve">4.2 Employee Development and Learning Culture</w:t>
      </w:r>
    </w:p>
    <w:p>
      <w:pPr>
        <w:spacing w:line="480" w:before="0" w:after="160"/>
        <w:jc w:val="both"/>
      </w:pPr>
      <w:r>
        <w:rPr>
          <w:rFonts w:ascii="Times New Roman" w:cs="Times New Roman" w:eastAsia="Times New Roman" w:hAnsi="Times New Roman"/>
          <w:sz w:val="24"/>
          <w:szCs w:val="24"/>
        </w:rPr>
        <w:t xml:space="preserve">Google's approach to employee development is rooted in the belief that people perform best when they are given challenging work, the autonomy to approach it in their own way, and the resources and support to develop their capabilities continuously. This philosophy manifests in a wide range of specific practices, from the famous '20% time' policy — which encourages employees to spend one day a week working on projects of their own choosing — to a sophisticated internal learning and development infrastructure that includes Google-to-Google (g2g) peer teaching, formal training programmes, and an extensive online learning library.</w:t>
      </w:r>
    </w:p>
    <w:p>
      <w:pPr>
        <w:spacing w:line="480" w:before="0" w:after="160"/>
        <w:jc w:val="both"/>
      </w:pPr>
      <w:r>
        <w:rPr>
          <w:rFonts w:ascii="Times New Roman" w:cs="Times New Roman" w:eastAsia="Times New Roman" w:hAnsi="Times New Roman"/>
          <w:sz w:val="24"/>
          <w:szCs w:val="24"/>
        </w:rPr>
        <w:t xml:space="preserve">The 20% time policy, while less rigidly enforced today than in the company's early years, has become one of the most widely discussed examples of innovation-oriented people management in the business literature. Products including Gmail, Google News, and AdSense are reported to have originated as 20% time projects, suggesting that giving employees the freedom and resources to explore ideas outside their formal job descriptions can generate significant commercial value (Garvin, 2013). From a talent management perspective, the policy also serves an important engagement function: it signals to employees that the company trusts and values their judgment, and it provides an outlet for intellectual curiosity that might otherwise go unsatisfied in a purely task-focused work environment.</w:t>
      </w:r>
    </w:p>
    <w:p>
      <w:pPr>
        <w:spacing w:line="480" w:before="0" w:after="160"/>
        <w:jc w:val="both"/>
      </w:pPr>
      <w:r>
        <w:rPr>
          <w:rFonts w:ascii="Times New Roman" w:cs="Times New Roman" w:eastAsia="Times New Roman" w:hAnsi="Times New Roman"/>
          <w:sz w:val="24"/>
          <w:szCs w:val="24"/>
        </w:rPr>
        <w:t xml:space="preserve">Project Oxygen, Google's landmark internal research initiative into management effectiveness, illustrates the analytical rigour with which the company approaches employee development. Launched in 2008, the project aimed to answer a question that had been debated within Google since its early days: do managers actually matter? Using performance review data, employee surveys, and interviews, Google's People Analytics team identified eight key behaviours that distinguished the company's most effective managers from their less effective peers. The results — which emphasised coaching, listening, and empowering employees over technical expertise and hierarchical authority — were then translated into targeted development programmes for managers across the organisation (Garvin, 2013). A follow-up study found that teams led by managers who had improved their scores on the eight key behaviours showed measurable improvements in turnover, satisfaction, and performance.</w:t>
      </w:r>
    </w:p>
    <w:p>
      <w:pPr>
        <w:spacing w:line="480" w:before="0" w:after="160"/>
        <w:jc w:val="both"/>
      </w:pPr>
      <w:r>
        <w:rPr>
          <w:rFonts w:ascii="Times New Roman" w:cs="Times New Roman" w:eastAsia="Times New Roman" w:hAnsi="Times New Roman"/>
          <w:sz w:val="24"/>
          <w:szCs w:val="24"/>
        </w:rPr>
        <w:t xml:space="preserve">Google's learning culture is supported by structural features of the organisation that go beyond specific programmes and initiatives. The company's flat organisational structure reduces the bureaucratic barriers to knowledge sharing and cross-functional collaboration. Its open office environments and digital collaboration tools create physical and virtual spaces where ideas can flow freely. And its performance management system — which has evolved significantly over the years, moving away from forced ranking towards a more developmental, strengths-based approach — sends a clear signal that learning and growth are valued as much as short-term output.</w:t>
      </w:r>
    </w:p>
    <w:p>
      <w:pPr>
        <w:spacing w:line="480" w:before="0" w:after="160"/>
        <w:jc w:val="both"/>
      </w:pPr>
      <w:r>
        <w:rPr>
          <w:rFonts w:ascii="Times New Roman" w:cs="Times New Roman" w:eastAsia="Times New Roman" w:hAnsi="Times New Roman"/>
          <w:sz w:val="24"/>
          <w:szCs w:val="24"/>
        </w:rPr>
        <w:t xml:space="preserve">The Objectives and Key Results (OKR) framework, which Google adopted from Intel in its early years and has used consistently since, plays an important role in connecting individual development to organisational strategy. OKRs require employees at every level of the organisation to set ambitious, measurable goals that are explicitly linked to the company's broader priorities. The transparency of the OKR system — goals are visible across the organisation — creates accountability while also fostering a sense of shared purpose and direction. Research by Locke and Latham (2002) on goal-setting theory supports the effectiveness of this approach, demonstrating that specific, challenging goals consistently produce higher performance than vague or easy ones.</w:t>
      </w:r>
    </w:p>
    <w:p>
      <w:pPr>
        <w:pStyle w:val="Heading2"/>
        <w:spacing w:before="300" w:after="160"/>
      </w:pPr>
      <w:r>
        <w:rPr>
          <w:rFonts w:ascii="Times New Roman" w:cs="Times New Roman" w:eastAsia="Times New Roman" w:hAnsi="Times New Roman"/>
          <w:b/>
          <w:bCs/>
          <w:color w:val="1F3864"/>
          <w:sz w:val="26"/>
          <w:szCs w:val="26"/>
        </w:rPr>
        <w:t xml:space="preserve">4.3 Retention Strategies and Employee Engagement</w:t>
      </w:r>
    </w:p>
    <w:p>
      <w:pPr>
        <w:spacing w:line="480" w:before="0" w:after="160"/>
        <w:jc w:val="both"/>
      </w:pPr>
      <w:r>
        <w:rPr>
          <w:rFonts w:ascii="Times New Roman" w:cs="Times New Roman" w:eastAsia="Times New Roman" w:hAnsi="Times New Roman"/>
          <w:sz w:val="24"/>
          <w:szCs w:val="24"/>
        </w:rPr>
        <w:t xml:space="preserve">Retaining talented employees in a competitive labour market is one of the most persistent challenges facing technology companies, and Google is no exception. Despite its strong employer brand and generous compensation packages, the company faces significant competition for talent from other technology giants, well-funded startups, and an increasingly vibrant freelance economy. Its retention strategies reflect a sophisticated understanding of the multiple factors that influence an employee's decision to stay or leave.</w:t>
      </w:r>
    </w:p>
    <w:p>
      <w:pPr>
        <w:spacing w:line="480" w:before="0" w:after="160"/>
        <w:jc w:val="both"/>
      </w:pPr>
      <w:r>
        <w:rPr>
          <w:rFonts w:ascii="Times New Roman" w:cs="Times New Roman" w:eastAsia="Times New Roman" w:hAnsi="Times New Roman"/>
          <w:sz w:val="24"/>
          <w:szCs w:val="24"/>
        </w:rPr>
        <w:t xml:space="preserve">Compensation and benefits are the most visible component of Google's retention strategy. The company offers salaries and equity packages that are consistently among the highest in the technology industry, supplemented by an extraordinary array of non-financial benefits: on-site meals, fitness facilities, healthcare, childcare support, extended parental leave, and opportunities for remote working. While it would be simplistic to attribute Google's retention success primarily to these material benefits — research consistently shows that compensation beyond a certain threshold has diminishing returns on engagement and retention (Pink, 2009) — they play an important role in signalling the company's investment in employee wellbeing and in reducing the financial incentives for talented employees to seek opportunities elsewhere.</w:t>
      </w:r>
    </w:p>
    <w:p>
      <w:pPr>
        <w:spacing w:line="480" w:before="0" w:after="160"/>
        <w:jc w:val="both"/>
      </w:pPr>
      <w:r>
        <w:rPr>
          <w:rFonts w:ascii="Times New Roman" w:cs="Times New Roman" w:eastAsia="Times New Roman" w:hAnsi="Times New Roman"/>
          <w:sz w:val="24"/>
          <w:szCs w:val="24"/>
        </w:rPr>
        <w:t xml:space="preserve">More important than benefits, according to Google's own research, are the quality of relationships and the nature of the work itself. The findings of Project Aristotle, Google's study of team effectiveness, identified psychological safety as the foundation of high-performing teams — the sense that team members can take risks, ask questions, and admit mistakes without fear of humiliation or punishment (Duhigg, 2016). Creating the conditions for psychological safety requires active investment from managers and leaders: consistent behaviour that signals openness and respect, explicit modelling of vulnerability and learning, and swift action when interpersonal dynamics become toxic or exclusionary.</w:t>
      </w:r>
    </w:p>
    <w:p>
      <w:r>
        <w:br w:type="page"/>
      </w:r>
    </w:p>
    <w:p>
      <w:pPr>
        <w:pStyle w:val="Heading1"/>
        <w:spacing w:before="400" w:after="200"/>
      </w:pPr>
      <w:r>
        <w:rPr>
          <w:rFonts w:ascii="Times New Roman" w:cs="Times New Roman" w:eastAsia="Times New Roman" w:hAnsi="Times New Roman"/>
          <w:b/>
          <w:bCs/>
          <w:color w:val="1F3864"/>
          <w:sz w:val="28"/>
          <w:szCs w:val="28"/>
        </w:rPr>
        <w:t xml:space="preserve">5. Discussion</w:t>
      </w:r>
    </w:p>
    <w:p>
      <w:pPr>
        <w:spacing w:line="480" w:before="0" w:after="160"/>
        <w:jc w:val="both"/>
      </w:pPr>
      <w:r>
        <w:rPr>
          <w:rFonts w:ascii="Times New Roman" w:cs="Times New Roman" w:eastAsia="Times New Roman" w:hAnsi="Times New Roman"/>
          <w:sz w:val="24"/>
          <w:szCs w:val="24"/>
        </w:rPr>
        <w:t xml:space="preserve">The evidence reviewed in this paper paints a compelling picture of an organisation that has made people management a genuine strategic priority and reaped significant rewards as a result. Google's talent management practices — rigorous, data-driven hiring; a rich developmental ecosystem; and a retention strategy anchored in psychological safety, meaningful work, and employee voice — are not simply sophisticated HR techniques. They represent a coherent philosophy of how organisations can create the conditions in which talented people do their best work.</w:t>
      </w:r>
    </w:p>
    <w:p>
      <w:pPr>
        <w:spacing w:line="480" w:before="0" w:after="160"/>
        <w:jc w:val="both"/>
      </w:pPr>
      <w:r>
        <w:rPr>
          <w:rFonts w:ascii="Times New Roman" w:cs="Times New Roman" w:eastAsia="Times New Roman" w:hAnsi="Times New Roman"/>
          <w:sz w:val="24"/>
          <w:szCs w:val="24"/>
        </w:rPr>
        <w:t xml:space="preserve">The theoretical frameworks reviewed in the literature section help to explain why Google's approach is effective. From the perspective of the resource-based view (Barney, 1991), Google's human capital represents a genuinely rare and inimitable source of competitive advantage. The company's ability to attract exceptional talent, develop their capabilities systematically, and retain them in an environment that consistently stimulates their best work is not easily replicated. Competitors can copy individual practices — matching salaries, offering free meals, adopting OKRs — but they cannot easily replicate the organisational culture, the management systems, and the accumulated knowledge that make Google's talent management machine function as an integrated whole.</w:t>
      </w:r>
    </w:p>
    <w:p>
      <w:pPr>
        <w:spacing w:line="480" w:before="0" w:after="160"/>
        <w:jc w:val="both"/>
      </w:pPr>
      <w:r>
        <w:rPr>
          <w:rFonts w:ascii="Times New Roman" w:cs="Times New Roman" w:eastAsia="Times New Roman" w:hAnsi="Times New Roman"/>
          <w:sz w:val="24"/>
          <w:szCs w:val="24"/>
        </w:rPr>
        <w:t xml:space="preserve">The engagement literature also helps to explain Google's performance outcomes. Harter et al.'s (2002) meta-analysis found that employee engagement is associated with significantly higher levels of customer satisfaction, productivity, and profitability, and lower levels of turnover and absenteeism. Google's consistently high engagement scores — which it tracks rigorously through its annual Googlegeist survey — are likely a significant contributor to the company's financial performance, though isolating the causal contribution of HR practices from other factors such as market position and technological leadership is methodologically challenging.</w:t>
      </w:r>
    </w:p>
    <w:p>
      <w:pPr>
        <w:spacing w:line="480" w:before="0" w:after="160"/>
        <w:jc w:val="both"/>
      </w:pPr>
      <w:r>
        <w:rPr>
          <w:rFonts w:ascii="Times New Roman" w:cs="Times New Roman" w:eastAsia="Times New Roman" w:hAnsi="Times New Roman"/>
          <w:sz w:val="24"/>
          <w:szCs w:val="24"/>
        </w:rPr>
        <w:t xml:space="preserve">It is important, however, to subject Google's talent management model to critical scrutiny rather than simply celebrating it. Several limitations and tensions deserve attention. First, Google's model is extremely resource-intensive. The generous benefits, the investment in people analytics, the time devoted to hiring rigour — all of these require significant financial investment that is available to Google precisely because of its extraordinary profitability. For most organisations, and certainly for small and medium-sized enterprises, many of these practices would simply not be financially viable. The challenge for HR practitioners in less well-resourced contexts is to identify which elements of Google's approach are most generative of value and can be implemented at lower cost.</w:t>
      </w:r>
    </w:p>
    <w:p>
      <w:pPr>
        <w:spacing w:line="480" w:before="0" w:after="160"/>
        <w:jc w:val="both"/>
      </w:pPr>
      <w:r>
        <w:rPr>
          <w:rFonts w:ascii="Times New Roman" w:cs="Times New Roman" w:eastAsia="Times New Roman" w:hAnsi="Times New Roman"/>
          <w:sz w:val="24"/>
          <w:szCs w:val="24"/>
        </w:rPr>
        <w:t xml:space="preserve">Second, there are legitimate questions about the extent to which Google's culture — despite the company's stated commitment to diversity and inclusion — is genuinely accessible to all employees. The company has faced well-publicised criticism for gender disparities in pay and promotion, for a culture that has at times been described as unwelcoming to women and underrepresented minorities, and for the treatment of contract workers who do not receive the same benefits and protections as full-time employees. These issues suggest that the reality of working at Google is more complicated than the employer brand narrative implies, and they raise important questions about the relationship between talent management strategy and organisational equity.</w:t>
      </w:r>
    </w:p>
    <w:p>
      <w:pPr>
        <w:spacing w:line="480" w:before="0" w:after="160"/>
        <w:jc w:val="both"/>
      </w:pPr>
      <w:r>
        <w:rPr>
          <w:rFonts w:ascii="Times New Roman" w:cs="Times New Roman" w:eastAsia="Times New Roman" w:hAnsi="Times New Roman"/>
          <w:sz w:val="24"/>
          <w:szCs w:val="24"/>
        </w:rPr>
        <w:t xml:space="preserve">Third, the generalisability of Google's model to different cultural contexts deserves consideration. Google's HR practices were developed primarily within a North American cultural context, where values such as individual autonomy, meritocracy, and direct communication are widely shared. In cultural contexts where different values prevail — where hierarchy is more respected, where collective harmony takes precedence over individual expression, or where work-life boundaries are drawn differently — some of Google's practices may need to be significantly adapted to be effective.</w:t>
      </w:r>
    </w:p>
    <w:p>
      <w:pPr>
        <w:spacing w:line="480" w:before="0" w:after="160"/>
        <w:jc w:val="both"/>
      </w:pPr>
      <w:r>
        <w:rPr>
          <w:rFonts w:ascii="Times New Roman" w:cs="Times New Roman" w:eastAsia="Times New Roman" w:hAnsi="Times New Roman"/>
          <w:sz w:val="24"/>
          <w:szCs w:val="24"/>
        </w:rPr>
        <w:t xml:space="preserve">Despite these limitations, the broad lessons of Google's talent management experience are relevant to organisations of all types and sizes. The importance of treating hiring as a strategic priority rather than an administrative function; the value of investing in managerial capability as a driver of team performance; the power of psychological safety as a foundation for engagement and innovation; the need for transparency and employee voice as components of a genuinely respectful workplace culture — these insights transcend the specific context of a trillion-dollar technology company and speak to fundamental truths about how human beings perform at their best.</w:t>
      </w:r>
    </w:p>
    <w:p>
      <w:pPr>
        <w:spacing w:line="480" w:before="0" w:after="160"/>
        <w:jc w:val="both"/>
      </w:pPr>
      <w:r>
        <w:rPr>
          <w:rFonts w:ascii="Times New Roman" w:cs="Times New Roman" w:eastAsia="Times New Roman" w:hAnsi="Times New Roman"/>
          <w:sz w:val="24"/>
          <w:szCs w:val="24"/>
        </w:rPr>
        <w:t xml:space="preserve">The role of people analytics in Google's HR strategy also offers important lessons for the broader HR profession. Google's willingness to question conventional HR wisdom — to test assumptions about what predicts hiring success, what drives managerial effectiveness, and what keeps talented people engaged — and to act on the evidence rather than tradition has produced insights that have enriched both practice and theory. As people analytics capabilities become more accessible to organisations of all sizes, through cloud-based HR platforms and increasingly sophisticated AI tools, the opportunity to apply similar analytical rigour to talent management decisions is expanding rapidly.</w:t>
      </w:r>
    </w:p>
    <w:p>
      <w:r>
        <w:br w:type="page"/>
      </w:r>
    </w:p>
    <w:p>
      <w:pPr>
        <w:pStyle w:val="Heading1"/>
        <w:spacing w:before="400" w:after="200"/>
      </w:pPr>
      <w:r>
        <w:rPr>
          <w:rFonts w:ascii="Times New Roman" w:cs="Times New Roman" w:eastAsia="Times New Roman" w:hAnsi="Times New Roman"/>
          <w:b/>
          <w:bCs/>
          <w:color w:val="1F3864"/>
          <w:sz w:val="28"/>
          <w:szCs w:val="28"/>
        </w:rPr>
        <w:t xml:space="preserve">6. Conclusion</w:t>
      </w:r>
    </w:p>
    <w:p>
      <w:pPr>
        <w:spacing w:line="480" w:before="0" w:after="160"/>
        <w:jc w:val="both"/>
      </w:pPr>
      <w:r>
        <w:rPr>
          <w:rFonts w:ascii="Times New Roman" w:cs="Times New Roman" w:eastAsia="Times New Roman" w:hAnsi="Times New Roman"/>
          <w:sz w:val="24"/>
          <w:szCs w:val="24"/>
        </w:rPr>
        <w:t xml:space="preserve">This paper has examined Google's talent management and employee engagement strategies through the lens of academic theory and research, arriving at several key conclusions. Google's approach to people management is best understood not as a collection of individual HR practices but as an integrated system in which hiring, development, and retention reinforce each other and collectively create the conditions for sustained innovation and performance.</w:t>
      </w:r>
    </w:p>
    <w:p>
      <w:pPr>
        <w:spacing w:line="480" w:before="0" w:after="160"/>
        <w:jc w:val="both"/>
      </w:pPr>
      <w:r>
        <w:rPr>
          <w:rFonts w:ascii="Times New Roman" w:cs="Times New Roman" w:eastAsia="Times New Roman" w:hAnsi="Times New Roman"/>
          <w:sz w:val="24"/>
          <w:szCs w:val="24"/>
        </w:rPr>
        <w:t xml:space="preserve">The company's hiring practices — characterised by structured interviewing, cognitive ability assessment, and a consistent focus on cultural attributes alongside technical skills — are designed to bring into the organisation people who are not only capable but curious, collaborative, and genuinely motivated by the company's mission. Its development practices — from the 20% time policy to Project Oxygen's manager development programmes to the OKR framework — create the conditions in which those capabilities can grow and be channelled toward the company's strategic priorities. And its retention practices — grounded in psychological safety, meaningful work, transparent communication, and generous material conditions — ensure that talented people remain engaged and committed over time.</w:t>
      </w:r>
    </w:p>
    <w:p>
      <w:pPr>
        <w:spacing w:line="480" w:before="0" w:after="160"/>
        <w:jc w:val="both"/>
      </w:pPr>
      <w:r>
        <w:rPr>
          <w:rFonts w:ascii="Times New Roman" w:cs="Times New Roman" w:eastAsia="Times New Roman" w:hAnsi="Times New Roman"/>
          <w:sz w:val="24"/>
          <w:szCs w:val="24"/>
        </w:rPr>
        <w:t xml:space="preserve">The implications of these findings for HR practitioners are significant. First, talent management should be treated as a strategic function, not an administrative one. The decisions made about who to hire, how to develop people, and how to create the conditions for engagement have direct and measurable consequences for organisational performance. Second, data and evidence should inform these decisions wherever possible. Google's investment in people analytics has produced insights that intuition alone could not have generated, and the growing accessibility of analytical tools means that similar approaches are increasingly available to organisations beyond the technology sector. Third, culture is not a soft concern; it is a strategic asset. The psychological safety, transparency, and trust that characterise Google's working environment are not incidental to the company's performance — they are central to it.</w:t>
      </w:r>
    </w:p>
    <w:p>
      <w:pPr>
        <w:spacing w:line="480" w:before="0" w:after="160"/>
        <w:jc w:val="both"/>
      </w:pPr>
      <w:r>
        <w:rPr>
          <w:rFonts w:ascii="Times New Roman" w:cs="Times New Roman" w:eastAsia="Times New Roman" w:hAnsi="Times New Roman"/>
          <w:sz w:val="24"/>
          <w:szCs w:val="24"/>
        </w:rPr>
        <w:t xml:space="preserve">The challenges and limitations of Google's model are also instructive. Talent management strategies must be financially sustainable, culturally appropriate, and genuinely inclusive to be effective over the long term. Organisations that aspire to emulate Google's success should focus not on copying individual practices but on understanding the underlying principles — respect for people's capabilities and potential, rigour in decision-making, transparency in communication, and a genuine commitment to creating conditions in which people can do their best work — and finding ways to apply those principles in their own unique contexts.</w:t>
      </w:r>
    </w:p>
    <w:p>
      <w:pPr>
        <w:spacing w:line="480" w:before="0" w:after="160"/>
        <w:jc w:val="both"/>
      </w:pPr>
      <w:r>
        <w:rPr>
          <w:rFonts w:ascii="Times New Roman" w:cs="Times New Roman" w:eastAsia="Times New Roman" w:hAnsi="Times New Roman"/>
          <w:sz w:val="24"/>
          <w:szCs w:val="24"/>
        </w:rPr>
        <w:t xml:space="preserve">As the nature of work continues to evolve — shaped by digital transformation, demographic change, and the growing expectations of a new generation of workers who demand purpose, autonomy, and flexibility alongside competitive compensation — the ability to attract, develop, and retain talented people will only become more important as a source of organisational advantage. Google's experience suggests that organisations that get this right will enjoy not just better employee satisfaction scores but better business outcomes across the board. The case for investing seriously in talent management has never been stronger.</w:t>
      </w:r>
    </w:p>
    <w:p>
      <w:r>
        <w:br w:type="page"/>
      </w:r>
    </w:p>
    <w:p>
      <w:pPr>
        <w:pStyle w:val="Heading1"/>
        <w:spacing w:before="400" w:after="200"/>
      </w:pPr>
      <w:r>
        <w:rPr>
          <w:rFonts w:ascii="Times New Roman" w:cs="Times New Roman" w:eastAsia="Times New Roman" w:hAnsi="Times New Roman"/>
          <w:b/>
          <w:bCs/>
          <w:color w:val="1F3864"/>
          <w:sz w:val="28"/>
          <w:szCs w:val="28"/>
        </w:rPr>
        <w:t xml:space="preserve">References</w:t>
      </w:r>
    </w:p>
    <w:p>
      <w:pPr>
        <w:spacing w:line="480" w:before="0" w:after="160"/>
        <w:jc w:val="both"/>
      </w:pPr>
      <w:r>
        <w:rPr>
          <w:rFonts w:ascii="Times New Roman" w:cs="Times New Roman" w:eastAsia="Times New Roman" w:hAnsi="Times New Roman"/>
          <w:sz w:val="24"/>
          <w:szCs w:val="24"/>
        </w:rPr>
        <w:t xml:space="preserve">Barney, J. (1991). Firm resources and sustained competitive advantage. Journal of Management, 17(1), 99–120. https://doi.org/10.1177/014920639101700108</w:t>
      </w:r>
    </w:p>
    <w:p>
      <w:pPr>
        <w:spacing w:line="480" w:before="0" w:after="160"/>
        <w:jc w:val="both"/>
      </w:pPr>
      <w:r>
        <w:rPr>
          <w:rFonts w:ascii="Times New Roman" w:cs="Times New Roman" w:eastAsia="Times New Roman" w:hAnsi="Times New Roman"/>
          <w:sz w:val="24"/>
          <w:szCs w:val="24"/>
        </w:rPr>
        <w:t xml:space="preserve">Bock, L. (2015). Work rules! Insights from inside Google that will transform how you live and lead. John Murray Press.</w:t>
      </w:r>
    </w:p>
    <w:p>
      <w:pPr>
        <w:spacing w:line="480" w:before="0" w:after="160"/>
        <w:jc w:val="both"/>
      </w:pPr>
      <w:r>
        <w:rPr>
          <w:rFonts w:ascii="Times New Roman" w:cs="Times New Roman" w:eastAsia="Times New Roman" w:hAnsi="Times New Roman"/>
          <w:sz w:val="24"/>
          <w:szCs w:val="24"/>
        </w:rPr>
        <w:t xml:space="preserve">Collings, D. G., &amp; Mellahi, K. (2009). Strategic talent management: A review and research agenda. Human Resource Management Review, 19(4), 304–313. https://doi.org/10.1016/j.hrmr.2009.04.001</w:t>
      </w:r>
    </w:p>
    <w:p>
      <w:pPr>
        <w:spacing w:line="480" w:before="0" w:after="160"/>
        <w:jc w:val="both"/>
      </w:pPr>
      <w:r>
        <w:rPr>
          <w:rFonts w:ascii="Times New Roman" w:cs="Times New Roman" w:eastAsia="Times New Roman" w:hAnsi="Times New Roman"/>
          <w:sz w:val="24"/>
          <w:szCs w:val="24"/>
        </w:rPr>
        <w:t xml:space="preserve">Duhigg, C. (2016, February 25). What Google learned from its quest to build the perfect team. The New York Times Magazine.</w:t>
      </w:r>
    </w:p>
    <w:p>
      <w:pPr>
        <w:spacing w:line="480" w:before="0" w:after="160"/>
        <w:jc w:val="both"/>
      </w:pPr>
      <w:r>
        <w:rPr>
          <w:rFonts w:ascii="Times New Roman" w:cs="Times New Roman" w:eastAsia="Times New Roman" w:hAnsi="Times New Roman"/>
          <w:sz w:val="24"/>
          <w:szCs w:val="24"/>
        </w:rPr>
        <w:t xml:space="preserve">Edmondson, A. (1999). Psychological safety and learning behavior in work teams. Administrative Science Quarterly, 44(2), 350–383. https://doi.org/10.2307/2666999</w:t>
      </w:r>
    </w:p>
    <w:p>
      <w:pPr>
        <w:spacing w:line="480" w:before="0" w:after="160"/>
        <w:jc w:val="both"/>
      </w:pPr>
      <w:r>
        <w:rPr>
          <w:rFonts w:ascii="Times New Roman" w:cs="Times New Roman" w:eastAsia="Times New Roman" w:hAnsi="Times New Roman"/>
          <w:sz w:val="24"/>
          <w:szCs w:val="24"/>
        </w:rPr>
        <w:t xml:space="preserve">Eisenhardt, K. M. (1989). Building theories from case study research. Academy of Management Review, 14(4), 532–550. https://doi.org/10.5465/amr.1989.4308385</w:t>
      </w:r>
    </w:p>
    <w:p>
      <w:pPr>
        <w:spacing w:line="480" w:before="0" w:after="160"/>
        <w:jc w:val="both"/>
      </w:pPr>
      <w:r>
        <w:rPr>
          <w:rFonts w:ascii="Times New Roman" w:cs="Times New Roman" w:eastAsia="Times New Roman" w:hAnsi="Times New Roman"/>
          <w:sz w:val="24"/>
          <w:szCs w:val="24"/>
        </w:rPr>
        <w:t xml:space="preserve">Garvin, D. A. (2013). How Google sold its engineers on management. Harvard Business Review, 91(12), 74–82.</w:t>
      </w:r>
    </w:p>
    <w:p>
      <w:pPr>
        <w:spacing w:line="480" w:before="0" w:after="160"/>
        <w:jc w:val="both"/>
      </w:pPr>
      <w:r>
        <w:rPr>
          <w:rFonts w:ascii="Times New Roman" w:cs="Times New Roman" w:eastAsia="Times New Roman" w:hAnsi="Times New Roman"/>
          <w:sz w:val="24"/>
          <w:szCs w:val="24"/>
        </w:rPr>
        <w:t xml:space="preserve">Harter, J. K., Schmidt, F. L., &amp; Hayes, T. L. (2002). Business-unit-level relationship between employee satisfaction, employee engagement, and business outcomes: A meta-analysis. Journal of Applied Psychology, 87(2), 268–279. https://doi.org/10.1037/0021-9010.87.2.268</w:t>
      </w:r>
    </w:p>
    <w:p>
      <w:pPr>
        <w:spacing w:line="480" w:before="0" w:after="160"/>
        <w:jc w:val="both"/>
      </w:pPr>
      <w:r>
        <w:rPr>
          <w:rFonts w:ascii="Times New Roman" w:cs="Times New Roman" w:eastAsia="Times New Roman" w:hAnsi="Times New Roman"/>
          <w:sz w:val="24"/>
          <w:szCs w:val="24"/>
        </w:rPr>
        <w:t xml:space="preserve">Kahn, W. A. (1990). Psychological conditions of personal engagement and disengagement at work. Academy of Management Journal, 33(4), 692–724. https://doi.org/10.5465/256287</w:t>
      </w:r>
    </w:p>
    <w:p>
      <w:pPr>
        <w:spacing w:line="480" w:before="0" w:after="160"/>
        <w:jc w:val="both"/>
      </w:pPr>
      <w:r>
        <w:rPr>
          <w:rFonts w:ascii="Times New Roman" w:cs="Times New Roman" w:eastAsia="Times New Roman" w:hAnsi="Times New Roman"/>
          <w:sz w:val="24"/>
          <w:szCs w:val="24"/>
        </w:rPr>
        <w:t xml:space="preserve">Locke, E. A., &amp; Latham, G. P. (2002). Building a practically useful theory of goal setting and task motivation: A 35-year odyssey. American Psychologist, 57(9), 705–717. https://doi.org/10.1037/0003-066X.57.9.705</w:t>
      </w:r>
    </w:p>
    <w:p>
      <w:pPr>
        <w:spacing w:line="480" w:before="0" w:after="160"/>
        <w:jc w:val="both"/>
      </w:pPr>
      <w:r>
        <w:rPr>
          <w:rFonts w:ascii="Times New Roman" w:cs="Times New Roman" w:eastAsia="Times New Roman" w:hAnsi="Times New Roman"/>
          <w:sz w:val="24"/>
          <w:szCs w:val="24"/>
        </w:rPr>
        <w:t xml:space="preserve">Michaels, E., Handfield-Jones, H., &amp; Axelrod, B. (2001). The war for talent. Harvard Business School Press.</w:t>
      </w:r>
    </w:p>
    <w:p>
      <w:pPr>
        <w:spacing w:line="480" w:before="0" w:after="160"/>
        <w:jc w:val="both"/>
      </w:pPr>
      <w:r>
        <w:rPr>
          <w:rFonts w:ascii="Times New Roman" w:cs="Times New Roman" w:eastAsia="Times New Roman" w:hAnsi="Times New Roman"/>
          <w:sz w:val="24"/>
          <w:szCs w:val="24"/>
        </w:rPr>
        <w:t xml:space="preserve">Pink, D. H. (2009). Drive: The surprising truth about what motivates us. Riverhead Books.</w:t>
      </w:r>
    </w:p>
    <w:p>
      <w:pPr>
        <w:spacing w:line="480" w:before="0" w:after="160"/>
        <w:jc w:val="both"/>
      </w:pPr>
      <w:r>
        <w:rPr>
          <w:rFonts w:ascii="Times New Roman" w:cs="Times New Roman" w:eastAsia="Times New Roman" w:hAnsi="Times New Roman"/>
          <w:sz w:val="24"/>
          <w:szCs w:val="24"/>
        </w:rPr>
        <w:t xml:space="preserve">Saks, A. M. (2006). Antecedents and consequences of employee engagement. Journal of Managerial Psychology, 21(7), 600–619. https://doi.org/10.1108/02683940610690169</w:t>
      </w:r>
    </w:p>
    <w:p>
      <w:pPr>
        <w:spacing w:line="480" w:before="0" w:after="160"/>
        <w:jc w:val="both"/>
      </w:pPr>
      <w:r>
        <w:rPr>
          <w:rFonts w:ascii="Times New Roman" w:cs="Times New Roman" w:eastAsia="Times New Roman" w:hAnsi="Times New Roman"/>
          <w:sz w:val="24"/>
          <w:szCs w:val="24"/>
        </w:rPr>
        <w:t xml:space="preserve">Schein, E. H. (2010). Organisational culture and leadership (4th ed.). Jossey-Bass.</w:t>
      </w:r>
    </w:p>
    <w:p>
      <w:pPr>
        <w:spacing w:line="480" w:before="0" w:after="160"/>
        <w:jc w:val="both"/>
      </w:pPr>
      <w:r>
        <w:rPr>
          <w:rFonts w:ascii="Times New Roman" w:cs="Times New Roman" w:eastAsia="Times New Roman" w:hAnsi="Times New Roman"/>
          <w:sz w:val="24"/>
          <w:szCs w:val="24"/>
        </w:rPr>
        <w:t xml:space="preserve">Schmidt, F. L., &amp; Hunter, J. E. (1998). The validity and utility of selection methods in personnel psychology: Practical and theoretical implications of 85 years of research findings. Psychological Bulletin, 124(2), 262–274. https://doi.org/10.1037/0033-2909.124.2.262</w:t>
      </w:r>
    </w:p>
    <w:p>
      <w:pPr>
        <w:spacing w:line="480" w:before="0" w:after="160"/>
        <w:jc w:val="both"/>
      </w:pPr>
      <w:r>
        <w:rPr>
          <w:rFonts w:ascii="Times New Roman" w:cs="Times New Roman" w:eastAsia="Times New Roman" w:hAnsi="Times New Roman"/>
          <w:sz w:val="24"/>
          <w:szCs w:val="24"/>
        </w:rPr>
        <w:t xml:space="preserve">Sparrow, P., &amp; Makram, H. (2015). What is the value of talent management? Building value-driven processes within a talent management architecture. Human Resource Management Review, 25(3), 249–263. https://doi.org/10.1016/j.hrmr.2015.04.002</w:t>
      </w:r>
    </w:p>
    <w:p>
      <w:pPr>
        <w:spacing w:line="480" w:before="0" w:after="160"/>
        <w:jc w:val="both"/>
      </w:pPr>
      <w:r>
        <w:rPr>
          <w:rFonts w:ascii="Times New Roman" w:cs="Times New Roman" w:eastAsia="Times New Roman" w:hAnsi="Times New Roman"/>
          <w:sz w:val="24"/>
          <w:szCs w:val="24"/>
        </w:rPr>
        <w:t xml:space="preserve">Tursunbayeva, A., Di Lauro, S., &amp; Pagliari, C. (2018). People analytics — A scoping review of conceptual boundaries and value propositions. International Journal of Information Management, 43, 224–247. https://doi.org/10.1016/j.ijinfomgt.2018.08.002</w:t>
      </w:r>
    </w:p>
    <w:p>
      <w:pPr>
        <w:spacing w:line="480" w:before="0" w:after="160"/>
        <w:jc w:val="both"/>
      </w:pPr>
      <w:r>
        <w:rPr>
          <w:rFonts w:ascii="Times New Roman" w:cs="Times New Roman" w:eastAsia="Times New Roman" w:hAnsi="Times New Roman"/>
          <w:sz w:val="24"/>
          <w:szCs w:val="24"/>
        </w:rPr>
        <w:t xml:space="preserve">Yin, R. K. (2018). Case study research and applications: Design and methods (6th ed.). SAGE Publications.</w:t>
      </w:r>
    </w:p>
    <w:p>
      <w:r>
        <w:br w:type="page"/>
      </w:r>
    </w:p>
    <w:p>
      <w:pPr>
        <w:pStyle w:val="Heading1"/>
        <w:spacing w:before="400" w:after="200"/>
      </w:pPr>
      <w:r>
        <w:rPr>
          <w:rFonts w:ascii="Times New Roman" w:cs="Times New Roman" w:eastAsia="Times New Roman" w:hAnsi="Times New Roman"/>
          <w:b/>
          <w:bCs/>
          <w:color w:val="1F3864"/>
          <w:sz w:val="28"/>
          <w:szCs w:val="28"/>
        </w:rPr>
        <w:t xml:space="preserve">Appendices</w:t>
      </w:r>
    </w:p>
    <w:p>
      <w:pPr>
        <w:pStyle w:val="Heading2"/>
        <w:spacing w:before="300" w:after="160"/>
      </w:pPr>
      <w:r>
        <w:rPr>
          <w:rFonts w:ascii="Times New Roman" w:cs="Times New Roman" w:eastAsia="Times New Roman" w:hAnsi="Times New Roman"/>
          <w:b/>
          <w:bCs/>
          <w:color w:val="1F3864"/>
          <w:sz w:val="26"/>
          <w:szCs w:val="26"/>
        </w:rPr>
        <w:t xml:space="preserve">Appendix A: Summary of Google's Key HR Initiatives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Project Oxygen (2008–present): Internal research initiative identifying the eight key behaviours of effective managers at Google. Findings used to design targeted manager development programmes. Resulted in measurable improvements in team performance and employee satisfaction.</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Project Aristotle (2012–2015): Research into the factors driving team effectiveness at Google. Identified psychological safety as the most important predictor of high team performance, followed by dependability, structure and clarity, meaning, and impact.</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20% Time Policy: Encourages employees to devote approximately one day per week to self-directed projects. Associated with the development of several major Google products including Gmail, Google News, and AdSense.</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Googlegeist Survey: Annual company-wide employee engagement survey. Results are shared transparently with all employees and used to inform HR strategy and management development priorities.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TGIF (All-Hands Meeting): Weekly meeting open to all employees where senior leadership, including the CEO, take questions from the workforce. A key mechanism for transparency and employee voice.</w:t>
      </w:r>
    </w:p>
    <w:p>
      <w:pPr>
        <w:spacing w:line="480"/>
      </w:pPr>
      <w:r>
        <w:rPr>
          <w:rFonts w:ascii="Times New Roman" w:cs="Times New Roman" w:eastAsia="Times New Roman" w:hAnsi="Times New Roman"/>
          <w:sz w:val="24"/>
          <w:szCs w:val="24"/>
        </w:rPr>
        <w:t xml:space="preserve"/>
      </w:r>
    </w:p>
    <w:p>
      <w:pPr>
        <w:pStyle w:val="Heading2"/>
        <w:spacing w:before="300" w:after="160"/>
      </w:pPr>
      <w:r>
        <w:rPr>
          <w:rFonts w:ascii="Times New Roman" w:cs="Times New Roman" w:eastAsia="Times New Roman" w:hAnsi="Times New Roman"/>
          <w:b/>
          <w:bCs/>
          <w:color w:val="1F3864"/>
          <w:sz w:val="26"/>
          <w:szCs w:val="26"/>
        </w:rPr>
        <w:t xml:space="preserve">Appendix B: Key Research Findings on Employee Engagement and Performance</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Gallup (2023): Only 23% of employees worldwide are engaged at work. Organisations in the top quartile for engagement outperform bottom-quartile organisations by 23% in profitability and 18% in productivity.</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Harter et al. (2002): Meta-analysis of 7,939 business units found that employee engagement is positively associated with customer satisfaction, productivity, and profit, and negatively associated with turnover and safety incidents.</w:t>
      </w:r>
    </w:p>
    <w:p>
      <w:pPr>
        <w:spacing w:line="480"/>
      </w:pPr>
      <w:r>
        <w:rPr>
          <w:rFonts w:ascii="Times New Roman" w:cs="Times New Roman" w:eastAsia="Times New Roman" w:hAnsi="Times New Roman"/>
          <w:sz w:val="24"/>
          <w:szCs w:val="24"/>
        </w:rPr>
        <w:t xml:space="preserve"/>
      </w:r>
    </w:p>
    <w:p>
      <w:pPr>
        <w:spacing w:line="480" w:before="0" w:after="160"/>
        <w:jc w:val="both"/>
      </w:pPr>
      <w:r>
        <w:rPr>
          <w:rFonts w:ascii="Times New Roman" w:cs="Times New Roman" w:eastAsia="Times New Roman" w:hAnsi="Times New Roman"/>
          <w:sz w:val="24"/>
          <w:szCs w:val="24"/>
        </w:rPr>
        <w:t xml:space="preserve">LinkedIn Talent Trends (2022): 94% of employees say they would stay at a company longer if it invested in their learning and development — making development one of the most powerful retention levers available to employers.</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i/>
        <w:iCs/>
        <w:sz w:val="20"/>
        <w:szCs w:val="20"/>
      </w:rPr>
      <w:t xml:space="preserve">Talent Management, Employee Engagement, and Organisational Performance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00" w:after="200"/>
      <w:outlineLvl w:val="0"/>
    </w:pPr>
    <w:rPr>
      <w:rFonts w:ascii="Times New Roman" w:cs="Times New Roman" w:eastAsia="Times New Roman" w:hAnsi="Times New Roman"/>
      <w:b/>
      <w:bCs/>
      <w:color w:val="1F3864"/>
      <w:sz w:val="28"/>
      <w:szCs w:val="28"/>
    </w:rPr>
  </w:style>
  <w:style w:type="paragraph" w:styleId="Heading2">
    <w:name w:val="Heading 2"/>
    <w:basedOn w:val="Normal"/>
    <w:next w:val="Normal"/>
    <w:qFormat/>
    <w:pPr>
      <w:spacing w:before="300" w:after="160"/>
      <w:outlineLvl w:val="1"/>
    </w:pPr>
    <w:rPr>
      <w:rFonts w:ascii="Times New Roman" w:cs="Times New Roman" w:eastAsia="Times New Roman" w:hAnsi="Times New Roman"/>
      <w:b/>
      <w:bCs/>
      <w:color w:val="1F3864"/>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e48084fed98dae2438f5a77b8761252ae4738481.pn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2026-03-28T15:37:56.455Z</dcterms:created>
  <dcterms:modified xsi:type="dcterms:W3CDTF">2026-03-28T15:37:56.455Z</dcterms:modified>
</cp:coreProperties>
</file>

<file path=docProps/custom.xml><?xml version="1.0" encoding="utf-8"?>
<Properties xmlns="http://schemas.openxmlformats.org/officeDocument/2006/custom-properties" xmlns:vt="http://schemas.openxmlformats.org/officeDocument/2006/docPropsVTypes"/>
</file>