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77767021" w14:textId="77777777" w:rsidR="00BF4ADC" w:rsidRDefault="00BF4ADC" w:rsidP="00BF4ADC">
      <w:pPr>
        <w:rPr>
          <w:rFonts w:ascii="Times New Roman" w:hAnsi="Times New Roman" w:cs="Times New Roman"/>
          <w:b/>
          <w:bCs/>
          <w:lang w:val="en-GB"/>
        </w:rPr>
      </w:pPr>
      <w:r w:rsidRPr="00BF4ADC">
        <w:rPr>
          <w:rFonts w:ascii="Times New Roman" w:hAnsi="Times New Roman" w:cs="Times New Roman"/>
          <w:b/>
          <w:bCs/>
          <w:lang w:val="en-GB"/>
        </w:rPr>
        <w:lastRenderedPageBreak/>
        <w:t>1. Outstanding Universal Value (OUV) in World Heritage Management</w:t>
      </w:r>
    </w:p>
    <w:p w14:paraId="3B2300A2" w14:textId="77777777" w:rsidR="00BF4ADC" w:rsidRPr="00BF4ADC" w:rsidRDefault="00BF4ADC" w:rsidP="00BF4ADC">
      <w:pPr>
        <w:rPr>
          <w:rFonts w:ascii="Times New Roman" w:hAnsi="Times New Roman" w:cs="Times New Roman"/>
          <w:b/>
          <w:bCs/>
          <w:lang w:val="en-GB"/>
        </w:rPr>
      </w:pPr>
    </w:p>
    <w:p w14:paraId="15B8A4D1"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Outstanding Universal Value (OUV) is the key principle used by UNESCO to identify heritage properties of exceptional global importance. The concept originates from the 1972 Convention Concerning the Protection of the World Cultural and Natural Heritage, which emphasizes that certain cultural and natural sites possess significance so extraordinary that their protection is the responsibility of all humanity (UNESCO, 1972). OUV therefore serves as the basis for inscription on the World Heritage List.</w:t>
      </w:r>
    </w:p>
    <w:p w14:paraId="67979F18"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To qualify as having OUV, a heritage property must satisfy at least one of UNESCO’s selection criteria and demonstrate authenticity, integrity, and adequate management systems (Denyer, 2014). Cultural heritage sites may represent unique artistic achievements, architectural traditions, or historical civilizations, while natural heritage sites may contain outstanding ecological systems, biodiversity, or geological formations. Examples include Petra in Jordan, the Great Wall of China, and the Amazon Rainforest.</w:t>
      </w:r>
    </w:p>
    <w:p w14:paraId="3EBF4C43"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In heritage management, OUV functions as the guiding framework for conservation and decision-making. Heritage managers must identify and protect the attributes that convey the site’s universal significance, such as buildings, cultural landscapes, archaeological remains, or ecosystems (</w:t>
      </w:r>
      <w:proofErr w:type="spellStart"/>
      <w:r w:rsidRPr="00BF4ADC">
        <w:rPr>
          <w:rFonts w:ascii="Times New Roman" w:hAnsi="Times New Roman" w:cs="Times New Roman"/>
          <w:lang w:val="en-GB"/>
        </w:rPr>
        <w:t>Labadi</w:t>
      </w:r>
      <w:proofErr w:type="spellEnd"/>
      <w:r w:rsidRPr="00BF4ADC">
        <w:rPr>
          <w:rFonts w:ascii="Times New Roman" w:hAnsi="Times New Roman" w:cs="Times New Roman"/>
          <w:lang w:val="en-GB"/>
        </w:rPr>
        <w:t xml:space="preserve"> &amp; Long, 2010). Any proposed development, tourism activity, or restoration work is evaluated according to its potential impact on OUV.</w:t>
      </w:r>
    </w:p>
    <w:p w14:paraId="4BDD796F"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OUV also promotes international cooperation and sustainable conservation practices. Since World Heritage Sites are recognized as part of the shared heritage of humanity, governments, international organizations, experts, and local communities cooperate in their protection (Meskell, 2015). Sustainable tourism, public education, and community involvement are increasingly important in maintaining OUV while supporting local economic development.</w:t>
      </w:r>
    </w:p>
    <w:p w14:paraId="0A888207"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Modern heritage management also faces challenges such as climate change, urban expansion, armed conflict, and over-tourism. These pressures can threaten the integrity and authenticity of World Heritage Sites, making continuous monitoring and adaptive management essential (Galla, 2012).</w:t>
      </w:r>
    </w:p>
    <w:p w14:paraId="31F0ECD5"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In conclusion, OUV is both a recognition of global significance and a practical conservation framework. It shapes heritage policies, management systems, and international collaboration to ensure that culturally and naturally significant sites are preserved for future generations.</w:t>
      </w:r>
    </w:p>
    <w:p w14:paraId="02BA7A41" w14:textId="778C4D8B" w:rsidR="00BF4ADC" w:rsidRPr="00BF4ADC" w:rsidRDefault="00BF4ADC" w:rsidP="00BF4ADC">
      <w:pPr>
        <w:rPr>
          <w:rFonts w:ascii="Times New Roman" w:hAnsi="Times New Roman" w:cs="Times New Roman"/>
          <w:b/>
          <w:bCs/>
          <w:lang w:val="en-GB"/>
        </w:rPr>
      </w:pPr>
    </w:p>
    <w:p w14:paraId="46F0BF0B" w14:textId="77777777" w:rsidR="00BF4ADC" w:rsidRDefault="00BF4ADC" w:rsidP="00BF4ADC">
      <w:pPr>
        <w:rPr>
          <w:rFonts w:ascii="Times New Roman" w:hAnsi="Times New Roman" w:cs="Times New Roman"/>
          <w:b/>
          <w:bCs/>
          <w:lang w:val="en-GB"/>
        </w:rPr>
      </w:pPr>
      <w:r w:rsidRPr="00BF4ADC">
        <w:rPr>
          <w:rFonts w:ascii="Times New Roman" w:hAnsi="Times New Roman" w:cs="Times New Roman"/>
          <w:b/>
          <w:bCs/>
          <w:lang w:val="en-GB"/>
        </w:rPr>
        <w:t>2. Relationship Between Planning, Implementation, and Monitoring in Heritage Management Systems</w:t>
      </w:r>
    </w:p>
    <w:p w14:paraId="6246EE0D" w14:textId="77777777" w:rsidR="00BF4ADC" w:rsidRPr="00BF4ADC" w:rsidRDefault="00BF4ADC" w:rsidP="00BF4ADC">
      <w:pPr>
        <w:rPr>
          <w:rFonts w:ascii="Times New Roman" w:hAnsi="Times New Roman" w:cs="Times New Roman"/>
          <w:b/>
          <w:bCs/>
          <w:lang w:val="en-GB"/>
        </w:rPr>
      </w:pPr>
    </w:p>
    <w:p w14:paraId="1CDDE204"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Planning, implementation, and monitoring are interconnected processes that form the basis of effective heritage management systems. Together, they create a continuous management cycle aimed at protecting heritage values and ensuring the long-term sustainability of heritage properties.</w:t>
      </w:r>
    </w:p>
    <w:p w14:paraId="073475D8"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Planning is the first stage of the process and involves identifying the significance of a heritage site, assessing risks, and establishing conservation objectives. Heritage management plans include policies related to conservation, tourism management, legal protection, disaster preparedness, and community participation (Worthing &amp; Bond, 2008). Planning provides a structured framework that guides all management activities and resource allocation.</w:t>
      </w:r>
    </w:p>
    <w:p w14:paraId="02999067"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 xml:space="preserve">Implementation is the practical execution of the strategies developed during the planning stage. This may include restoration and conservation projects, visitor management programs, </w:t>
      </w:r>
      <w:r w:rsidRPr="00BF4ADC">
        <w:rPr>
          <w:rFonts w:ascii="Times New Roman" w:hAnsi="Times New Roman" w:cs="Times New Roman"/>
          <w:lang w:val="en-GB"/>
        </w:rPr>
        <w:lastRenderedPageBreak/>
        <w:t>maintenance activities, educational initiatives, and legal enforcement. Successful implementation depends on cooperation among government institutions, conservation professionals, local communities, and international organizations (Waterton &amp; Smith, 2010). Financial support, technical expertise, and stakeholder participation are also necessary for effective implementation.</w:t>
      </w:r>
    </w:p>
    <w:p w14:paraId="584563FB"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Monitoring is the ongoing assessment of the condition of heritage properties and the effectiveness of management actions. Monitoring systems collect information about physical deterioration, environmental changes, tourism impacts, and conservation outcomes (</w:t>
      </w:r>
      <w:proofErr w:type="spellStart"/>
      <w:r w:rsidRPr="00BF4ADC">
        <w:rPr>
          <w:rFonts w:ascii="Times New Roman" w:hAnsi="Times New Roman" w:cs="Times New Roman"/>
          <w:lang w:val="en-GB"/>
        </w:rPr>
        <w:t>Avrami</w:t>
      </w:r>
      <w:proofErr w:type="spellEnd"/>
      <w:r w:rsidRPr="00BF4ADC">
        <w:rPr>
          <w:rFonts w:ascii="Times New Roman" w:hAnsi="Times New Roman" w:cs="Times New Roman"/>
          <w:lang w:val="en-GB"/>
        </w:rPr>
        <w:t>, Mason, &amp; Torre, 2000). The purpose of monitoring is to identify threats early and determine whether management objectives are being achieved.</w:t>
      </w:r>
    </w:p>
    <w:p w14:paraId="79198699"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The relationship between planning, implementation, and monitoring is cyclical and adaptive. Planning establishes goals and strategies, implementation applies them in practice, and monitoring evaluates the results. Information obtained through monitoring is then used to improve future planning and management decisions. For example, if monitoring reveals that visitor numbers are causing structural damage to a heritage site, management authorities may revise tourism policies or strengthen conservation measures.</w:t>
      </w:r>
    </w:p>
    <w:p w14:paraId="634D9A6F"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This integrated approach is essential because heritage sites are affected by changing environmental, social, and economic conditions. Adaptive management allows heritage systems to respond effectively to new challenges while maintaining authenticity, integrity, and Outstanding Universal Value (OUV).</w:t>
      </w:r>
    </w:p>
    <w:p w14:paraId="332A8218"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Therefore, planning, implementation, and monitoring are closely linked processes that together ensure the effective conservation and sustainable management of heritage resources.</w:t>
      </w:r>
    </w:p>
    <w:p w14:paraId="00CDB088" w14:textId="1237DEB9" w:rsidR="00BF4ADC" w:rsidRPr="00BF4ADC" w:rsidRDefault="00BF4ADC" w:rsidP="00BF4ADC">
      <w:pPr>
        <w:rPr>
          <w:rFonts w:ascii="Times New Roman" w:hAnsi="Times New Roman" w:cs="Times New Roman"/>
          <w:lang w:val="en-GB"/>
        </w:rPr>
      </w:pPr>
    </w:p>
    <w:p w14:paraId="29CF3C29" w14:textId="77777777" w:rsidR="00BF4ADC" w:rsidRPr="00BF4ADC" w:rsidRDefault="00BF4ADC" w:rsidP="00BF4ADC">
      <w:pPr>
        <w:rPr>
          <w:rFonts w:ascii="Times New Roman" w:hAnsi="Times New Roman" w:cs="Times New Roman"/>
          <w:lang w:val="en-GB"/>
        </w:rPr>
      </w:pPr>
    </w:p>
    <w:p w14:paraId="54E0185B" w14:textId="77777777" w:rsidR="00BF4ADC" w:rsidRDefault="00BF4ADC" w:rsidP="00BF4ADC">
      <w:pPr>
        <w:rPr>
          <w:rFonts w:ascii="Times New Roman" w:hAnsi="Times New Roman" w:cs="Times New Roman"/>
          <w:b/>
          <w:bCs/>
          <w:lang w:val="en-GB"/>
        </w:rPr>
      </w:pPr>
    </w:p>
    <w:p w14:paraId="5EDE78DD" w14:textId="77777777" w:rsidR="00BF4ADC" w:rsidRDefault="00BF4ADC" w:rsidP="00BF4ADC">
      <w:pPr>
        <w:rPr>
          <w:rFonts w:ascii="Times New Roman" w:hAnsi="Times New Roman" w:cs="Times New Roman"/>
          <w:b/>
          <w:bCs/>
          <w:lang w:val="en-GB"/>
        </w:rPr>
      </w:pPr>
    </w:p>
    <w:p w14:paraId="149EC1D9" w14:textId="77777777" w:rsidR="00BF4ADC" w:rsidRDefault="00BF4ADC" w:rsidP="00BF4ADC">
      <w:pPr>
        <w:rPr>
          <w:rFonts w:ascii="Times New Roman" w:hAnsi="Times New Roman" w:cs="Times New Roman"/>
          <w:b/>
          <w:bCs/>
          <w:lang w:val="en-GB"/>
        </w:rPr>
      </w:pPr>
    </w:p>
    <w:p w14:paraId="145D505C" w14:textId="77777777" w:rsidR="00BF4ADC" w:rsidRDefault="00BF4ADC" w:rsidP="00BF4ADC">
      <w:pPr>
        <w:rPr>
          <w:rFonts w:ascii="Times New Roman" w:hAnsi="Times New Roman" w:cs="Times New Roman"/>
          <w:b/>
          <w:bCs/>
          <w:lang w:val="en-GB"/>
        </w:rPr>
      </w:pPr>
    </w:p>
    <w:p w14:paraId="7253B331" w14:textId="77777777" w:rsidR="00BF4ADC" w:rsidRDefault="00BF4ADC" w:rsidP="00BF4ADC">
      <w:pPr>
        <w:rPr>
          <w:rFonts w:ascii="Times New Roman" w:hAnsi="Times New Roman" w:cs="Times New Roman"/>
          <w:b/>
          <w:bCs/>
          <w:lang w:val="en-GB"/>
        </w:rPr>
      </w:pPr>
    </w:p>
    <w:p w14:paraId="1003D646" w14:textId="77777777" w:rsidR="00BF4ADC" w:rsidRDefault="00BF4ADC" w:rsidP="00BF4ADC">
      <w:pPr>
        <w:rPr>
          <w:rFonts w:ascii="Times New Roman" w:hAnsi="Times New Roman" w:cs="Times New Roman"/>
          <w:b/>
          <w:bCs/>
          <w:lang w:val="en-GB"/>
        </w:rPr>
      </w:pPr>
    </w:p>
    <w:p w14:paraId="742D7DED" w14:textId="77777777" w:rsidR="00BF4ADC" w:rsidRDefault="00BF4ADC" w:rsidP="00BF4ADC">
      <w:pPr>
        <w:rPr>
          <w:rFonts w:ascii="Times New Roman" w:hAnsi="Times New Roman" w:cs="Times New Roman"/>
          <w:b/>
          <w:bCs/>
          <w:lang w:val="en-GB"/>
        </w:rPr>
      </w:pPr>
    </w:p>
    <w:p w14:paraId="3EDD79E5" w14:textId="77777777" w:rsidR="00BF4ADC" w:rsidRDefault="00BF4ADC" w:rsidP="00BF4ADC">
      <w:pPr>
        <w:rPr>
          <w:rFonts w:ascii="Times New Roman" w:hAnsi="Times New Roman" w:cs="Times New Roman"/>
          <w:b/>
          <w:bCs/>
          <w:lang w:val="en-GB"/>
        </w:rPr>
      </w:pPr>
    </w:p>
    <w:p w14:paraId="1DBAE7E3" w14:textId="77777777" w:rsidR="00BF4ADC" w:rsidRDefault="00BF4ADC" w:rsidP="00BF4ADC">
      <w:pPr>
        <w:rPr>
          <w:rFonts w:ascii="Times New Roman" w:hAnsi="Times New Roman" w:cs="Times New Roman"/>
          <w:b/>
          <w:bCs/>
          <w:lang w:val="en-GB"/>
        </w:rPr>
      </w:pPr>
    </w:p>
    <w:p w14:paraId="196C9467" w14:textId="77777777" w:rsidR="00BF4ADC" w:rsidRDefault="00BF4ADC" w:rsidP="00BF4ADC">
      <w:pPr>
        <w:rPr>
          <w:rFonts w:ascii="Times New Roman" w:hAnsi="Times New Roman" w:cs="Times New Roman"/>
          <w:b/>
          <w:bCs/>
          <w:lang w:val="en-GB"/>
        </w:rPr>
      </w:pPr>
    </w:p>
    <w:p w14:paraId="30F422F4" w14:textId="77777777" w:rsidR="00BF4ADC" w:rsidRDefault="00BF4ADC" w:rsidP="00BF4ADC">
      <w:pPr>
        <w:rPr>
          <w:rFonts w:ascii="Times New Roman" w:hAnsi="Times New Roman" w:cs="Times New Roman"/>
          <w:b/>
          <w:bCs/>
          <w:lang w:val="en-GB"/>
        </w:rPr>
      </w:pPr>
    </w:p>
    <w:p w14:paraId="5BC2BDED" w14:textId="77777777" w:rsidR="00BF4ADC" w:rsidRDefault="00BF4ADC" w:rsidP="00BF4ADC">
      <w:pPr>
        <w:rPr>
          <w:rFonts w:ascii="Times New Roman" w:hAnsi="Times New Roman" w:cs="Times New Roman"/>
          <w:b/>
          <w:bCs/>
          <w:lang w:val="en-GB"/>
        </w:rPr>
      </w:pPr>
    </w:p>
    <w:p w14:paraId="7DA3FAFF" w14:textId="77777777" w:rsidR="00BF4ADC" w:rsidRDefault="00BF4ADC" w:rsidP="00BF4ADC">
      <w:pPr>
        <w:rPr>
          <w:rFonts w:ascii="Times New Roman" w:hAnsi="Times New Roman" w:cs="Times New Roman"/>
          <w:b/>
          <w:bCs/>
          <w:lang w:val="en-GB"/>
        </w:rPr>
      </w:pPr>
    </w:p>
    <w:p w14:paraId="4ECFD7E0" w14:textId="77777777" w:rsidR="00BF4ADC" w:rsidRDefault="00BF4ADC" w:rsidP="00BF4ADC">
      <w:pPr>
        <w:rPr>
          <w:rFonts w:ascii="Times New Roman" w:hAnsi="Times New Roman" w:cs="Times New Roman"/>
          <w:b/>
          <w:bCs/>
          <w:lang w:val="en-GB"/>
        </w:rPr>
      </w:pPr>
    </w:p>
    <w:p w14:paraId="1951AE14" w14:textId="77777777" w:rsidR="00BF4ADC" w:rsidRDefault="00BF4ADC" w:rsidP="00BF4ADC">
      <w:pPr>
        <w:rPr>
          <w:rFonts w:ascii="Times New Roman" w:hAnsi="Times New Roman" w:cs="Times New Roman"/>
          <w:b/>
          <w:bCs/>
          <w:lang w:val="en-GB"/>
        </w:rPr>
      </w:pPr>
    </w:p>
    <w:p w14:paraId="488108EC" w14:textId="77777777" w:rsidR="00BF4ADC" w:rsidRDefault="00BF4ADC" w:rsidP="00BF4ADC">
      <w:pPr>
        <w:rPr>
          <w:rFonts w:ascii="Times New Roman" w:hAnsi="Times New Roman" w:cs="Times New Roman"/>
          <w:b/>
          <w:bCs/>
          <w:lang w:val="en-GB"/>
        </w:rPr>
      </w:pPr>
    </w:p>
    <w:p w14:paraId="4DB748AD" w14:textId="77777777" w:rsidR="00BF4ADC" w:rsidRDefault="00BF4ADC" w:rsidP="00BF4ADC">
      <w:pPr>
        <w:rPr>
          <w:rFonts w:ascii="Times New Roman" w:hAnsi="Times New Roman" w:cs="Times New Roman"/>
          <w:b/>
          <w:bCs/>
          <w:lang w:val="en-GB"/>
        </w:rPr>
      </w:pPr>
    </w:p>
    <w:p w14:paraId="45F8AFE3" w14:textId="77777777" w:rsidR="00BF4ADC" w:rsidRDefault="00BF4ADC" w:rsidP="00BF4ADC">
      <w:pPr>
        <w:rPr>
          <w:rFonts w:ascii="Times New Roman" w:hAnsi="Times New Roman" w:cs="Times New Roman"/>
          <w:b/>
          <w:bCs/>
          <w:lang w:val="en-GB"/>
        </w:rPr>
      </w:pPr>
    </w:p>
    <w:p w14:paraId="09BE5810" w14:textId="77777777" w:rsidR="00BF4ADC" w:rsidRPr="00BF4ADC" w:rsidRDefault="00BF4ADC" w:rsidP="00BF4ADC">
      <w:pPr>
        <w:rPr>
          <w:rFonts w:ascii="Times New Roman" w:hAnsi="Times New Roman" w:cs="Times New Roman"/>
          <w:b/>
          <w:bCs/>
          <w:lang w:val="en-GB"/>
        </w:rPr>
      </w:pPr>
    </w:p>
    <w:p w14:paraId="6DFA14C4" w14:textId="77777777" w:rsidR="00BF4ADC" w:rsidRDefault="00BF4ADC" w:rsidP="00BF4ADC">
      <w:pPr>
        <w:rPr>
          <w:rFonts w:ascii="Times New Roman" w:hAnsi="Times New Roman" w:cs="Times New Roman"/>
          <w:b/>
          <w:bCs/>
          <w:lang w:val="en-GB"/>
        </w:rPr>
      </w:pPr>
      <w:r w:rsidRPr="00BF4ADC">
        <w:rPr>
          <w:rFonts w:ascii="Times New Roman" w:hAnsi="Times New Roman" w:cs="Times New Roman"/>
          <w:b/>
          <w:bCs/>
          <w:lang w:val="en-GB"/>
        </w:rPr>
        <w:t>References</w:t>
      </w:r>
    </w:p>
    <w:p w14:paraId="05A073EF" w14:textId="77777777" w:rsidR="00BF4ADC" w:rsidRPr="00BF4ADC" w:rsidRDefault="00BF4ADC" w:rsidP="00BF4ADC">
      <w:pPr>
        <w:rPr>
          <w:rFonts w:ascii="Times New Roman" w:hAnsi="Times New Roman" w:cs="Times New Roman"/>
          <w:b/>
          <w:bCs/>
          <w:lang w:val="en-GB"/>
        </w:rPr>
      </w:pPr>
    </w:p>
    <w:p w14:paraId="2DFB885C" w14:textId="77777777" w:rsidR="00BF4ADC" w:rsidRPr="00BF4ADC" w:rsidRDefault="00BF4ADC" w:rsidP="00BF4ADC">
      <w:pPr>
        <w:rPr>
          <w:rFonts w:ascii="Times New Roman" w:hAnsi="Times New Roman" w:cs="Times New Roman"/>
          <w:lang w:val="en-GB"/>
        </w:rPr>
      </w:pPr>
      <w:proofErr w:type="spellStart"/>
      <w:r w:rsidRPr="00BF4ADC">
        <w:rPr>
          <w:rFonts w:ascii="Times New Roman" w:hAnsi="Times New Roman" w:cs="Times New Roman"/>
          <w:lang w:val="en-GB"/>
        </w:rPr>
        <w:t>Avrami</w:t>
      </w:r>
      <w:proofErr w:type="spellEnd"/>
      <w:r w:rsidRPr="00BF4ADC">
        <w:rPr>
          <w:rFonts w:ascii="Times New Roman" w:hAnsi="Times New Roman" w:cs="Times New Roman"/>
          <w:lang w:val="en-GB"/>
        </w:rPr>
        <w:t xml:space="preserve">, E., Mason, R., &amp; Torre, M. de la. (2000). </w:t>
      </w:r>
      <w:r w:rsidRPr="00BF4ADC">
        <w:rPr>
          <w:rFonts w:ascii="Times New Roman" w:hAnsi="Times New Roman" w:cs="Times New Roman"/>
          <w:i/>
          <w:iCs/>
          <w:lang w:val="en-GB"/>
        </w:rPr>
        <w:t>Values and Heritage Conservation</w:t>
      </w:r>
      <w:r w:rsidRPr="00BF4ADC">
        <w:rPr>
          <w:rFonts w:ascii="Times New Roman" w:hAnsi="Times New Roman" w:cs="Times New Roman"/>
          <w:lang w:val="en-GB"/>
        </w:rPr>
        <w:t>. Getty Conservation Institute.</w:t>
      </w:r>
    </w:p>
    <w:p w14:paraId="25AAF8AE"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lastRenderedPageBreak/>
        <w:t xml:space="preserve">Denyer, S. (2014). </w:t>
      </w:r>
      <w:r w:rsidRPr="00BF4ADC">
        <w:rPr>
          <w:rFonts w:ascii="Times New Roman" w:hAnsi="Times New Roman" w:cs="Times New Roman"/>
          <w:i/>
          <w:iCs/>
          <w:lang w:val="en-GB"/>
        </w:rPr>
        <w:t>World Heritage and Cultural Diversity</w:t>
      </w:r>
      <w:r w:rsidRPr="00BF4ADC">
        <w:rPr>
          <w:rFonts w:ascii="Times New Roman" w:hAnsi="Times New Roman" w:cs="Times New Roman"/>
          <w:lang w:val="en-GB"/>
        </w:rPr>
        <w:t>. UNESCO Publishing.</w:t>
      </w:r>
    </w:p>
    <w:p w14:paraId="2B12FB16"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 xml:space="preserve">Galla, A. (2012). World Heritage: Benefits beyond borders. </w:t>
      </w:r>
      <w:r w:rsidRPr="00BF4ADC">
        <w:rPr>
          <w:rFonts w:ascii="Times New Roman" w:hAnsi="Times New Roman" w:cs="Times New Roman"/>
          <w:i/>
          <w:iCs/>
          <w:lang w:val="en-GB"/>
        </w:rPr>
        <w:t>International Journal of Heritage Studies, 18</w:t>
      </w:r>
      <w:r w:rsidRPr="00BF4ADC">
        <w:rPr>
          <w:rFonts w:ascii="Times New Roman" w:hAnsi="Times New Roman" w:cs="Times New Roman"/>
          <w:lang w:val="en-GB"/>
        </w:rPr>
        <w:t>(4), 361–370. https://doi.org/10.1080/13527258.2011.651740</w:t>
      </w:r>
    </w:p>
    <w:p w14:paraId="12374699" w14:textId="77777777" w:rsidR="00BF4ADC" w:rsidRPr="00BF4ADC" w:rsidRDefault="00BF4ADC" w:rsidP="00BF4ADC">
      <w:pPr>
        <w:rPr>
          <w:rFonts w:ascii="Times New Roman" w:hAnsi="Times New Roman" w:cs="Times New Roman"/>
          <w:lang w:val="en-GB"/>
        </w:rPr>
      </w:pPr>
      <w:proofErr w:type="spellStart"/>
      <w:r w:rsidRPr="00BF4ADC">
        <w:rPr>
          <w:rFonts w:ascii="Times New Roman" w:hAnsi="Times New Roman" w:cs="Times New Roman"/>
          <w:lang w:val="en-GB"/>
        </w:rPr>
        <w:t>Labadi</w:t>
      </w:r>
      <w:proofErr w:type="spellEnd"/>
      <w:r w:rsidRPr="00BF4ADC">
        <w:rPr>
          <w:rFonts w:ascii="Times New Roman" w:hAnsi="Times New Roman" w:cs="Times New Roman"/>
          <w:lang w:val="en-GB"/>
        </w:rPr>
        <w:t xml:space="preserve">, S., &amp; Long, C. (2010). </w:t>
      </w:r>
      <w:r w:rsidRPr="00BF4ADC">
        <w:rPr>
          <w:rFonts w:ascii="Times New Roman" w:hAnsi="Times New Roman" w:cs="Times New Roman"/>
          <w:i/>
          <w:iCs/>
          <w:lang w:val="en-GB"/>
        </w:rPr>
        <w:t>Heritage and Globalisation</w:t>
      </w:r>
      <w:r w:rsidRPr="00BF4ADC">
        <w:rPr>
          <w:rFonts w:ascii="Times New Roman" w:hAnsi="Times New Roman" w:cs="Times New Roman"/>
          <w:lang w:val="en-GB"/>
        </w:rPr>
        <w:t>. Routledge. https://doi.org/10.4324/9780203859711</w:t>
      </w:r>
    </w:p>
    <w:p w14:paraId="6D9C199F"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 xml:space="preserve">Meskell, L. (2015). Gridlock: UNESCO, global conflict and failed ambitions. </w:t>
      </w:r>
      <w:r w:rsidRPr="00BF4ADC">
        <w:rPr>
          <w:rFonts w:ascii="Times New Roman" w:hAnsi="Times New Roman" w:cs="Times New Roman"/>
          <w:i/>
          <w:iCs/>
          <w:lang w:val="en-GB"/>
        </w:rPr>
        <w:t>World Archaeology, 47</w:t>
      </w:r>
      <w:r w:rsidRPr="00BF4ADC">
        <w:rPr>
          <w:rFonts w:ascii="Times New Roman" w:hAnsi="Times New Roman" w:cs="Times New Roman"/>
          <w:lang w:val="en-GB"/>
        </w:rPr>
        <w:t>(2), 225–238. https://doi.org/10.1080/00438243.2015.1020568</w:t>
      </w:r>
    </w:p>
    <w:p w14:paraId="188FD1E4"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 xml:space="preserve">UNESCO. (1972). </w:t>
      </w:r>
      <w:r w:rsidRPr="00BF4ADC">
        <w:rPr>
          <w:rFonts w:ascii="Times New Roman" w:hAnsi="Times New Roman" w:cs="Times New Roman"/>
          <w:i/>
          <w:iCs/>
          <w:lang w:val="en-GB"/>
        </w:rPr>
        <w:t>Convention Concerning the Protection of the World Cultural and Natural Heritage</w:t>
      </w:r>
      <w:r w:rsidRPr="00BF4ADC">
        <w:rPr>
          <w:rFonts w:ascii="Times New Roman" w:hAnsi="Times New Roman" w:cs="Times New Roman"/>
          <w:lang w:val="en-GB"/>
        </w:rPr>
        <w:t xml:space="preserve">. UNESCO World Heritage Centre. </w:t>
      </w:r>
      <w:hyperlink r:id="rId6" w:tgtFrame="_new" w:history="1">
        <w:r w:rsidRPr="00BF4ADC">
          <w:rPr>
            <w:rStyle w:val="Hyperlink"/>
            <w:rFonts w:ascii="Times New Roman" w:hAnsi="Times New Roman" w:cs="Times New Roman"/>
            <w:lang w:val="en-GB"/>
          </w:rPr>
          <w:t>https://whc.unesco.org/en/conventiontext/</w:t>
        </w:r>
      </w:hyperlink>
    </w:p>
    <w:p w14:paraId="6073C54F"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 xml:space="preserve">Waterton, E., &amp; Smith, L. (2010). The recognition and misrecognition of community heritage. </w:t>
      </w:r>
      <w:r w:rsidRPr="00BF4ADC">
        <w:rPr>
          <w:rFonts w:ascii="Times New Roman" w:hAnsi="Times New Roman" w:cs="Times New Roman"/>
          <w:i/>
          <w:iCs/>
          <w:lang w:val="en-GB"/>
        </w:rPr>
        <w:t>International Journal of Heritage Studies, 16</w:t>
      </w:r>
      <w:r w:rsidRPr="00BF4ADC">
        <w:rPr>
          <w:rFonts w:ascii="Times New Roman" w:hAnsi="Times New Roman" w:cs="Times New Roman"/>
          <w:lang w:val="en-GB"/>
        </w:rPr>
        <w:t xml:space="preserve">(1–2), 4–15. </w:t>
      </w:r>
      <w:hyperlink r:id="rId7" w:tgtFrame="_new" w:history="1">
        <w:r w:rsidRPr="00BF4ADC">
          <w:rPr>
            <w:rStyle w:val="Hyperlink"/>
            <w:rFonts w:ascii="Times New Roman" w:hAnsi="Times New Roman" w:cs="Times New Roman"/>
            <w:lang w:val="en-GB"/>
          </w:rPr>
          <w:t>https://doi.org/10.1080/13527250903441671</w:t>
        </w:r>
      </w:hyperlink>
    </w:p>
    <w:p w14:paraId="54654B5A" w14:textId="77777777" w:rsidR="00BF4ADC" w:rsidRPr="00BF4ADC" w:rsidRDefault="00BF4ADC" w:rsidP="00BF4ADC">
      <w:pPr>
        <w:rPr>
          <w:rFonts w:ascii="Times New Roman" w:hAnsi="Times New Roman" w:cs="Times New Roman"/>
          <w:lang w:val="en-GB"/>
        </w:rPr>
      </w:pPr>
      <w:r w:rsidRPr="00BF4ADC">
        <w:rPr>
          <w:rFonts w:ascii="Times New Roman" w:hAnsi="Times New Roman" w:cs="Times New Roman"/>
          <w:lang w:val="en-GB"/>
        </w:rPr>
        <w:t xml:space="preserve">Worthing, D., &amp; Bond, S. (2008). </w:t>
      </w:r>
      <w:r w:rsidRPr="00BF4ADC">
        <w:rPr>
          <w:rFonts w:ascii="Times New Roman" w:hAnsi="Times New Roman" w:cs="Times New Roman"/>
          <w:i/>
          <w:iCs/>
          <w:lang w:val="en-GB"/>
        </w:rPr>
        <w:t>Managing Built Heritage: The Role of Cultural Significance</w:t>
      </w:r>
      <w:r w:rsidRPr="00BF4ADC">
        <w:rPr>
          <w:rFonts w:ascii="Times New Roman" w:hAnsi="Times New Roman" w:cs="Times New Roman"/>
          <w:lang w:val="en-GB"/>
        </w:rPr>
        <w:t>. Wiley-Blackwell. https://doi.org/10.1002/9780470691939</w:t>
      </w:r>
    </w:p>
    <w:p w14:paraId="591F43E9" w14:textId="77777777" w:rsidR="0056617A" w:rsidRPr="00CB667A" w:rsidRDefault="0056617A" w:rsidP="00BF4ADC">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011351"/>
    <w:rsid w:val="00104A32"/>
    <w:rsid w:val="0056617A"/>
    <w:rsid w:val="005B1E2F"/>
    <w:rsid w:val="00832D86"/>
    <w:rsid w:val="00BF4ADC"/>
    <w:rsid w:val="00C45288"/>
    <w:rsid w:val="00CB66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35272509034416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conventiontex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2026-05-17T13:22:00Z</dcterms:created>
  <dcterms:modified xsi:type="dcterms:W3CDTF">2026-05-17T13:22:00Z</dcterms:modified>
</cp:coreProperties>
</file>