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E4A3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FA8690A" wp14:editId="0AD279E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BF26BDC"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5E20BA20"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28914A59"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68DE014F" w14:textId="77777777" w:rsidR="0019504D" w:rsidRDefault="0019504D"/>
    <w:p w14:paraId="27E530C2" w14:textId="77777777" w:rsidR="0019504D" w:rsidRDefault="0019504D"/>
    <w:p w14:paraId="1E8C3C06" w14:textId="77777777" w:rsidR="0019504D" w:rsidRDefault="0019504D"/>
    <w:p w14:paraId="04E778D7" w14:textId="77777777" w:rsidR="0019504D" w:rsidRDefault="0019504D"/>
    <w:p w14:paraId="3F138E99" w14:textId="77777777" w:rsidR="0019504D" w:rsidRDefault="0019504D"/>
    <w:p w14:paraId="6C5249CA" w14:textId="77777777" w:rsidR="00CD620A" w:rsidRDefault="00CD620A"/>
    <w:p w14:paraId="2BE5ABCB" w14:textId="77777777" w:rsidR="00CD620A" w:rsidRDefault="00CD620A"/>
    <w:p w14:paraId="24FC4352" w14:textId="77777777" w:rsidR="00CD620A" w:rsidRDefault="00CD620A"/>
    <w:p w14:paraId="7CAF5995" w14:textId="77777777" w:rsidR="00CD620A" w:rsidRDefault="00CD620A"/>
    <w:p w14:paraId="6E0C9D31" w14:textId="77777777" w:rsidR="00CD620A" w:rsidRDefault="00CD620A"/>
    <w:p w14:paraId="74F74893" w14:textId="77777777" w:rsidR="00EA737F" w:rsidRDefault="00EA737F"/>
    <w:p w14:paraId="4DA81F45" w14:textId="77777777" w:rsidR="0019504D" w:rsidRDefault="0019504D"/>
    <w:p w14:paraId="45C47B40" w14:textId="77777777" w:rsidR="0019504D" w:rsidRDefault="0019504D"/>
    <w:p w14:paraId="1DB91048"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5FB25F50" w14:textId="77777777" w:rsidR="00CA2604" w:rsidRDefault="00CA2604" w:rsidP="00EA737F">
      <w:pPr>
        <w:spacing w:line="276" w:lineRule="auto"/>
        <w:rPr>
          <w:b/>
          <w:bCs/>
          <w:lang w:val="en-US"/>
        </w:rPr>
      </w:pPr>
    </w:p>
    <w:p w14:paraId="58FF7300" w14:textId="77777777" w:rsidR="00CA2604" w:rsidRPr="00EA737F" w:rsidRDefault="00CA2604" w:rsidP="00EA737F">
      <w:pPr>
        <w:spacing w:line="276" w:lineRule="auto"/>
        <w:rPr>
          <w:b/>
          <w:bCs/>
          <w:lang w:val="en-US"/>
        </w:rPr>
      </w:pPr>
    </w:p>
    <w:p w14:paraId="5AEBB944" w14:textId="77777777" w:rsidR="00EA737F" w:rsidRDefault="00EA737F" w:rsidP="00EA737F">
      <w:pPr>
        <w:spacing w:line="276" w:lineRule="auto"/>
        <w:rPr>
          <w:lang w:val="en-US"/>
        </w:rPr>
      </w:pPr>
    </w:p>
    <w:p w14:paraId="1C3CD918" w14:textId="77777777" w:rsidR="00ED2758" w:rsidRDefault="00ED2758" w:rsidP="00EA737F">
      <w:pPr>
        <w:spacing w:line="276" w:lineRule="auto"/>
        <w:rPr>
          <w:lang w:val="en-US"/>
        </w:rPr>
      </w:pPr>
    </w:p>
    <w:p w14:paraId="5B09A3E9" w14:textId="77777777" w:rsidR="00ED2758" w:rsidRDefault="00ED2758" w:rsidP="00EA737F">
      <w:pPr>
        <w:spacing w:line="276" w:lineRule="auto"/>
        <w:rPr>
          <w:lang w:val="en-US"/>
        </w:rPr>
      </w:pPr>
    </w:p>
    <w:p w14:paraId="4AC98F91" w14:textId="77777777" w:rsidR="00ED2758" w:rsidRDefault="00ED2758" w:rsidP="00EA737F">
      <w:pPr>
        <w:spacing w:line="276" w:lineRule="auto"/>
        <w:rPr>
          <w:lang w:val="en-US"/>
        </w:rPr>
      </w:pPr>
    </w:p>
    <w:p w14:paraId="523470D6" w14:textId="77777777" w:rsidR="00ED2758" w:rsidRDefault="00ED2758" w:rsidP="00EA737F">
      <w:pPr>
        <w:spacing w:line="276" w:lineRule="auto"/>
        <w:rPr>
          <w:lang w:val="en-US"/>
        </w:rPr>
      </w:pPr>
    </w:p>
    <w:p w14:paraId="7A5FF033" w14:textId="77777777" w:rsidR="00ED2758" w:rsidRDefault="00ED2758" w:rsidP="00EA737F">
      <w:pPr>
        <w:spacing w:line="276" w:lineRule="auto"/>
        <w:rPr>
          <w:lang w:val="en-US"/>
        </w:rPr>
      </w:pPr>
    </w:p>
    <w:p w14:paraId="792556E4" w14:textId="77777777" w:rsidR="00ED2758" w:rsidRDefault="00ED2758" w:rsidP="00EA737F">
      <w:pPr>
        <w:spacing w:line="276" w:lineRule="auto"/>
        <w:rPr>
          <w:lang w:val="en-US"/>
        </w:rPr>
      </w:pPr>
    </w:p>
    <w:p w14:paraId="5264609E" w14:textId="77777777" w:rsidR="00ED2758" w:rsidRDefault="00ED2758" w:rsidP="00EA737F">
      <w:pPr>
        <w:spacing w:line="276" w:lineRule="auto"/>
        <w:rPr>
          <w:lang w:val="en-US"/>
        </w:rPr>
      </w:pPr>
    </w:p>
    <w:p w14:paraId="512DE8A6" w14:textId="77777777" w:rsidR="00ED2758" w:rsidRDefault="00ED2758" w:rsidP="00EA737F">
      <w:pPr>
        <w:spacing w:line="276" w:lineRule="auto"/>
        <w:rPr>
          <w:lang w:val="en-US"/>
        </w:rPr>
      </w:pPr>
    </w:p>
    <w:p w14:paraId="4A265D94" w14:textId="77777777" w:rsidR="00ED2758" w:rsidRDefault="00ED2758" w:rsidP="00EA737F">
      <w:pPr>
        <w:spacing w:line="276" w:lineRule="auto"/>
        <w:rPr>
          <w:lang w:val="en-US"/>
        </w:rPr>
      </w:pPr>
    </w:p>
    <w:p w14:paraId="19C08430" w14:textId="77777777" w:rsidR="00ED2758" w:rsidRDefault="00ED2758" w:rsidP="00EA737F">
      <w:pPr>
        <w:spacing w:line="276" w:lineRule="auto"/>
        <w:rPr>
          <w:lang w:val="en-US"/>
        </w:rPr>
      </w:pPr>
    </w:p>
    <w:p w14:paraId="3C250BF0" w14:textId="77777777" w:rsidR="00ED2758" w:rsidRDefault="00ED2758" w:rsidP="00EA737F">
      <w:pPr>
        <w:spacing w:line="276" w:lineRule="auto"/>
        <w:rPr>
          <w:lang w:val="en-US"/>
        </w:rPr>
      </w:pPr>
    </w:p>
    <w:p w14:paraId="0088FF4A" w14:textId="77777777" w:rsidR="00ED2758" w:rsidRDefault="00ED2758" w:rsidP="00EA737F">
      <w:pPr>
        <w:spacing w:line="276" w:lineRule="auto"/>
        <w:rPr>
          <w:lang w:val="en-US"/>
        </w:rPr>
      </w:pPr>
    </w:p>
    <w:p w14:paraId="4C8B28B7" w14:textId="77777777" w:rsidR="00ED2758" w:rsidRDefault="00ED2758" w:rsidP="00EA737F">
      <w:pPr>
        <w:spacing w:line="276" w:lineRule="auto"/>
        <w:rPr>
          <w:lang w:val="en-US"/>
        </w:rPr>
      </w:pPr>
    </w:p>
    <w:p w14:paraId="1FF60C6E" w14:textId="77777777" w:rsidR="00ED2758" w:rsidRDefault="00ED2758" w:rsidP="00EA737F">
      <w:pPr>
        <w:spacing w:line="276" w:lineRule="auto"/>
        <w:rPr>
          <w:lang w:val="en-US"/>
        </w:rPr>
      </w:pPr>
    </w:p>
    <w:p w14:paraId="7DA30F03" w14:textId="77777777" w:rsidR="00ED2758" w:rsidRDefault="00ED2758" w:rsidP="00EA737F">
      <w:pPr>
        <w:spacing w:line="276" w:lineRule="auto"/>
        <w:rPr>
          <w:lang w:val="en-US"/>
        </w:rPr>
      </w:pPr>
    </w:p>
    <w:p w14:paraId="22AB8516" w14:textId="77777777" w:rsidR="00ED2758" w:rsidRDefault="00ED2758" w:rsidP="00EA737F">
      <w:pPr>
        <w:spacing w:line="276" w:lineRule="auto"/>
        <w:rPr>
          <w:lang w:val="en-US"/>
        </w:rPr>
      </w:pPr>
    </w:p>
    <w:p w14:paraId="675C7DF7" w14:textId="77777777" w:rsidR="00ED2758" w:rsidRDefault="00ED2758" w:rsidP="00EA737F">
      <w:pPr>
        <w:spacing w:line="276" w:lineRule="auto"/>
        <w:rPr>
          <w:lang w:val="en-US"/>
        </w:rPr>
      </w:pPr>
    </w:p>
    <w:p w14:paraId="1BA95F04" w14:textId="77777777" w:rsidR="00ED2758" w:rsidRDefault="00ED2758" w:rsidP="00EA737F">
      <w:pPr>
        <w:spacing w:line="276" w:lineRule="auto"/>
        <w:rPr>
          <w:lang w:val="en-US"/>
        </w:rPr>
      </w:pPr>
    </w:p>
    <w:p w14:paraId="0ED2D376" w14:textId="77777777" w:rsidR="00ED2758" w:rsidRDefault="00ED2758" w:rsidP="00EA737F">
      <w:pPr>
        <w:spacing w:line="276" w:lineRule="auto"/>
        <w:rPr>
          <w:lang w:val="en-US"/>
        </w:rPr>
      </w:pPr>
    </w:p>
    <w:p w14:paraId="2DFE46A4" w14:textId="77777777" w:rsidR="00ED2758" w:rsidRDefault="00ED2758" w:rsidP="00EA737F">
      <w:pPr>
        <w:spacing w:line="276" w:lineRule="auto"/>
        <w:rPr>
          <w:lang w:val="en-US"/>
        </w:rPr>
      </w:pPr>
    </w:p>
    <w:p w14:paraId="16252A52" w14:textId="77777777" w:rsidR="00ED2758" w:rsidRDefault="00ED2758" w:rsidP="00EA737F">
      <w:pPr>
        <w:spacing w:line="276" w:lineRule="auto"/>
        <w:rPr>
          <w:lang w:val="en-US"/>
        </w:rPr>
      </w:pPr>
    </w:p>
    <w:p w14:paraId="558C3B79" w14:textId="77777777" w:rsidR="00ED2758" w:rsidRDefault="00ED2758" w:rsidP="00EA737F">
      <w:pPr>
        <w:spacing w:line="276" w:lineRule="auto"/>
        <w:rPr>
          <w:lang w:val="en-US"/>
        </w:rPr>
      </w:pPr>
    </w:p>
    <w:p w14:paraId="7533617C" w14:textId="7FD271D6" w:rsidR="00ED2758" w:rsidRDefault="00EA737F" w:rsidP="003E6F9A">
      <w:pPr>
        <w:spacing w:line="276" w:lineRule="auto"/>
        <w:rPr>
          <w:b/>
          <w:bCs/>
          <w:lang w:val="en-US"/>
        </w:rPr>
      </w:pPr>
      <w:r w:rsidRPr="003E6F9A">
        <w:rPr>
          <w:b/>
          <w:bCs/>
          <w:lang w:val="en-US"/>
        </w:rPr>
        <w:lastRenderedPageBreak/>
        <w:t xml:space="preserve">1- </w:t>
      </w:r>
      <w:r w:rsidR="003E6F9A" w:rsidRPr="003E6F9A">
        <w:rPr>
          <w:b/>
          <w:bCs/>
          <w:lang w:val="en-US"/>
        </w:rPr>
        <w:t>What are the Challenges in Harmonizing Consumer Protection Standards Globally?</w:t>
      </w:r>
    </w:p>
    <w:p w14:paraId="2FE1AED8" w14:textId="77777777" w:rsidR="00ED2758" w:rsidRDefault="00ED2758" w:rsidP="003E6F9A">
      <w:pPr>
        <w:spacing w:line="276" w:lineRule="auto"/>
        <w:rPr>
          <w:b/>
          <w:bCs/>
          <w:lang w:val="en-US"/>
        </w:rPr>
      </w:pPr>
    </w:p>
    <w:p w14:paraId="682E1AFF" w14:textId="77777777" w:rsidR="00ED2758" w:rsidRPr="00ED2758" w:rsidRDefault="00ED2758" w:rsidP="00ED2758">
      <w:pPr>
        <w:spacing w:line="276" w:lineRule="auto"/>
        <w:rPr>
          <w:lang w:val="en-GB"/>
        </w:rPr>
      </w:pPr>
      <w:r w:rsidRPr="00ED2758">
        <w:rPr>
          <w:lang w:val="en-GB"/>
        </w:rPr>
        <w:t>Harmonization of global consumer protection standards faces multiple structural and normative challenges. One key challenge is fragmented regulatory frameworks. Nations develop consumer protection laws autonomously to reflect domestic conditions, priorities, and legal cultures. For example, rules governing product liability, unfair commercial practices, or marketing disclosures are framed within different philosophical and legal premises, making uniform standards hard to enforce without legal conflicts (Howells, 2019).</w:t>
      </w:r>
    </w:p>
    <w:p w14:paraId="4BCE9788" w14:textId="77777777" w:rsidR="00ED2758" w:rsidRPr="00ED2758" w:rsidRDefault="00ED2758" w:rsidP="00ED2758">
      <w:pPr>
        <w:spacing w:line="276" w:lineRule="auto"/>
        <w:rPr>
          <w:lang w:val="en-GB"/>
        </w:rPr>
      </w:pPr>
      <w:r w:rsidRPr="00ED2758">
        <w:rPr>
          <w:lang w:val="en-GB"/>
        </w:rPr>
        <w:t>Another challenge is resource and capacity asymmetry. Countries with well-resourced institutions can implement comprehensive consumer protection regimes, while those with limited administrative capacity struggle with basic enforcement. Standardizing global benchmarks risks creating regulatory pressure that lower-capacity countries cannot sustainably meet, exacerbating global inequalities (Oberholzer &amp; Kruger, 2021).</w:t>
      </w:r>
    </w:p>
    <w:p w14:paraId="4F980FA7" w14:textId="77777777" w:rsidR="00ED2758" w:rsidRPr="00ED2758" w:rsidRDefault="00ED2758" w:rsidP="00ED2758">
      <w:pPr>
        <w:spacing w:line="276" w:lineRule="auto"/>
        <w:rPr>
          <w:lang w:val="en-GB"/>
        </w:rPr>
      </w:pPr>
      <w:r w:rsidRPr="00ED2758">
        <w:rPr>
          <w:lang w:val="en-GB"/>
        </w:rPr>
        <w:t>Furthermore, market complexity and technological change complicate harmonization efforts. Digital platforms, artificial intelligence, and global supply chains create multi-jurisdictional consumer interactions where traditional regulatory boundaries no longer align with how commerce occurs. These challenges strain cross-border enforcement cooperation and make consensus on standards difficult (Gans, 2020).</w:t>
      </w:r>
    </w:p>
    <w:p w14:paraId="179D4BF1" w14:textId="77777777" w:rsidR="00ED2758" w:rsidRPr="00ED2758" w:rsidRDefault="00ED2758" w:rsidP="00ED2758">
      <w:pPr>
        <w:spacing w:line="276" w:lineRule="auto"/>
        <w:rPr>
          <w:lang w:val="en-GB"/>
        </w:rPr>
      </w:pPr>
      <w:r w:rsidRPr="00ED2758">
        <w:rPr>
          <w:lang w:val="en-GB"/>
        </w:rPr>
        <w:t xml:space="preserve">Cultural diversity also influences consumer expectations, affecting normative judgments about fairness, safety, and information disclosure. Such cultural variance means that policies suited to a particular society may not resonate elsewhere, limiting the practical relevance of standardized global norms (Wilhelmsson &amp; </w:t>
      </w:r>
      <w:proofErr w:type="spellStart"/>
      <w:r w:rsidRPr="00ED2758">
        <w:rPr>
          <w:lang w:val="en-GB"/>
        </w:rPr>
        <w:t>Micklitz</w:t>
      </w:r>
      <w:proofErr w:type="spellEnd"/>
      <w:r w:rsidRPr="00ED2758">
        <w:rPr>
          <w:lang w:val="en-GB"/>
        </w:rPr>
        <w:t>, 2018).</w:t>
      </w:r>
    </w:p>
    <w:p w14:paraId="087720F7" w14:textId="77777777" w:rsidR="00ED2758" w:rsidRPr="00ED2758" w:rsidRDefault="00ED2758" w:rsidP="00ED2758">
      <w:pPr>
        <w:spacing w:line="276" w:lineRule="auto"/>
        <w:rPr>
          <w:lang w:val="en-GB"/>
        </w:rPr>
      </w:pPr>
      <w:r w:rsidRPr="00ED2758">
        <w:rPr>
          <w:lang w:val="en-GB"/>
        </w:rPr>
        <w:t>Finally, limited global governance mechanisms constrain harmonization. International instruments such as the UN Guidelines for Consumer Protection are aspirational and non-binding, with adoption dependent on political will rather than enforceable legal obligations. Without binding frameworks, inconsistent implementation persists (UNCTAD, 2020).</w:t>
      </w:r>
    </w:p>
    <w:p w14:paraId="5D3850FC" w14:textId="77777777" w:rsidR="00ED2758" w:rsidRPr="00ED2758" w:rsidRDefault="00ED2758" w:rsidP="00ED2758">
      <w:pPr>
        <w:spacing w:line="276" w:lineRule="auto"/>
        <w:rPr>
          <w:lang w:val="en-GB"/>
        </w:rPr>
      </w:pPr>
      <w:r w:rsidRPr="00ED2758">
        <w:rPr>
          <w:lang w:val="en-GB"/>
        </w:rPr>
        <w:t>Thus, legal, economic, cultural, technological, and governance challenges fundamentally limit global harmonization of consumer protection standards.</w:t>
      </w:r>
    </w:p>
    <w:p w14:paraId="3D55B59A" w14:textId="77777777" w:rsidR="00ED2758" w:rsidRDefault="00ED2758" w:rsidP="00ED2758">
      <w:pPr>
        <w:spacing w:line="276" w:lineRule="auto"/>
        <w:rPr>
          <w:b/>
          <w:bCs/>
          <w:lang w:val="en-GB"/>
        </w:rPr>
      </w:pPr>
    </w:p>
    <w:p w14:paraId="48602F06" w14:textId="77777777" w:rsidR="00ED2758" w:rsidRDefault="00ED2758" w:rsidP="00ED2758">
      <w:pPr>
        <w:spacing w:line="276" w:lineRule="auto"/>
        <w:rPr>
          <w:b/>
          <w:bCs/>
          <w:lang w:val="en-GB"/>
        </w:rPr>
      </w:pPr>
    </w:p>
    <w:p w14:paraId="62AA02A1" w14:textId="77777777" w:rsidR="00ED2758" w:rsidRDefault="00ED2758" w:rsidP="00ED2758">
      <w:pPr>
        <w:spacing w:line="276" w:lineRule="auto"/>
        <w:rPr>
          <w:b/>
          <w:bCs/>
          <w:lang w:val="en-GB"/>
        </w:rPr>
      </w:pPr>
    </w:p>
    <w:p w14:paraId="726534F6" w14:textId="77777777" w:rsidR="00ED2758" w:rsidRDefault="00ED2758" w:rsidP="00ED2758">
      <w:pPr>
        <w:spacing w:line="276" w:lineRule="auto"/>
        <w:rPr>
          <w:b/>
          <w:bCs/>
          <w:lang w:val="en-GB"/>
        </w:rPr>
      </w:pPr>
    </w:p>
    <w:p w14:paraId="389727D3" w14:textId="77777777" w:rsidR="00ED2758" w:rsidRDefault="00ED2758" w:rsidP="00ED2758">
      <w:pPr>
        <w:spacing w:line="276" w:lineRule="auto"/>
        <w:rPr>
          <w:b/>
          <w:bCs/>
          <w:lang w:val="en-GB"/>
        </w:rPr>
      </w:pPr>
    </w:p>
    <w:p w14:paraId="30512FD2" w14:textId="77777777" w:rsidR="00ED2758" w:rsidRDefault="00ED2758" w:rsidP="00ED2758">
      <w:pPr>
        <w:spacing w:line="276" w:lineRule="auto"/>
        <w:rPr>
          <w:b/>
          <w:bCs/>
          <w:lang w:val="en-GB"/>
        </w:rPr>
      </w:pPr>
    </w:p>
    <w:p w14:paraId="7EF95275" w14:textId="77777777" w:rsidR="00ED2758" w:rsidRDefault="00ED2758" w:rsidP="00ED2758">
      <w:pPr>
        <w:spacing w:line="276" w:lineRule="auto"/>
        <w:rPr>
          <w:b/>
          <w:bCs/>
          <w:lang w:val="en-GB"/>
        </w:rPr>
      </w:pPr>
    </w:p>
    <w:p w14:paraId="6FA950D7" w14:textId="77777777" w:rsidR="00ED2758" w:rsidRDefault="00ED2758" w:rsidP="00ED2758">
      <w:pPr>
        <w:spacing w:line="276" w:lineRule="auto"/>
        <w:rPr>
          <w:b/>
          <w:bCs/>
          <w:lang w:val="en-GB"/>
        </w:rPr>
      </w:pPr>
    </w:p>
    <w:p w14:paraId="099715E6" w14:textId="77777777" w:rsidR="00ED2758" w:rsidRDefault="00ED2758" w:rsidP="00ED2758">
      <w:pPr>
        <w:spacing w:line="276" w:lineRule="auto"/>
        <w:rPr>
          <w:b/>
          <w:bCs/>
          <w:lang w:val="en-GB"/>
        </w:rPr>
      </w:pPr>
    </w:p>
    <w:p w14:paraId="3AFAA653" w14:textId="77777777" w:rsidR="00ED2758" w:rsidRDefault="00ED2758" w:rsidP="00ED2758">
      <w:pPr>
        <w:spacing w:line="276" w:lineRule="auto"/>
        <w:rPr>
          <w:b/>
          <w:bCs/>
          <w:lang w:val="en-GB"/>
        </w:rPr>
      </w:pPr>
    </w:p>
    <w:p w14:paraId="6A9E10EA" w14:textId="77777777" w:rsidR="00ED2758" w:rsidRDefault="00ED2758" w:rsidP="00ED2758">
      <w:pPr>
        <w:spacing w:line="276" w:lineRule="auto"/>
        <w:rPr>
          <w:b/>
          <w:bCs/>
          <w:lang w:val="en-GB"/>
        </w:rPr>
      </w:pPr>
    </w:p>
    <w:p w14:paraId="75F8C66A" w14:textId="77777777" w:rsidR="00ED2758" w:rsidRDefault="00ED2758" w:rsidP="00ED2758">
      <w:pPr>
        <w:spacing w:line="276" w:lineRule="auto"/>
        <w:rPr>
          <w:b/>
          <w:bCs/>
          <w:lang w:val="en-GB"/>
        </w:rPr>
      </w:pPr>
    </w:p>
    <w:p w14:paraId="43408174" w14:textId="77777777" w:rsidR="00ED2758" w:rsidRPr="00ED2758" w:rsidRDefault="00ED2758" w:rsidP="00ED2758">
      <w:pPr>
        <w:spacing w:line="276" w:lineRule="auto"/>
        <w:rPr>
          <w:b/>
          <w:bCs/>
          <w:lang w:val="en-GB"/>
        </w:rPr>
      </w:pPr>
    </w:p>
    <w:p w14:paraId="5487C8A9" w14:textId="69EC7E05" w:rsidR="00ED2758" w:rsidRPr="00ED2758" w:rsidRDefault="00ED2758" w:rsidP="00ED2758">
      <w:pPr>
        <w:spacing w:line="276" w:lineRule="auto"/>
        <w:rPr>
          <w:b/>
          <w:bCs/>
          <w:lang w:val="en-GB"/>
        </w:rPr>
      </w:pPr>
      <w:r w:rsidRPr="00ED2758">
        <w:rPr>
          <w:b/>
          <w:bCs/>
          <w:lang w:val="en-GB"/>
        </w:rPr>
        <w:lastRenderedPageBreak/>
        <w:t xml:space="preserve">References </w:t>
      </w:r>
    </w:p>
    <w:p w14:paraId="7829D18F" w14:textId="77777777" w:rsidR="00ED2758" w:rsidRPr="00ED2758" w:rsidRDefault="00ED2758" w:rsidP="00ED2758">
      <w:pPr>
        <w:spacing w:line="276" w:lineRule="auto"/>
        <w:rPr>
          <w:b/>
          <w:bCs/>
          <w:lang w:val="en-GB"/>
        </w:rPr>
      </w:pPr>
      <w:r w:rsidRPr="00ED2758">
        <w:rPr>
          <w:b/>
          <w:bCs/>
          <w:lang w:val="en-GB"/>
        </w:rPr>
        <w:t xml:space="preserve">Gans, J. (2020) ‘Digital platforms and global consumer law’, </w:t>
      </w:r>
      <w:r w:rsidRPr="00ED2758">
        <w:rPr>
          <w:b/>
          <w:bCs/>
          <w:i/>
          <w:iCs/>
          <w:lang w:val="en-GB"/>
        </w:rPr>
        <w:t>Journal of International Economic Law</w:t>
      </w:r>
      <w:r w:rsidRPr="00ED2758">
        <w:rPr>
          <w:b/>
          <w:bCs/>
          <w:lang w:val="en-GB"/>
        </w:rPr>
        <w:t>, 23(4), pp. 667–686. https://doi.org/10.1093/jiel/jgaa037</w:t>
      </w:r>
    </w:p>
    <w:p w14:paraId="775956CD" w14:textId="77777777" w:rsidR="00ED2758" w:rsidRPr="00ED2758" w:rsidRDefault="00ED2758" w:rsidP="00ED2758">
      <w:pPr>
        <w:spacing w:line="276" w:lineRule="auto"/>
        <w:rPr>
          <w:b/>
          <w:bCs/>
          <w:lang w:val="en-GB"/>
        </w:rPr>
      </w:pPr>
      <w:r w:rsidRPr="00ED2758">
        <w:rPr>
          <w:b/>
          <w:bCs/>
          <w:lang w:val="en-GB"/>
        </w:rPr>
        <w:t xml:space="preserve">Howells, G. (2019) ‘Harmonisation and consumer law: Legal diversity and regulatory outcomes’, </w:t>
      </w:r>
      <w:r w:rsidRPr="00ED2758">
        <w:rPr>
          <w:b/>
          <w:bCs/>
          <w:i/>
          <w:iCs/>
          <w:lang w:val="en-GB"/>
        </w:rPr>
        <w:t>European Review of Private Law</w:t>
      </w:r>
      <w:r w:rsidRPr="00ED2758">
        <w:rPr>
          <w:b/>
          <w:bCs/>
          <w:lang w:val="en-GB"/>
        </w:rPr>
        <w:t>, 27(5), pp. 829–848. https://doi.org/10.1515/erpl-2019-0041</w:t>
      </w:r>
    </w:p>
    <w:p w14:paraId="3964006B" w14:textId="77777777" w:rsidR="00ED2758" w:rsidRPr="00ED2758" w:rsidRDefault="00ED2758" w:rsidP="00ED2758">
      <w:pPr>
        <w:spacing w:line="276" w:lineRule="auto"/>
        <w:rPr>
          <w:b/>
          <w:bCs/>
          <w:lang w:val="en-GB"/>
        </w:rPr>
      </w:pPr>
      <w:r w:rsidRPr="00ED2758">
        <w:rPr>
          <w:b/>
          <w:bCs/>
          <w:lang w:val="en-GB"/>
        </w:rPr>
        <w:t xml:space="preserve">Oberholzer, J. &amp; Kruger, M. (2021) ‘Capacity constraints and global consumer protection policy’, </w:t>
      </w:r>
      <w:r w:rsidRPr="00ED2758">
        <w:rPr>
          <w:b/>
          <w:bCs/>
          <w:i/>
          <w:iCs/>
          <w:lang w:val="en-GB"/>
        </w:rPr>
        <w:t>Journal of Consumer Policy</w:t>
      </w:r>
      <w:r w:rsidRPr="00ED2758">
        <w:rPr>
          <w:b/>
          <w:bCs/>
          <w:lang w:val="en-GB"/>
        </w:rPr>
        <w:t>, 44(4), pp. 651–672. https://doi.org/10.1007/s10603-021-09507-w</w:t>
      </w:r>
    </w:p>
    <w:p w14:paraId="4C70CBC8" w14:textId="77777777" w:rsidR="00ED2758" w:rsidRPr="00ED2758" w:rsidRDefault="00ED2758" w:rsidP="00ED2758">
      <w:pPr>
        <w:spacing w:line="276" w:lineRule="auto"/>
        <w:rPr>
          <w:b/>
          <w:bCs/>
          <w:lang w:val="en-GB"/>
        </w:rPr>
      </w:pPr>
      <w:r w:rsidRPr="00ED2758">
        <w:rPr>
          <w:b/>
          <w:bCs/>
          <w:lang w:val="en-GB"/>
        </w:rPr>
        <w:t xml:space="preserve">UNCTAD (2020) ‘Consumer protection and development’, United Nations Conference on Trade and Development, </w:t>
      </w:r>
      <w:r w:rsidRPr="00ED2758">
        <w:rPr>
          <w:b/>
          <w:bCs/>
          <w:i/>
          <w:iCs/>
          <w:lang w:val="en-GB"/>
        </w:rPr>
        <w:t>Policy Brief</w:t>
      </w:r>
      <w:r w:rsidRPr="00ED2758">
        <w:rPr>
          <w:b/>
          <w:bCs/>
          <w:lang w:val="en-GB"/>
        </w:rPr>
        <w:t>, pp. 1–12. https://doi.org/10.18356/6b51b8fb-en</w:t>
      </w:r>
    </w:p>
    <w:p w14:paraId="1E46995D" w14:textId="77777777" w:rsidR="00ED2758" w:rsidRPr="00ED2758" w:rsidRDefault="00ED2758" w:rsidP="00ED2758">
      <w:pPr>
        <w:spacing w:line="276" w:lineRule="auto"/>
        <w:rPr>
          <w:b/>
          <w:bCs/>
          <w:lang w:val="en-GB"/>
        </w:rPr>
      </w:pPr>
      <w:r w:rsidRPr="00ED2758">
        <w:rPr>
          <w:b/>
          <w:bCs/>
          <w:lang w:val="en-GB"/>
        </w:rPr>
        <w:t xml:space="preserve">Wilhelmsson, T. &amp; </w:t>
      </w:r>
      <w:proofErr w:type="spellStart"/>
      <w:r w:rsidRPr="00ED2758">
        <w:rPr>
          <w:b/>
          <w:bCs/>
          <w:lang w:val="en-GB"/>
        </w:rPr>
        <w:t>Micklitz</w:t>
      </w:r>
      <w:proofErr w:type="spellEnd"/>
      <w:r w:rsidRPr="00ED2758">
        <w:rPr>
          <w:b/>
          <w:bCs/>
          <w:lang w:val="en-GB"/>
        </w:rPr>
        <w:t xml:space="preserve">, H.-W. (2018) ‘Consumer protection across cultures’, </w:t>
      </w:r>
      <w:r w:rsidRPr="00ED2758">
        <w:rPr>
          <w:b/>
          <w:bCs/>
          <w:i/>
          <w:iCs/>
          <w:lang w:val="en-GB"/>
        </w:rPr>
        <w:t>Journal of Consumer Policy</w:t>
      </w:r>
      <w:r w:rsidRPr="00ED2758">
        <w:rPr>
          <w:b/>
          <w:bCs/>
          <w:lang w:val="en-GB"/>
        </w:rPr>
        <w:t>, 41(4), pp. 501–523. https://doi.org/10.1007/s10603-018-9456-1</w:t>
      </w:r>
    </w:p>
    <w:p w14:paraId="3610D14F" w14:textId="77777777" w:rsidR="00ED2758" w:rsidRPr="003E6F9A" w:rsidRDefault="00ED2758" w:rsidP="003E6F9A">
      <w:pPr>
        <w:spacing w:line="276" w:lineRule="auto"/>
        <w:rPr>
          <w:b/>
          <w:bCs/>
        </w:rPr>
      </w:pPr>
    </w:p>
    <w:sectPr w:rsidR="00ED2758" w:rsidRPr="003E6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23C5A8E2-44EA-4FE8-AA6C-80C24DA82BEB}"/>
    <w:embedBold r:id="rId2" w:fontKey="{3A1C6BA5-B227-42B1-8FA0-8D3B72DE5E49}"/>
    <w:embedBoldItalic r:id="rId3" w:fontKey="{E8177917-44C6-4E39-BBF7-DEAB7D62DD8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863B45E-C605-409F-A5A0-8FE226BA230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586A6E9A-44F1-4EB6-9007-8B075FFB9B0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6F9A"/>
    <w:rsid w:val="00426865"/>
    <w:rsid w:val="00465BFD"/>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ED2758"/>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CECF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494</Words>
  <Characters>2818</Characters>
  <Application>Microsoft Office Word</Application>
  <DocSecurity>0</DocSecurity>
  <Lines>23</Lines>
  <Paragraphs>6</Paragraphs>
  <ScaleCrop>false</ScaleCrop>
  <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2026-02-04T13:20:00Z</dcterms:created>
  <dcterms:modified xsi:type="dcterms:W3CDTF">2026-02-04T13:20:00Z</dcterms:modified>
</cp:coreProperties>
</file>