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0A95AEC9" w:rsidR="00D33052" w:rsidRPr="00345836" w:rsidRDefault="00D33052" w:rsidP="00B02D87">
      <w:pPr>
        <w:spacing w:line="360" w:lineRule="auto"/>
        <w:rPr>
          <w:rFonts w:ascii="Times New Roman" w:hAnsi="Times New Roman" w:cs="Times New Roman"/>
          <w:color w:val="000000" w:themeColor="text1"/>
          <w:szCs w:val="24"/>
          <w:lang w:val="en-US"/>
        </w:rPr>
      </w:pP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5CAC9E09" w:rsidR="00F72ED2" w:rsidRPr="009D13C4" w:rsidRDefault="006C6E7E" w:rsidP="00B02D87">
      <w:pPr>
        <w:spacing w:line="360" w:lineRule="auto"/>
        <w:jc w:val="center"/>
        <w:rPr>
          <w:rFonts w:ascii="Times New Roman" w:hAnsi="Times New Roman" w:cs="Times New Roman"/>
          <w:b/>
          <w:bCs/>
          <w:color w:val="0070C0"/>
          <w:szCs w:val="24"/>
        </w:rPr>
      </w:pPr>
      <w:r w:rsidRPr="009D13C4">
        <w:rPr>
          <w:rFonts w:ascii="Times New Roman" w:hAnsi="Times New Roman" w:cs="Times New Roman"/>
          <w:b/>
          <w:bCs/>
          <w:color w:val="0070C0"/>
          <w:szCs w:val="24"/>
        </w:rPr>
        <w:t>Masters in</w:t>
      </w:r>
      <w:r w:rsidR="00F72ED2" w:rsidRPr="009D13C4">
        <w:rPr>
          <w:rFonts w:ascii="Times New Roman" w:hAnsi="Times New Roman" w:cs="Times New Roman"/>
          <w:b/>
          <w:bCs/>
          <w:color w:val="0070C0"/>
          <w:szCs w:val="24"/>
        </w:rPr>
        <w:t xml:space="preserve"> Tourism and Recreation</w:t>
      </w:r>
    </w:p>
    <w:p w14:paraId="762FE3A0" w14:textId="7620272F" w:rsidR="00987C16" w:rsidRPr="009D13C4" w:rsidRDefault="00987C16" w:rsidP="00B02D87">
      <w:pPr>
        <w:spacing w:line="360" w:lineRule="auto"/>
        <w:jc w:val="center"/>
        <w:rPr>
          <w:rFonts w:ascii="Times New Roman" w:hAnsi="Times New Roman" w:cs="Times New Roman"/>
          <w:b/>
          <w:bCs/>
          <w:color w:val="0070C0"/>
          <w:szCs w:val="24"/>
        </w:rPr>
      </w:pPr>
      <w:r w:rsidRPr="009D13C4">
        <w:rPr>
          <w:rFonts w:ascii="Times New Roman" w:hAnsi="Times New Roman" w:cs="Times New Roman"/>
          <w:b/>
          <w:bCs/>
          <w:color w:val="0070C0"/>
          <w:szCs w:val="24"/>
        </w:rPr>
        <w:t xml:space="preserve">Quality &amp; Sustainability in Tourism &amp; Hospitality Assignment </w:t>
      </w:r>
    </w:p>
    <w:p w14:paraId="1EA74B89" w14:textId="732417F6" w:rsidR="00CC17BF" w:rsidRPr="009D13C4" w:rsidRDefault="004A1F6F" w:rsidP="00B02D87">
      <w:pPr>
        <w:spacing w:line="360" w:lineRule="auto"/>
        <w:jc w:val="center"/>
        <w:rPr>
          <w:rFonts w:ascii="Times New Roman" w:eastAsia="Times New Roman" w:hAnsi="Times New Roman" w:cs="Times New Roman"/>
          <w:b/>
          <w:bCs/>
          <w:color w:val="0070C0"/>
          <w:kern w:val="0"/>
          <w:szCs w:val="24"/>
          <w:lang w:eastAsia="en-GB"/>
          <w14:ligatures w14:val="none"/>
        </w:rPr>
      </w:pPr>
      <w:r w:rsidRPr="009D13C4">
        <w:rPr>
          <w:rFonts w:ascii="Times New Roman" w:hAnsi="Times New Roman" w:cs="Times New Roman"/>
          <w:b/>
          <w:bCs/>
          <w:color w:val="0070C0"/>
          <w:szCs w:val="24"/>
        </w:rPr>
        <w:t xml:space="preserve">Submitted </w:t>
      </w:r>
      <w:r w:rsidR="00B8435D" w:rsidRPr="009D13C4">
        <w:rPr>
          <w:rFonts w:ascii="Times New Roman" w:hAnsi="Times New Roman" w:cs="Times New Roman"/>
          <w:b/>
          <w:bCs/>
          <w:color w:val="0070C0"/>
          <w:szCs w:val="24"/>
        </w:rPr>
        <w:t>by:</w:t>
      </w:r>
      <w:r w:rsidRPr="009D13C4">
        <w:rPr>
          <w:rFonts w:ascii="Times New Roman" w:hAnsi="Times New Roman" w:cs="Times New Roman"/>
          <w:b/>
          <w:bCs/>
          <w:color w:val="0070C0"/>
          <w:szCs w:val="24"/>
        </w:rPr>
        <w:t xml:space="preserve"> </w:t>
      </w:r>
      <w:r w:rsidR="009D13C4">
        <w:rPr>
          <w:rFonts w:ascii="Times New Roman" w:hAnsi="Times New Roman" w:cs="Times New Roman"/>
          <w:b/>
          <w:bCs/>
          <w:color w:val="0070C0"/>
          <w:szCs w:val="24"/>
        </w:rPr>
        <w:t>Nirmala Rani</w:t>
      </w:r>
    </w:p>
    <w:p w14:paraId="0BBC0118" w14:textId="5E26CE81" w:rsidR="00A84485" w:rsidRPr="009D13C4" w:rsidRDefault="006C6E7E" w:rsidP="00B02D87">
      <w:pPr>
        <w:spacing w:line="360" w:lineRule="auto"/>
        <w:jc w:val="center"/>
        <w:rPr>
          <w:rFonts w:ascii="Times New Roman" w:hAnsi="Times New Roman" w:cs="Times New Roman"/>
          <w:b/>
          <w:bCs/>
          <w:color w:val="0070C0"/>
          <w:szCs w:val="24"/>
        </w:rPr>
      </w:pPr>
      <w:bookmarkStart w:id="0" w:name="_Toc216766358"/>
      <w:r w:rsidRPr="009D13C4">
        <w:rPr>
          <w:rFonts w:ascii="Times New Roman" w:hAnsi="Times New Roman" w:cs="Times New Roman"/>
          <w:b/>
          <w:bCs/>
          <w:color w:val="0070C0"/>
          <w:szCs w:val="24"/>
        </w:rPr>
        <w:t>Option 1: Quality Assurance and Service Excellence in Hospitality During Christmas</w:t>
      </w:r>
    </w:p>
    <w:p w14:paraId="2092D2F4"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Default="005F39DA" w:rsidP="00B02D87">
      <w:pPr>
        <w:spacing w:line="360" w:lineRule="auto"/>
        <w:rPr>
          <w:rFonts w:ascii="Times New Roman" w:hAnsi="Times New Roman" w:cs="Times New Roman"/>
          <w:b/>
          <w:bCs/>
          <w:color w:val="000000" w:themeColor="text1"/>
          <w:szCs w:val="24"/>
        </w:rPr>
      </w:pPr>
    </w:p>
    <w:p w14:paraId="4E840DD6" w14:textId="77777777" w:rsidR="00645360" w:rsidRPr="00345836" w:rsidRDefault="00645360"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48E49C48" w14:textId="77777777" w:rsidR="009D13C4" w:rsidRPr="009D13C4" w:rsidRDefault="009D13C4" w:rsidP="009D13C4">
      <w:pPr>
        <w:spacing w:line="360" w:lineRule="auto"/>
        <w:rPr>
          <w:rFonts w:ascii="Times New Roman" w:hAnsi="Times New Roman" w:cs="Times New Roman"/>
          <w:i/>
          <w:iCs/>
          <w:color w:val="000000" w:themeColor="text1"/>
          <w:szCs w:val="24"/>
        </w:rPr>
      </w:pPr>
      <w:r w:rsidRPr="009D13C4">
        <w:rPr>
          <w:rFonts w:ascii="Times New Roman" w:hAnsi="Times New Roman" w:cs="Times New Roman"/>
          <w:i/>
          <w:iCs/>
          <w:color w:val="000000" w:themeColor="text1"/>
          <w:szCs w:val="24"/>
        </w:rPr>
        <w:t xml:space="preserve">The Christmas season signifies one of the most challenging periods for the hospitality industry, marked by peak occupancy levels, elevated customer expectations, and intensified operational demands. Hotels, resorts, and restaurants are required to provide uniform service quality notwithstanding staffing limitations, time constraints, and heightened service complexity. This study investigates how hospitality organizations uphold quality assurance and service excellence during the Christmas season, with specific emphasis on staff training, quality control systems, and customer feedback mechanisms. </w:t>
      </w:r>
      <w:r w:rsidRPr="009D13C4">
        <w:rPr>
          <w:rFonts w:ascii="Times New Roman" w:hAnsi="Times New Roman" w:cs="Times New Roman"/>
          <w:i/>
          <w:iCs/>
          <w:color w:val="000000" w:themeColor="text1"/>
          <w:szCs w:val="24"/>
        </w:rPr>
        <w:br/>
        <w:t xml:space="preserve">Utilizing a qualitative secondary research methodology, this study consolidates academic literature and industry insights to examine the strategies implemented by hospitality enterprises to uphold service quality during times of excess demand. The analysis emphasizes that structured training programs, standardized service protocols, and ongoing quality assurance systems are essential for maintaining service excellence during the Christmas period. Furthermore, customer feedback mechanisms, including online reviews, surveys, and real-time service recovery systems, allow hospitality organizations to identify service deficiencies and implement corrective measures swiftly. </w:t>
      </w:r>
      <w:r w:rsidRPr="009D13C4">
        <w:rPr>
          <w:rFonts w:ascii="Times New Roman" w:hAnsi="Times New Roman" w:cs="Times New Roman"/>
          <w:i/>
          <w:iCs/>
          <w:color w:val="000000" w:themeColor="text1"/>
          <w:szCs w:val="24"/>
        </w:rPr>
        <w:br/>
        <w:t>The findings indicate that service excellence during the Christmas season is not solely contingent upon operational efficiency but also relies on employee engagement, organizational culture, and responsiveness to customer requirements. By incorporating quality assurance frameworks alongside customer-focused strategies, hospitality organizations can improve visitor satisfaction, safeguard brand reputation, and promote lasting loyalty. This research enhances the hospitality management literature by providing insights into maintaining service quality during peak-season periods and offers practical recommendations for hospitality managers striving to attain service excellence during festive times.</w:t>
      </w:r>
    </w:p>
    <w:p w14:paraId="306FF8BA" w14:textId="77777777" w:rsidR="00645360" w:rsidRDefault="00645360" w:rsidP="00B02D87">
      <w:pPr>
        <w:spacing w:line="360" w:lineRule="auto"/>
        <w:rPr>
          <w:rFonts w:ascii="Times New Roman" w:hAnsi="Times New Roman" w:cs="Times New Roman"/>
          <w:color w:val="000000" w:themeColor="text1"/>
          <w:szCs w:val="24"/>
        </w:rPr>
      </w:pPr>
    </w:p>
    <w:p w14:paraId="1D516302" w14:textId="77777777" w:rsidR="00C65F2E" w:rsidRDefault="00C65F2E" w:rsidP="00B02D87">
      <w:pPr>
        <w:spacing w:line="360" w:lineRule="auto"/>
        <w:rPr>
          <w:rFonts w:ascii="Times New Roman" w:hAnsi="Times New Roman" w:cs="Times New Roman"/>
          <w:color w:val="000000" w:themeColor="text1"/>
          <w:szCs w:val="24"/>
        </w:rPr>
      </w:pPr>
    </w:p>
    <w:p w14:paraId="3AB3851B" w14:textId="77777777" w:rsidR="00645360" w:rsidRDefault="00645360" w:rsidP="00B02D87">
      <w:pPr>
        <w:spacing w:line="360" w:lineRule="auto"/>
        <w:rPr>
          <w:rFonts w:ascii="Times New Roman" w:hAnsi="Times New Roman" w:cs="Times New Roman"/>
          <w:color w:val="000000" w:themeColor="text1"/>
          <w:szCs w:val="24"/>
        </w:rPr>
      </w:pPr>
    </w:p>
    <w:p w14:paraId="4E14E859" w14:textId="77777777" w:rsidR="00645360" w:rsidRDefault="00645360" w:rsidP="00B02D87">
      <w:pPr>
        <w:spacing w:line="360" w:lineRule="auto"/>
        <w:rPr>
          <w:rFonts w:ascii="Times New Roman" w:hAnsi="Times New Roman" w:cs="Times New Roman"/>
          <w:color w:val="000000" w:themeColor="text1"/>
          <w:szCs w:val="24"/>
        </w:rPr>
      </w:pPr>
    </w:p>
    <w:p w14:paraId="2A6678CF" w14:textId="77777777" w:rsidR="00645360" w:rsidRPr="00345836" w:rsidRDefault="00645360"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9D13C4" w:rsidRDefault="004D7D13" w:rsidP="00B02D87">
          <w:pPr>
            <w:spacing w:line="360" w:lineRule="auto"/>
            <w:rPr>
              <w:rFonts w:ascii="Times New Roman" w:hAnsi="Times New Roman" w:cs="Times New Roman"/>
              <w:b/>
              <w:bCs/>
              <w:color w:val="0070C0"/>
              <w:szCs w:val="24"/>
            </w:rPr>
          </w:pPr>
          <w:r w:rsidRPr="009D13C4">
            <w:rPr>
              <w:rFonts w:ascii="Times New Roman" w:hAnsi="Times New Roman" w:cs="Times New Roman"/>
              <w:b/>
              <w:bCs/>
              <w:color w:val="0070C0"/>
              <w:szCs w:val="24"/>
            </w:rPr>
            <w:t>Contents</w:t>
          </w:r>
        </w:p>
        <w:p w14:paraId="1DFDE9E3" w14:textId="3C653531" w:rsidR="00496E55" w:rsidRPr="009D13C4" w:rsidRDefault="004D7D13" w:rsidP="00B02D87">
          <w:pPr>
            <w:pStyle w:val="TOC1"/>
            <w:tabs>
              <w:tab w:val="right" w:leader="dot" w:pos="9350"/>
            </w:tabs>
            <w:spacing w:line="360" w:lineRule="auto"/>
            <w:rPr>
              <w:rFonts w:ascii="Times New Roman" w:hAnsi="Times New Roman"/>
              <w:noProof/>
              <w:color w:val="0070C0"/>
              <w:kern w:val="2"/>
              <w:sz w:val="24"/>
              <w:szCs w:val="24"/>
              <w:lang w:val="en-GB" w:eastAsia="en-GB" w:bidi="hi-IN"/>
              <w14:ligatures w14:val="standardContextual"/>
            </w:rPr>
          </w:pPr>
          <w:r w:rsidRPr="009D13C4">
            <w:rPr>
              <w:rFonts w:ascii="Times New Roman" w:hAnsi="Times New Roman"/>
              <w:color w:val="0070C0"/>
              <w:sz w:val="24"/>
              <w:szCs w:val="24"/>
            </w:rPr>
            <w:fldChar w:fldCharType="begin"/>
          </w:r>
          <w:r w:rsidRPr="009D13C4">
            <w:rPr>
              <w:rFonts w:ascii="Times New Roman" w:hAnsi="Times New Roman"/>
              <w:color w:val="0070C0"/>
              <w:sz w:val="24"/>
              <w:szCs w:val="24"/>
            </w:rPr>
            <w:instrText xml:space="preserve"> TOC \o "1-3" \h \z \u </w:instrText>
          </w:r>
          <w:r w:rsidRPr="009D13C4">
            <w:rPr>
              <w:rFonts w:ascii="Times New Roman" w:hAnsi="Times New Roman"/>
              <w:color w:val="0070C0"/>
              <w:sz w:val="24"/>
              <w:szCs w:val="24"/>
            </w:rPr>
            <w:fldChar w:fldCharType="separate"/>
          </w:r>
          <w:hyperlink w:anchor="_Toc216766358" w:history="1">
            <w:r w:rsidR="00496E55" w:rsidRPr="009D13C4">
              <w:rPr>
                <w:rStyle w:val="Hyperlink"/>
                <w:rFonts w:ascii="Times New Roman" w:hAnsi="Times New Roman"/>
                <w:noProof/>
                <w:color w:val="0070C0"/>
                <w:sz w:val="24"/>
                <w:szCs w:val="24"/>
              </w:rPr>
              <w:t>Abstract</w:t>
            </w:r>
            <w:r w:rsidR="00496E55" w:rsidRPr="009D13C4">
              <w:rPr>
                <w:rFonts w:ascii="Times New Roman" w:hAnsi="Times New Roman"/>
                <w:noProof/>
                <w:webHidden/>
                <w:color w:val="0070C0"/>
                <w:sz w:val="24"/>
                <w:szCs w:val="24"/>
              </w:rPr>
              <w:tab/>
            </w:r>
            <w:r w:rsidR="00496E55" w:rsidRPr="009D13C4">
              <w:rPr>
                <w:rFonts w:ascii="Times New Roman" w:hAnsi="Times New Roman"/>
                <w:noProof/>
                <w:webHidden/>
                <w:color w:val="0070C0"/>
                <w:sz w:val="24"/>
                <w:szCs w:val="24"/>
              </w:rPr>
              <w:fldChar w:fldCharType="begin"/>
            </w:r>
            <w:r w:rsidR="00496E55" w:rsidRPr="009D13C4">
              <w:rPr>
                <w:rFonts w:ascii="Times New Roman" w:hAnsi="Times New Roman"/>
                <w:noProof/>
                <w:webHidden/>
                <w:color w:val="0070C0"/>
                <w:sz w:val="24"/>
                <w:szCs w:val="24"/>
              </w:rPr>
              <w:instrText xml:space="preserve"> PAGEREF _Toc216766358 \h </w:instrText>
            </w:r>
            <w:r w:rsidR="00496E55" w:rsidRPr="009D13C4">
              <w:rPr>
                <w:rFonts w:ascii="Times New Roman" w:hAnsi="Times New Roman"/>
                <w:noProof/>
                <w:webHidden/>
                <w:color w:val="0070C0"/>
                <w:sz w:val="24"/>
                <w:szCs w:val="24"/>
              </w:rPr>
            </w:r>
            <w:r w:rsidR="00496E55" w:rsidRPr="009D13C4">
              <w:rPr>
                <w:rFonts w:ascii="Times New Roman" w:hAnsi="Times New Roman"/>
                <w:noProof/>
                <w:webHidden/>
                <w:color w:val="0070C0"/>
                <w:sz w:val="24"/>
                <w:szCs w:val="24"/>
              </w:rPr>
              <w:fldChar w:fldCharType="separate"/>
            </w:r>
            <w:r w:rsidR="00496E55" w:rsidRPr="009D13C4">
              <w:rPr>
                <w:rFonts w:ascii="Times New Roman" w:hAnsi="Times New Roman"/>
                <w:noProof/>
                <w:webHidden/>
                <w:color w:val="0070C0"/>
                <w:sz w:val="24"/>
                <w:szCs w:val="24"/>
              </w:rPr>
              <w:t>2</w:t>
            </w:r>
            <w:r w:rsidR="00496E55" w:rsidRPr="009D13C4">
              <w:rPr>
                <w:rFonts w:ascii="Times New Roman" w:hAnsi="Times New Roman"/>
                <w:noProof/>
                <w:webHidden/>
                <w:color w:val="0070C0"/>
                <w:sz w:val="24"/>
                <w:szCs w:val="24"/>
              </w:rPr>
              <w:fldChar w:fldCharType="end"/>
            </w:r>
          </w:hyperlink>
        </w:p>
        <w:p w14:paraId="31027465" w14:textId="1D592646" w:rsidR="00496E55" w:rsidRPr="009D13C4" w:rsidRDefault="00496E55" w:rsidP="00B02D87">
          <w:pPr>
            <w:pStyle w:val="TOC1"/>
            <w:tabs>
              <w:tab w:val="right" w:leader="dot" w:pos="9350"/>
            </w:tabs>
            <w:spacing w:line="360" w:lineRule="auto"/>
            <w:rPr>
              <w:rFonts w:ascii="Times New Roman" w:hAnsi="Times New Roman"/>
              <w:noProof/>
              <w:color w:val="0070C0"/>
              <w:kern w:val="2"/>
              <w:sz w:val="24"/>
              <w:szCs w:val="24"/>
              <w:lang w:val="en-GB" w:eastAsia="en-GB" w:bidi="hi-IN"/>
              <w14:ligatures w14:val="standardContextual"/>
            </w:rPr>
          </w:pPr>
          <w:hyperlink w:anchor="_Toc216766359" w:history="1">
            <w:r w:rsidRPr="009D13C4">
              <w:rPr>
                <w:rStyle w:val="Hyperlink"/>
                <w:rFonts w:ascii="Times New Roman" w:hAnsi="Times New Roman"/>
                <w:noProof/>
                <w:color w:val="0070C0"/>
                <w:sz w:val="24"/>
                <w:szCs w:val="24"/>
              </w:rPr>
              <w:t>1.Introduction</w:t>
            </w:r>
            <w:r w:rsidRPr="009D13C4">
              <w:rPr>
                <w:rFonts w:ascii="Times New Roman" w:hAnsi="Times New Roman"/>
                <w:noProof/>
                <w:webHidden/>
                <w:color w:val="0070C0"/>
                <w:sz w:val="24"/>
                <w:szCs w:val="24"/>
              </w:rPr>
              <w:tab/>
            </w:r>
            <w:r w:rsidRPr="009D13C4">
              <w:rPr>
                <w:rFonts w:ascii="Times New Roman" w:hAnsi="Times New Roman"/>
                <w:noProof/>
                <w:webHidden/>
                <w:color w:val="0070C0"/>
                <w:sz w:val="24"/>
                <w:szCs w:val="24"/>
              </w:rPr>
              <w:fldChar w:fldCharType="begin"/>
            </w:r>
            <w:r w:rsidRPr="009D13C4">
              <w:rPr>
                <w:rFonts w:ascii="Times New Roman" w:hAnsi="Times New Roman"/>
                <w:noProof/>
                <w:webHidden/>
                <w:color w:val="0070C0"/>
                <w:sz w:val="24"/>
                <w:szCs w:val="24"/>
              </w:rPr>
              <w:instrText xml:space="preserve"> PAGEREF _Toc216766359 \h </w:instrText>
            </w:r>
            <w:r w:rsidRPr="009D13C4">
              <w:rPr>
                <w:rFonts w:ascii="Times New Roman" w:hAnsi="Times New Roman"/>
                <w:noProof/>
                <w:webHidden/>
                <w:color w:val="0070C0"/>
                <w:sz w:val="24"/>
                <w:szCs w:val="24"/>
              </w:rPr>
            </w:r>
            <w:r w:rsidRPr="009D13C4">
              <w:rPr>
                <w:rFonts w:ascii="Times New Roman" w:hAnsi="Times New Roman"/>
                <w:noProof/>
                <w:webHidden/>
                <w:color w:val="0070C0"/>
                <w:sz w:val="24"/>
                <w:szCs w:val="24"/>
              </w:rPr>
              <w:fldChar w:fldCharType="separate"/>
            </w:r>
            <w:r w:rsidRPr="009D13C4">
              <w:rPr>
                <w:rFonts w:ascii="Times New Roman" w:hAnsi="Times New Roman"/>
                <w:noProof/>
                <w:webHidden/>
                <w:color w:val="0070C0"/>
                <w:sz w:val="24"/>
                <w:szCs w:val="24"/>
              </w:rPr>
              <w:t>4</w:t>
            </w:r>
            <w:r w:rsidRPr="009D13C4">
              <w:rPr>
                <w:rFonts w:ascii="Times New Roman" w:hAnsi="Times New Roman"/>
                <w:noProof/>
                <w:webHidden/>
                <w:color w:val="0070C0"/>
                <w:sz w:val="24"/>
                <w:szCs w:val="24"/>
              </w:rPr>
              <w:fldChar w:fldCharType="end"/>
            </w:r>
          </w:hyperlink>
        </w:p>
        <w:p w14:paraId="463812BE" w14:textId="1A69D4B7" w:rsidR="00496E55" w:rsidRPr="009D13C4" w:rsidRDefault="00496E55" w:rsidP="00B02D87">
          <w:pPr>
            <w:pStyle w:val="TOC1"/>
            <w:tabs>
              <w:tab w:val="right" w:leader="dot" w:pos="9350"/>
            </w:tabs>
            <w:spacing w:line="360" w:lineRule="auto"/>
            <w:rPr>
              <w:rFonts w:ascii="Times New Roman" w:hAnsi="Times New Roman"/>
              <w:noProof/>
              <w:color w:val="0070C0"/>
              <w:kern w:val="2"/>
              <w:sz w:val="24"/>
              <w:szCs w:val="24"/>
              <w:lang w:val="en-GB" w:eastAsia="en-GB" w:bidi="hi-IN"/>
              <w14:ligatures w14:val="standardContextual"/>
            </w:rPr>
          </w:pPr>
          <w:hyperlink w:anchor="_Toc216766360" w:history="1">
            <w:r w:rsidRPr="009D13C4">
              <w:rPr>
                <w:rStyle w:val="Hyperlink"/>
                <w:rFonts w:ascii="Times New Roman" w:hAnsi="Times New Roman"/>
                <w:noProof/>
                <w:color w:val="0070C0"/>
                <w:sz w:val="24"/>
                <w:szCs w:val="24"/>
              </w:rPr>
              <w:t>2. Literature Review</w:t>
            </w:r>
            <w:r w:rsidRPr="009D13C4">
              <w:rPr>
                <w:rFonts w:ascii="Times New Roman" w:hAnsi="Times New Roman"/>
                <w:noProof/>
                <w:webHidden/>
                <w:color w:val="0070C0"/>
                <w:sz w:val="24"/>
                <w:szCs w:val="24"/>
              </w:rPr>
              <w:tab/>
            </w:r>
            <w:r w:rsidRPr="009D13C4">
              <w:rPr>
                <w:rFonts w:ascii="Times New Roman" w:hAnsi="Times New Roman"/>
                <w:noProof/>
                <w:webHidden/>
                <w:color w:val="0070C0"/>
                <w:sz w:val="24"/>
                <w:szCs w:val="24"/>
              </w:rPr>
              <w:fldChar w:fldCharType="begin"/>
            </w:r>
            <w:r w:rsidRPr="009D13C4">
              <w:rPr>
                <w:rFonts w:ascii="Times New Roman" w:hAnsi="Times New Roman"/>
                <w:noProof/>
                <w:webHidden/>
                <w:color w:val="0070C0"/>
                <w:sz w:val="24"/>
                <w:szCs w:val="24"/>
              </w:rPr>
              <w:instrText xml:space="preserve"> PAGEREF _Toc216766360 \h </w:instrText>
            </w:r>
            <w:r w:rsidRPr="009D13C4">
              <w:rPr>
                <w:rFonts w:ascii="Times New Roman" w:hAnsi="Times New Roman"/>
                <w:noProof/>
                <w:webHidden/>
                <w:color w:val="0070C0"/>
                <w:sz w:val="24"/>
                <w:szCs w:val="24"/>
              </w:rPr>
            </w:r>
            <w:r w:rsidRPr="009D13C4">
              <w:rPr>
                <w:rFonts w:ascii="Times New Roman" w:hAnsi="Times New Roman"/>
                <w:noProof/>
                <w:webHidden/>
                <w:color w:val="0070C0"/>
                <w:sz w:val="24"/>
                <w:szCs w:val="24"/>
              </w:rPr>
              <w:fldChar w:fldCharType="separate"/>
            </w:r>
            <w:r w:rsidRPr="009D13C4">
              <w:rPr>
                <w:rFonts w:ascii="Times New Roman" w:hAnsi="Times New Roman"/>
                <w:noProof/>
                <w:webHidden/>
                <w:color w:val="0070C0"/>
                <w:sz w:val="24"/>
                <w:szCs w:val="24"/>
              </w:rPr>
              <w:t>6</w:t>
            </w:r>
            <w:r w:rsidRPr="009D13C4">
              <w:rPr>
                <w:rFonts w:ascii="Times New Roman" w:hAnsi="Times New Roman"/>
                <w:noProof/>
                <w:webHidden/>
                <w:color w:val="0070C0"/>
                <w:sz w:val="24"/>
                <w:szCs w:val="24"/>
              </w:rPr>
              <w:fldChar w:fldCharType="end"/>
            </w:r>
          </w:hyperlink>
        </w:p>
        <w:p w14:paraId="7033EADF" w14:textId="77D20FDA" w:rsidR="00496E55" w:rsidRPr="009D13C4" w:rsidRDefault="00496E55" w:rsidP="00B02D87">
          <w:pPr>
            <w:pStyle w:val="TOC1"/>
            <w:tabs>
              <w:tab w:val="right" w:leader="dot" w:pos="9350"/>
            </w:tabs>
            <w:spacing w:line="360" w:lineRule="auto"/>
            <w:rPr>
              <w:rFonts w:ascii="Times New Roman" w:hAnsi="Times New Roman"/>
              <w:noProof/>
              <w:color w:val="0070C0"/>
              <w:kern w:val="2"/>
              <w:sz w:val="24"/>
              <w:szCs w:val="24"/>
              <w:lang w:val="en-GB" w:eastAsia="en-GB" w:bidi="hi-IN"/>
              <w14:ligatures w14:val="standardContextual"/>
            </w:rPr>
          </w:pPr>
          <w:hyperlink w:anchor="_Toc216766361" w:history="1">
            <w:r w:rsidRPr="009D13C4">
              <w:rPr>
                <w:rStyle w:val="Hyperlink"/>
                <w:rFonts w:ascii="Times New Roman" w:hAnsi="Times New Roman"/>
                <w:noProof/>
                <w:color w:val="0070C0"/>
                <w:sz w:val="24"/>
                <w:szCs w:val="24"/>
              </w:rPr>
              <w:t>3 Methodology</w:t>
            </w:r>
            <w:r w:rsidRPr="009D13C4">
              <w:rPr>
                <w:rFonts w:ascii="Times New Roman" w:hAnsi="Times New Roman"/>
                <w:noProof/>
                <w:webHidden/>
                <w:color w:val="0070C0"/>
                <w:sz w:val="24"/>
                <w:szCs w:val="24"/>
              </w:rPr>
              <w:tab/>
            </w:r>
            <w:r w:rsidRPr="009D13C4">
              <w:rPr>
                <w:rFonts w:ascii="Times New Roman" w:hAnsi="Times New Roman"/>
                <w:noProof/>
                <w:webHidden/>
                <w:color w:val="0070C0"/>
                <w:sz w:val="24"/>
                <w:szCs w:val="24"/>
              </w:rPr>
              <w:fldChar w:fldCharType="begin"/>
            </w:r>
            <w:r w:rsidRPr="009D13C4">
              <w:rPr>
                <w:rFonts w:ascii="Times New Roman" w:hAnsi="Times New Roman"/>
                <w:noProof/>
                <w:webHidden/>
                <w:color w:val="0070C0"/>
                <w:sz w:val="24"/>
                <w:szCs w:val="24"/>
              </w:rPr>
              <w:instrText xml:space="preserve"> PAGEREF _Toc216766361 \h </w:instrText>
            </w:r>
            <w:r w:rsidRPr="009D13C4">
              <w:rPr>
                <w:rFonts w:ascii="Times New Roman" w:hAnsi="Times New Roman"/>
                <w:noProof/>
                <w:webHidden/>
                <w:color w:val="0070C0"/>
                <w:sz w:val="24"/>
                <w:szCs w:val="24"/>
              </w:rPr>
            </w:r>
            <w:r w:rsidRPr="009D13C4">
              <w:rPr>
                <w:rFonts w:ascii="Times New Roman" w:hAnsi="Times New Roman"/>
                <w:noProof/>
                <w:webHidden/>
                <w:color w:val="0070C0"/>
                <w:sz w:val="24"/>
                <w:szCs w:val="24"/>
              </w:rPr>
              <w:fldChar w:fldCharType="separate"/>
            </w:r>
            <w:r w:rsidRPr="009D13C4">
              <w:rPr>
                <w:rFonts w:ascii="Times New Roman" w:hAnsi="Times New Roman"/>
                <w:noProof/>
                <w:webHidden/>
                <w:color w:val="0070C0"/>
                <w:sz w:val="24"/>
                <w:szCs w:val="24"/>
              </w:rPr>
              <w:t>11</w:t>
            </w:r>
            <w:r w:rsidRPr="009D13C4">
              <w:rPr>
                <w:rFonts w:ascii="Times New Roman" w:hAnsi="Times New Roman"/>
                <w:noProof/>
                <w:webHidden/>
                <w:color w:val="0070C0"/>
                <w:sz w:val="24"/>
                <w:szCs w:val="24"/>
              </w:rPr>
              <w:fldChar w:fldCharType="end"/>
            </w:r>
          </w:hyperlink>
        </w:p>
        <w:p w14:paraId="12C663C7" w14:textId="19A07D0D" w:rsidR="00496E55" w:rsidRPr="009D13C4" w:rsidRDefault="00496E55" w:rsidP="00B02D87">
          <w:pPr>
            <w:pStyle w:val="TOC1"/>
            <w:tabs>
              <w:tab w:val="right" w:leader="dot" w:pos="9350"/>
            </w:tabs>
            <w:spacing w:line="360" w:lineRule="auto"/>
            <w:rPr>
              <w:rFonts w:ascii="Times New Roman" w:hAnsi="Times New Roman"/>
              <w:noProof/>
              <w:color w:val="0070C0"/>
              <w:kern w:val="2"/>
              <w:sz w:val="24"/>
              <w:szCs w:val="24"/>
              <w:lang w:val="en-GB" w:eastAsia="en-GB" w:bidi="hi-IN"/>
              <w14:ligatures w14:val="standardContextual"/>
            </w:rPr>
          </w:pPr>
          <w:hyperlink w:anchor="_Toc216766362" w:history="1">
            <w:r w:rsidRPr="009D13C4">
              <w:rPr>
                <w:rStyle w:val="Hyperlink"/>
                <w:rFonts w:ascii="Times New Roman" w:hAnsi="Times New Roman"/>
                <w:noProof/>
                <w:color w:val="0070C0"/>
                <w:sz w:val="24"/>
                <w:szCs w:val="24"/>
              </w:rPr>
              <w:t>4 Finding</w:t>
            </w:r>
            <w:r w:rsidRPr="009D13C4">
              <w:rPr>
                <w:rFonts w:ascii="Times New Roman" w:hAnsi="Times New Roman"/>
                <w:noProof/>
                <w:webHidden/>
                <w:color w:val="0070C0"/>
                <w:sz w:val="24"/>
                <w:szCs w:val="24"/>
              </w:rPr>
              <w:tab/>
            </w:r>
            <w:r w:rsidRPr="009D13C4">
              <w:rPr>
                <w:rFonts w:ascii="Times New Roman" w:hAnsi="Times New Roman"/>
                <w:noProof/>
                <w:webHidden/>
                <w:color w:val="0070C0"/>
                <w:sz w:val="24"/>
                <w:szCs w:val="24"/>
              </w:rPr>
              <w:fldChar w:fldCharType="begin"/>
            </w:r>
            <w:r w:rsidRPr="009D13C4">
              <w:rPr>
                <w:rFonts w:ascii="Times New Roman" w:hAnsi="Times New Roman"/>
                <w:noProof/>
                <w:webHidden/>
                <w:color w:val="0070C0"/>
                <w:sz w:val="24"/>
                <w:szCs w:val="24"/>
              </w:rPr>
              <w:instrText xml:space="preserve"> PAGEREF _Toc216766362 \h </w:instrText>
            </w:r>
            <w:r w:rsidRPr="009D13C4">
              <w:rPr>
                <w:rFonts w:ascii="Times New Roman" w:hAnsi="Times New Roman"/>
                <w:noProof/>
                <w:webHidden/>
                <w:color w:val="0070C0"/>
                <w:sz w:val="24"/>
                <w:szCs w:val="24"/>
              </w:rPr>
            </w:r>
            <w:r w:rsidRPr="009D13C4">
              <w:rPr>
                <w:rFonts w:ascii="Times New Roman" w:hAnsi="Times New Roman"/>
                <w:noProof/>
                <w:webHidden/>
                <w:color w:val="0070C0"/>
                <w:sz w:val="24"/>
                <w:szCs w:val="24"/>
              </w:rPr>
              <w:fldChar w:fldCharType="separate"/>
            </w:r>
            <w:r w:rsidRPr="009D13C4">
              <w:rPr>
                <w:rFonts w:ascii="Times New Roman" w:hAnsi="Times New Roman"/>
                <w:noProof/>
                <w:webHidden/>
                <w:color w:val="0070C0"/>
                <w:sz w:val="24"/>
                <w:szCs w:val="24"/>
              </w:rPr>
              <w:t>13</w:t>
            </w:r>
            <w:r w:rsidRPr="009D13C4">
              <w:rPr>
                <w:rFonts w:ascii="Times New Roman" w:hAnsi="Times New Roman"/>
                <w:noProof/>
                <w:webHidden/>
                <w:color w:val="0070C0"/>
                <w:sz w:val="24"/>
                <w:szCs w:val="24"/>
              </w:rPr>
              <w:fldChar w:fldCharType="end"/>
            </w:r>
          </w:hyperlink>
        </w:p>
        <w:p w14:paraId="5FEE7905" w14:textId="7D49E72F" w:rsidR="00496E55" w:rsidRPr="009D13C4" w:rsidRDefault="00496E55" w:rsidP="00B02D87">
          <w:pPr>
            <w:pStyle w:val="TOC1"/>
            <w:tabs>
              <w:tab w:val="right" w:leader="dot" w:pos="9350"/>
            </w:tabs>
            <w:spacing w:line="360" w:lineRule="auto"/>
            <w:rPr>
              <w:rFonts w:ascii="Times New Roman" w:hAnsi="Times New Roman"/>
              <w:noProof/>
              <w:color w:val="0070C0"/>
              <w:kern w:val="2"/>
              <w:sz w:val="24"/>
              <w:szCs w:val="24"/>
              <w:lang w:val="en-GB" w:eastAsia="en-GB" w:bidi="hi-IN"/>
              <w14:ligatures w14:val="standardContextual"/>
            </w:rPr>
          </w:pPr>
          <w:hyperlink w:anchor="_Toc216766363" w:history="1">
            <w:r w:rsidRPr="009D13C4">
              <w:rPr>
                <w:rStyle w:val="Hyperlink"/>
                <w:rFonts w:ascii="Times New Roman" w:hAnsi="Times New Roman"/>
                <w:noProof/>
                <w:color w:val="0070C0"/>
                <w:sz w:val="24"/>
                <w:szCs w:val="24"/>
              </w:rPr>
              <w:t>5. Discussion</w:t>
            </w:r>
            <w:r w:rsidRPr="009D13C4">
              <w:rPr>
                <w:rFonts w:ascii="Times New Roman" w:hAnsi="Times New Roman"/>
                <w:noProof/>
                <w:webHidden/>
                <w:color w:val="0070C0"/>
                <w:sz w:val="24"/>
                <w:szCs w:val="24"/>
              </w:rPr>
              <w:tab/>
            </w:r>
            <w:r w:rsidRPr="009D13C4">
              <w:rPr>
                <w:rFonts w:ascii="Times New Roman" w:hAnsi="Times New Roman"/>
                <w:noProof/>
                <w:webHidden/>
                <w:color w:val="0070C0"/>
                <w:sz w:val="24"/>
                <w:szCs w:val="24"/>
              </w:rPr>
              <w:fldChar w:fldCharType="begin"/>
            </w:r>
            <w:r w:rsidRPr="009D13C4">
              <w:rPr>
                <w:rFonts w:ascii="Times New Roman" w:hAnsi="Times New Roman"/>
                <w:noProof/>
                <w:webHidden/>
                <w:color w:val="0070C0"/>
                <w:sz w:val="24"/>
                <w:szCs w:val="24"/>
              </w:rPr>
              <w:instrText xml:space="preserve"> PAGEREF _Toc216766363 \h </w:instrText>
            </w:r>
            <w:r w:rsidRPr="009D13C4">
              <w:rPr>
                <w:rFonts w:ascii="Times New Roman" w:hAnsi="Times New Roman"/>
                <w:noProof/>
                <w:webHidden/>
                <w:color w:val="0070C0"/>
                <w:sz w:val="24"/>
                <w:szCs w:val="24"/>
              </w:rPr>
            </w:r>
            <w:r w:rsidRPr="009D13C4">
              <w:rPr>
                <w:rFonts w:ascii="Times New Roman" w:hAnsi="Times New Roman"/>
                <w:noProof/>
                <w:webHidden/>
                <w:color w:val="0070C0"/>
                <w:sz w:val="24"/>
                <w:szCs w:val="24"/>
              </w:rPr>
              <w:fldChar w:fldCharType="separate"/>
            </w:r>
            <w:r w:rsidRPr="009D13C4">
              <w:rPr>
                <w:rFonts w:ascii="Times New Roman" w:hAnsi="Times New Roman"/>
                <w:noProof/>
                <w:webHidden/>
                <w:color w:val="0070C0"/>
                <w:sz w:val="24"/>
                <w:szCs w:val="24"/>
              </w:rPr>
              <w:t>17</w:t>
            </w:r>
            <w:r w:rsidRPr="009D13C4">
              <w:rPr>
                <w:rFonts w:ascii="Times New Roman" w:hAnsi="Times New Roman"/>
                <w:noProof/>
                <w:webHidden/>
                <w:color w:val="0070C0"/>
                <w:sz w:val="24"/>
                <w:szCs w:val="24"/>
              </w:rPr>
              <w:fldChar w:fldCharType="end"/>
            </w:r>
          </w:hyperlink>
        </w:p>
        <w:p w14:paraId="206C4605" w14:textId="722A16A1" w:rsidR="00496E55" w:rsidRPr="009D13C4" w:rsidRDefault="00AA1294" w:rsidP="00B02D87">
          <w:pPr>
            <w:pStyle w:val="TOC1"/>
            <w:tabs>
              <w:tab w:val="right" w:leader="dot" w:pos="9350"/>
            </w:tabs>
            <w:spacing w:line="360" w:lineRule="auto"/>
            <w:rPr>
              <w:rFonts w:ascii="Times New Roman" w:hAnsi="Times New Roman"/>
              <w:noProof/>
              <w:color w:val="0070C0"/>
              <w:kern w:val="2"/>
              <w:sz w:val="24"/>
              <w:szCs w:val="24"/>
              <w:lang w:val="en-GB" w:eastAsia="en-GB" w:bidi="hi-IN"/>
              <w14:ligatures w14:val="standardContextual"/>
            </w:rPr>
          </w:pPr>
          <w:hyperlink w:anchor="_Toc216766365" w:history="1">
            <w:r w:rsidRPr="009D13C4">
              <w:rPr>
                <w:rStyle w:val="Hyperlink"/>
                <w:rFonts w:ascii="Times New Roman" w:hAnsi="Times New Roman"/>
                <w:noProof/>
                <w:color w:val="0070C0"/>
                <w:sz w:val="24"/>
                <w:szCs w:val="24"/>
              </w:rPr>
              <w:t>6</w:t>
            </w:r>
            <w:r w:rsidR="00496E55" w:rsidRPr="009D13C4">
              <w:rPr>
                <w:rStyle w:val="Hyperlink"/>
                <w:rFonts w:ascii="Times New Roman" w:hAnsi="Times New Roman"/>
                <w:noProof/>
                <w:color w:val="0070C0"/>
                <w:sz w:val="24"/>
                <w:szCs w:val="24"/>
              </w:rPr>
              <w:t>. Conclusion</w:t>
            </w:r>
            <w:r w:rsidR="00496E55" w:rsidRPr="009D13C4">
              <w:rPr>
                <w:rFonts w:ascii="Times New Roman" w:hAnsi="Times New Roman"/>
                <w:noProof/>
                <w:webHidden/>
                <w:color w:val="0070C0"/>
                <w:sz w:val="24"/>
                <w:szCs w:val="24"/>
              </w:rPr>
              <w:tab/>
            </w:r>
            <w:r w:rsidR="00496E55" w:rsidRPr="009D13C4">
              <w:rPr>
                <w:rFonts w:ascii="Times New Roman" w:hAnsi="Times New Roman"/>
                <w:noProof/>
                <w:webHidden/>
                <w:color w:val="0070C0"/>
                <w:sz w:val="24"/>
                <w:szCs w:val="24"/>
              </w:rPr>
              <w:fldChar w:fldCharType="begin"/>
            </w:r>
            <w:r w:rsidR="00496E55" w:rsidRPr="009D13C4">
              <w:rPr>
                <w:rFonts w:ascii="Times New Roman" w:hAnsi="Times New Roman"/>
                <w:noProof/>
                <w:webHidden/>
                <w:color w:val="0070C0"/>
                <w:sz w:val="24"/>
                <w:szCs w:val="24"/>
              </w:rPr>
              <w:instrText xml:space="preserve"> PAGEREF _Toc216766365 \h </w:instrText>
            </w:r>
            <w:r w:rsidR="00496E55" w:rsidRPr="009D13C4">
              <w:rPr>
                <w:rFonts w:ascii="Times New Roman" w:hAnsi="Times New Roman"/>
                <w:noProof/>
                <w:webHidden/>
                <w:color w:val="0070C0"/>
                <w:sz w:val="24"/>
                <w:szCs w:val="24"/>
              </w:rPr>
            </w:r>
            <w:r w:rsidR="00496E55" w:rsidRPr="009D13C4">
              <w:rPr>
                <w:rFonts w:ascii="Times New Roman" w:hAnsi="Times New Roman"/>
                <w:noProof/>
                <w:webHidden/>
                <w:color w:val="0070C0"/>
                <w:sz w:val="24"/>
                <w:szCs w:val="24"/>
              </w:rPr>
              <w:fldChar w:fldCharType="separate"/>
            </w:r>
            <w:r w:rsidR="00496E55" w:rsidRPr="009D13C4">
              <w:rPr>
                <w:rFonts w:ascii="Times New Roman" w:hAnsi="Times New Roman"/>
                <w:noProof/>
                <w:webHidden/>
                <w:color w:val="0070C0"/>
                <w:sz w:val="24"/>
                <w:szCs w:val="24"/>
              </w:rPr>
              <w:t>22</w:t>
            </w:r>
            <w:r w:rsidR="00496E55" w:rsidRPr="009D13C4">
              <w:rPr>
                <w:rFonts w:ascii="Times New Roman" w:hAnsi="Times New Roman"/>
                <w:noProof/>
                <w:webHidden/>
                <w:color w:val="0070C0"/>
                <w:sz w:val="24"/>
                <w:szCs w:val="24"/>
              </w:rPr>
              <w:fldChar w:fldCharType="end"/>
            </w:r>
          </w:hyperlink>
        </w:p>
        <w:p w14:paraId="74C6E94E" w14:textId="756ED05D" w:rsidR="00496E55" w:rsidRPr="009D13C4" w:rsidRDefault="00496E55" w:rsidP="00B02D87">
          <w:pPr>
            <w:pStyle w:val="TOC1"/>
            <w:tabs>
              <w:tab w:val="right" w:leader="dot" w:pos="9350"/>
            </w:tabs>
            <w:spacing w:line="360" w:lineRule="auto"/>
            <w:rPr>
              <w:rFonts w:ascii="Times New Roman" w:hAnsi="Times New Roman"/>
              <w:noProof/>
              <w:color w:val="0070C0"/>
              <w:kern w:val="2"/>
              <w:sz w:val="24"/>
              <w:szCs w:val="24"/>
              <w:lang w:val="en-GB" w:eastAsia="en-GB" w:bidi="hi-IN"/>
              <w14:ligatures w14:val="standardContextual"/>
            </w:rPr>
          </w:pPr>
          <w:hyperlink w:anchor="_Toc216766366" w:history="1">
            <w:r w:rsidRPr="009D13C4">
              <w:rPr>
                <w:rStyle w:val="Hyperlink"/>
                <w:rFonts w:ascii="Times New Roman" w:hAnsi="Times New Roman"/>
                <w:noProof/>
                <w:color w:val="0070C0"/>
                <w:sz w:val="24"/>
                <w:szCs w:val="24"/>
              </w:rPr>
              <w:t>Reference List</w:t>
            </w:r>
            <w:r w:rsidRPr="009D13C4">
              <w:rPr>
                <w:rFonts w:ascii="Times New Roman" w:hAnsi="Times New Roman"/>
                <w:noProof/>
                <w:webHidden/>
                <w:color w:val="0070C0"/>
                <w:sz w:val="24"/>
                <w:szCs w:val="24"/>
              </w:rPr>
              <w:tab/>
            </w:r>
            <w:r w:rsidRPr="009D13C4">
              <w:rPr>
                <w:rFonts w:ascii="Times New Roman" w:hAnsi="Times New Roman"/>
                <w:noProof/>
                <w:webHidden/>
                <w:color w:val="0070C0"/>
                <w:sz w:val="24"/>
                <w:szCs w:val="24"/>
              </w:rPr>
              <w:fldChar w:fldCharType="begin"/>
            </w:r>
            <w:r w:rsidRPr="009D13C4">
              <w:rPr>
                <w:rFonts w:ascii="Times New Roman" w:hAnsi="Times New Roman"/>
                <w:noProof/>
                <w:webHidden/>
                <w:color w:val="0070C0"/>
                <w:sz w:val="24"/>
                <w:szCs w:val="24"/>
              </w:rPr>
              <w:instrText xml:space="preserve"> PAGEREF _Toc216766366 \h </w:instrText>
            </w:r>
            <w:r w:rsidRPr="009D13C4">
              <w:rPr>
                <w:rFonts w:ascii="Times New Roman" w:hAnsi="Times New Roman"/>
                <w:noProof/>
                <w:webHidden/>
                <w:color w:val="0070C0"/>
                <w:sz w:val="24"/>
                <w:szCs w:val="24"/>
              </w:rPr>
            </w:r>
            <w:r w:rsidRPr="009D13C4">
              <w:rPr>
                <w:rFonts w:ascii="Times New Roman" w:hAnsi="Times New Roman"/>
                <w:noProof/>
                <w:webHidden/>
                <w:color w:val="0070C0"/>
                <w:sz w:val="24"/>
                <w:szCs w:val="24"/>
              </w:rPr>
              <w:fldChar w:fldCharType="separate"/>
            </w:r>
            <w:r w:rsidRPr="009D13C4">
              <w:rPr>
                <w:rFonts w:ascii="Times New Roman" w:hAnsi="Times New Roman"/>
                <w:noProof/>
                <w:webHidden/>
                <w:color w:val="0070C0"/>
                <w:sz w:val="24"/>
                <w:szCs w:val="24"/>
              </w:rPr>
              <w:t>24</w:t>
            </w:r>
            <w:r w:rsidRPr="009D13C4">
              <w:rPr>
                <w:rFonts w:ascii="Times New Roman" w:hAnsi="Times New Roman"/>
                <w:noProof/>
                <w:webHidden/>
                <w:color w:val="0070C0"/>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9D13C4">
            <w:rPr>
              <w:rFonts w:ascii="Times New Roman" w:hAnsi="Times New Roman" w:cs="Times New Roman"/>
              <w:noProof/>
              <w:color w:val="0070C0"/>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332B22FE" w14:textId="77777777" w:rsidR="00C65F2E" w:rsidRPr="00C65F2E" w:rsidRDefault="00C65F2E" w:rsidP="00C65F2E">
      <w:pPr>
        <w:spacing w:line="360" w:lineRule="auto"/>
        <w:rPr>
          <w:rFonts w:ascii="Times New Roman" w:hAnsi="Times New Roman" w:cs="Times New Roman"/>
          <w:color w:val="000000" w:themeColor="text1"/>
          <w:szCs w:val="24"/>
        </w:rPr>
      </w:pPr>
      <w:bookmarkStart w:id="2" w:name="_Toc216766360"/>
      <w:r w:rsidRPr="00C65F2E">
        <w:rPr>
          <w:rFonts w:ascii="Times New Roman" w:hAnsi="Times New Roman" w:cs="Times New Roman"/>
          <w:color w:val="000000" w:themeColor="text1"/>
          <w:szCs w:val="24"/>
        </w:rPr>
        <w:t>The Christmas season is widely regarded as the most commercially significant period for the hospitality industry, marked by increased travel activity, festive dining, and celebratory events. Hotels, resorts, and restaurants experience substantial surges in demand as consumers seek leisure experiences, family gatherings, and holiday celebrations. While this period presents lucrative revenue opportunities, it also introduces considerable challenges related to maintaining consistent service quality and operational excellence. Heightened customer expectations, staff shortages, and increased service complexity make quality assurance a critical managerial priority during the festive season.</w:t>
      </w:r>
    </w:p>
    <w:p w14:paraId="18EA3CEC"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Service quality is a central determinant of customer satisfaction, loyalty, and brand reputation in the hospitality industry. Unlike tangible products, hospitality services are intangible, perishable, and highly dependent on human interaction. During peak periods such as Christmas, service delivery becomes more vulnerable to errors due to increased workload, time pressure, and variability in employee performance. Research suggests that service failures during high-demand periods have a disproportionately negative impact on customer perceptions and post-consumption evaluations, particularly when services are associated with emotionally significant occasions such as Christmas (Parasuraman et al., 1988).</w:t>
      </w:r>
    </w:p>
    <w:p w14:paraId="6D2FEA9F"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assurance in hospitality refers to the systematic processes and standards used to ensure consistent service delivery that meets or exceeds customer expectations. These processes include staff training, standard operating procedures, performance monitoring, and service audits. During the Christmas season, quality assurance systems must be flexible enough to accommodate fluctuating demand while maintaining consistency across service encounters. Effective quality assurance enables hospitality organisations to deliver reliable, responsive, and empathetic service even under peak pressure.</w:t>
      </w:r>
    </w:p>
    <w:p w14:paraId="6248BB2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 xml:space="preserve">Employee training is widely recognised as a foundational element of service excellence. During Christmas, hospitality organisations often rely on seasonal or temporary staff, increasing the risk of service inconsistency. Training programmes focused on service standards, customer interaction, and service recovery are essential for equipping employees with the skills and confidence needed to perform effectively during busy periods. Moreover, empowered and </w:t>
      </w:r>
      <w:r w:rsidRPr="00C65F2E">
        <w:rPr>
          <w:rFonts w:ascii="Times New Roman" w:hAnsi="Times New Roman" w:cs="Times New Roman"/>
          <w:color w:val="000000" w:themeColor="text1"/>
          <w:szCs w:val="24"/>
        </w:rPr>
        <w:lastRenderedPageBreak/>
        <w:t>motivated employees are more likely to deliver personalised and emotionally engaging service, which is particularly valued during festive occasions.</w:t>
      </w:r>
    </w:p>
    <w:p w14:paraId="1B4024C7"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Quality control systems and customer feedback mechanisms further support service excellence during peak seasons. Tools such as service quality audits, mystery shopping, guest satisfaction surveys, and online review monitoring provide valuable insights into service performance. Real-time feedback allows managers to identify service gaps quickly and implement corrective actions before negative experiences escalate. In the digital era, online reviews and social media feedback have become especially influential, amplifying the consequences of service failures during Christmas.</w:t>
      </w:r>
    </w:p>
    <w:p w14:paraId="06CFB1D3" w14:textId="77777777" w:rsidR="00C65F2E" w:rsidRPr="00C65F2E" w:rsidRDefault="00C65F2E" w:rsidP="00C65F2E">
      <w:pPr>
        <w:spacing w:line="360" w:lineRule="auto"/>
        <w:rPr>
          <w:rFonts w:ascii="Times New Roman" w:hAnsi="Times New Roman" w:cs="Times New Roman"/>
          <w:color w:val="000000" w:themeColor="text1"/>
          <w:szCs w:val="24"/>
        </w:rPr>
      </w:pPr>
      <w:r w:rsidRPr="00C65F2E">
        <w:rPr>
          <w:rFonts w:ascii="Times New Roman" w:hAnsi="Times New Roman" w:cs="Times New Roman"/>
          <w:color w:val="000000" w:themeColor="text1"/>
          <w:szCs w:val="24"/>
        </w:rPr>
        <w:t>The purpose of this report is to investigate how hotels, resorts, and restaurants maintain high-quality service standards during the Christmas season and to examine the role of staff training, quality control systems, and customer feedback mechanisms in ensuring service excellence during periods of peak demand. By analysing academic research and industry practices, this study aims to provide a comprehensive understanding of quality assurance strategies in festive hospitality operations and their implications for customer satisfaction and long-term business performance.</w:t>
      </w:r>
    </w:p>
    <w:p w14:paraId="486CE9FF" w14:textId="77777777" w:rsidR="00E1266E" w:rsidRDefault="00E1266E" w:rsidP="00B02D87">
      <w:pPr>
        <w:spacing w:line="360" w:lineRule="auto"/>
        <w:rPr>
          <w:rStyle w:val="Heading1Char"/>
          <w:rFonts w:ascii="Times New Roman" w:hAnsi="Times New Roman" w:cs="Times New Roman"/>
          <w:b/>
          <w:bCs/>
          <w:color w:val="000000" w:themeColor="text1"/>
          <w:sz w:val="24"/>
          <w:szCs w:val="24"/>
        </w:rPr>
      </w:pPr>
    </w:p>
    <w:p w14:paraId="6265A782"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BC643FC"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3819EC3A"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6871262D"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40D1ACA4"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08BF13B9"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13758310"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72FFDBA8" w14:textId="77777777" w:rsidR="00C65F2E" w:rsidRDefault="00C65F2E" w:rsidP="00B02D87">
      <w:pPr>
        <w:spacing w:line="360" w:lineRule="auto"/>
        <w:rPr>
          <w:rStyle w:val="Heading1Char"/>
          <w:rFonts w:ascii="Times New Roman" w:hAnsi="Times New Roman" w:cs="Times New Roman"/>
          <w:b/>
          <w:bCs/>
          <w:color w:val="000000" w:themeColor="text1"/>
          <w:sz w:val="24"/>
          <w:szCs w:val="24"/>
        </w:rPr>
      </w:pPr>
    </w:p>
    <w:p w14:paraId="2CB964D3" w14:textId="77777777" w:rsidR="00E1266E" w:rsidRPr="00345836" w:rsidRDefault="00E1266E" w:rsidP="00B02D87">
      <w:pPr>
        <w:spacing w:line="360" w:lineRule="auto"/>
        <w:rPr>
          <w:rStyle w:val="Heading1Char"/>
          <w:rFonts w:ascii="Times New Roman" w:hAnsi="Times New Roman" w:cs="Times New Roman"/>
          <w:b/>
          <w:bCs/>
          <w:color w:val="000000" w:themeColor="text1"/>
          <w:sz w:val="24"/>
          <w:szCs w:val="24"/>
        </w:rPr>
      </w:pPr>
    </w:p>
    <w:p w14:paraId="0817F0B0" w14:textId="77777777" w:rsidR="00531D00" w:rsidRPr="00531D00" w:rsidRDefault="002B0CE3" w:rsidP="00531D00">
      <w:pPr>
        <w:spacing w:line="360" w:lineRule="auto"/>
        <w:rPr>
          <w:rFonts w:cs="Times New Roman"/>
          <w:color w:val="000000" w:themeColor="text1"/>
          <w:szCs w:val="24"/>
        </w:rPr>
      </w:pPr>
      <w:r w:rsidRPr="00345836">
        <w:rPr>
          <w:rStyle w:val="Heading1Char"/>
          <w:rFonts w:ascii="Times New Roman" w:hAnsi="Times New Roman" w:cs="Times New Roman"/>
          <w:b/>
          <w:bCs/>
          <w:color w:val="000000" w:themeColor="text1"/>
          <w:sz w:val="24"/>
          <w:szCs w:val="24"/>
        </w:rPr>
        <w:lastRenderedPageBreak/>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531D00" w:rsidRPr="00531D00">
        <w:rPr>
          <w:rFonts w:cs="Times New Roman"/>
          <w:b/>
          <w:bCs/>
          <w:color w:val="000000" w:themeColor="text1"/>
          <w:szCs w:val="24"/>
        </w:rPr>
        <w:t>Quality Assurance and Service Excellence in Hospitality During the Christmas Season</w:t>
      </w:r>
    </w:p>
    <w:p w14:paraId="19795057"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The hospitality industry’s dependence on human interaction and experiential value makes quality assurance and service excellence enduring themes in academic research. These themes become especially critical during peak periods such as the Christmas season, when demand surges, service encounters multiply, and customer expectations intensify. The literature consistently shows that maintaining service quality under peak pressure requires systematic planning, robust quality management systems, and a strong service culture rather than ad hoc problem-solving.</w:t>
      </w:r>
    </w:p>
    <w:p w14:paraId="5E0BE4D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Service Quality Foundations in Hospitality</w:t>
      </w:r>
    </w:p>
    <w:p w14:paraId="0958173E"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quality is commonly defined as the comparison between customer expectations and perceived service performance. The SERVQUAL framework conceptualises service quality across dimensions of reliability, responsiveness, assurance, empathy, and tangibles, all of which are particularly salient during festive periods. Research indicates that during Christmas, expectations rise not only for efficiency but also for emotional warmth, personalised attention, and festive ambience. Failure to meet these elevated expectations can result in disproportionate dissatisfaction, as festive consumption is emotionally laden and socially visible.</w:t>
      </w:r>
    </w:p>
    <w:p w14:paraId="1380679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Beyond SERVQUAL, service-dominant logic emphasises co-creation of value through interactions between employees and guests. During Christmas, guests actively participate in shaping their experiences through preferences, feedback, and social interactions, placing additional pressure on frontline staff to adapt service delivery in real time. Studies suggest that service excellence in such contexts depends on the alignment of processes, people, and organisational culture.</w:t>
      </w:r>
    </w:p>
    <w:p w14:paraId="4013AD74"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Peak-Demand Context and Operational Stress</w:t>
      </w:r>
    </w:p>
    <w:p w14:paraId="4DF2168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Peak demand periods introduce operational stressors that threaten service consistency. High occupancy rates, rapid table turnover, extended operating hours, and event-based complexity increase the likelihood of service variability and errors. The literature notes that peak-season stress exacerbates capacity constraints, queueing problems, and coordination failures across departments. During Christmas, these stressors are intensified by seasonal events, special menus, group bookings, and reliance on temporary staff.</w:t>
      </w:r>
    </w:p>
    <w:p w14:paraId="5B58102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lastRenderedPageBreak/>
        <w:t>Research in service operations management underscores the importance of capacity planning, demand forecasting, and process standardisation to manage peak loads. Organisations that anticipate seasonal demand and design scalable processes demonstrate greater resilience and service stability. Conversely, inadequate planning often leads to service bottlenecks and diminished guest satisfaction.</w:t>
      </w:r>
    </w:p>
    <w:p w14:paraId="5C7004A7"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Staff Training and Human Resource Practices</w:t>
      </w:r>
    </w:p>
    <w:p w14:paraId="506F50C3"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Employee training emerges as a central determinant of service excellence, particularly during peak seasons. Training equips employees with technical skills, service scripts, and interpersonal competencies necessary to perform under pressure. The literature highlights that hospitality employees engage in significant emotional labour, managing their own emotions to deliver warmth and empathy—capabilities that are highly valued during Christmas.</w:t>
      </w:r>
    </w:p>
    <w:p w14:paraId="597A175D"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Seasonality introduces additional training challenges. Many hospitality organisations employ seasonal or temporary workers during Christmas, increasing the risk of inconsistent service. Studies show that structured induction programmes, job shadowing, and role-specific micro-training can mitigate this risk by accelerating competence and confidence. Christmas-specific training—covering festive menus, event protocols, cultural sensitivity, and service recovery—has been linked to improved service reliability and guest satisfaction.</w:t>
      </w:r>
    </w:p>
    <w:p w14:paraId="3BDF3269"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Empowerment-based training is also emphasised. Empowered employees who can make discretionary decisions are better positioned to resolve issues promptly during busy periods. The literature suggests that empowerment enhances service recovery effectiveness and reduces escalation, which is crucial when managerial oversight is stretched during Christmas peaks.</w:t>
      </w:r>
    </w:p>
    <w:p w14:paraId="7C9DC7FF"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Quality Control Systems and Standardisation</w:t>
      </w:r>
    </w:p>
    <w:p w14:paraId="4C0E8A6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Quality control systems provide the structural backbone for service excellence. Standard operating procedures, service blueprints, checklists, and audits help ensure consistency across service encounters. During peak seasons, such systems reduce cognitive load on employees and minimise variability. Research indicates that organisations with mature quality management systems are more capable of sustaining service standards under pressure.</w:t>
      </w:r>
    </w:p>
    <w:p w14:paraId="64DF981B"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lastRenderedPageBreak/>
        <w:t>Mystery shopping and internal audits are widely discussed as tools for monitoring service quality. While their use during peak periods may be constrained by time and cost, the literature suggests that targeted audits focused on critical touchpoints—check-in, dining service, and complaint handling—are particularly effective during Christmas. Continuous improvement models, such as Total Quality Management, further support service excellence by embedding quality into organisational routines.</w:t>
      </w:r>
    </w:p>
    <w:p w14:paraId="70DB4116"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Technology-Enabled Quality Assurance</w:t>
      </w:r>
    </w:p>
    <w:p w14:paraId="265CDDC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Advances in hospitality technology have expanded quality assurance capabilities. Property management systems, point-of-sale analytics, and customer relationship management platforms enable real-time monitoring of occupancy, service speed, and guest preferences. During Christmas, these systems support coordination across departments and facilitate rapid response to service deviations.</w:t>
      </w:r>
    </w:p>
    <w:p w14:paraId="53B60891"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Digital tools also enable predictive insights. Data analytics can forecast demand spikes, identify staffing gaps, and flag potential service failures before they occur. The literature suggests that technology-enhanced quality control complements human judgment, particularly during periods of high service intensity. However, scholars caution that technology should support—not replace—human interaction, as excessive automation may undermine perceived warmth and authenticity.</w:t>
      </w:r>
    </w:p>
    <w:p w14:paraId="09738FA0"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Customer Feedback and Service Recovery</w:t>
      </w:r>
    </w:p>
    <w:p w14:paraId="3159A4A6"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Customer feedback mechanisms are integral to quality assurance and continuous improvement. Traditional tools such as post-stay surveys and comment cards have been supplemented by online reviews, social media comments, and real-time feedback applications. The literature demonstrates that electronic word-of-mouth significantly influences brand reputation, with effects amplified during Christmas when guests are more likely to share experiences publicly.</w:t>
      </w:r>
    </w:p>
    <w:p w14:paraId="570E3EA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 xml:space="preserve">Real-time feedback systems enable immediate service recovery, which is critical during peak periods. Studies show that prompt, empathetic responses to service failures can mitigate dissatisfaction and even enhance loyalty. Effective service recovery depends on clear protocols, employee empowerment, and managerial support. However, high volumes of feedback during </w:t>
      </w:r>
      <w:r w:rsidRPr="00531D00">
        <w:rPr>
          <w:rFonts w:ascii="Times New Roman" w:hAnsi="Times New Roman" w:cs="Times New Roman"/>
          <w:color w:val="000000" w:themeColor="text1"/>
          <w:szCs w:val="24"/>
        </w:rPr>
        <w:lastRenderedPageBreak/>
        <w:t>Christmas can overwhelm organisations lacking sufficient response capacity, underscoring the need for prioritisation and triage mechanisms.</w:t>
      </w:r>
    </w:p>
    <w:p w14:paraId="5885ADE2"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Employee Engagement and Service Culture</w:t>
      </w:r>
    </w:p>
    <w:p w14:paraId="1B6C998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Service excellence is closely linked to employee engagement and organisational culture. Engaged employees are more likely to exhibit discretionary effort, adaptability, and positive attitudes—attributes that enhance guest experiences during busy periods. The literature emphasises leadership, recognition, and supportive work practices as drivers of engagement.</w:t>
      </w:r>
    </w:p>
    <w:p w14:paraId="304BD05A"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Christmas presents unique challenges to engagement, including long working hours and work–life balance pressures. Research suggests that fair scheduling, recognition of festive labour, and well-being initiatives can sustain morale and reduce burnout. A strong service culture that emphasises teamwork and shared purpose further supports service excellence under peak demand.</w:t>
      </w:r>
    </w:p>
    <w:p w14:paraId="6784D885"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Balancing Standardisation and Personalisation</w:t>
      </w:r>
    </w:p>
    <w:p w14:paraId="6E735F9F"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 xml:space="preserve">A recurring theme in the literature is the tension between standardisation and personalisation. While standardisation ensures consistency and efficiency, festive guests often seek personalised and memorable experiences. Studies suggest that effective service excellence during Christmas requires “flexible standardisation,” where core processes are </w:t>
      </w:r>
      <w:proofErr w:type="gramStart"/>
      <w:r w:rsidRPr="00531D00">
        <w:rPr>
          <w:rFonts w:ascii="Times New Roman" w:hAnsi="Times New Roman" w:cs="Times New Roman"/>
          <w:color w:val="000000" w:themeColor="text1"/>
          <w:szCs w:val="24"/>
        </w:rPr>
        <w:t>standardised</w:t>
      </w:r>
      <w:proofErr w:type="gramEnd"/>
      <w:r w:rsidRPr="00531D00">
        <w:rPr>
          <w:rFonts w:ascii="Times New Roman" w:hAnsi="Times New Roman" w:cs="Times New Roman"/>
          <w:color w:val="000000" w:themeColor="text1"/>
          <w:szCs w:val="24"/>
        </w:rPr>
        <w:t xml:space="preserve"> but employees are encouraged to personalise interactions within defined boundaries.</w:t>
      </w:r>
    </w:p>
    <w:p w14:paraId="5B2859E3" w14:textId="77777777" w:rsidR="00531D00" w:rsidRPr="00531D00" w:rsidRDefault="00531D00" w:rsidP="00531D00">
      <w:pPr>
        <w:spacing w:line="360" w:lineRule="auto"/>
        <w:rPr>
          <w:rFonts w:ascii="Times New Roman" w:hAnsi="Times New Roman" w:cs="Times New Roman"/>
          <w:b/>
          <w:bCs/>
          <w:color w:val="000000" w:themeColor="text1"/>
          <w:szCs w:val="24"/>
        </w:rPr>
      </w:pPr>
      <w:r w:rsidRPr="00531D00">
        <w:rPr>
          <w:rFonts w:ascii="Times New Roman" w:hAnsi="Times New Roman" w:cs="Times New Roman"/>
          <w:b/>
          <w:bCs/>
          <w:color w:val="000000" w:themeColor="text1"/>
          <w:szCs w:val="24"/>
        </w:rPr>
        <w:t>Summary</w:t>
      </w:r>
    </w:p>
    <w:p w14:paraId="360D2E82" w14:textId="77777777" w:rsidR="00531D00" w:rsidRPr="00531D00" w:rsidRDefault="00531D00" w:rsidP="00531D00">
      <w:pPr>
        <w:spacing w:line="360" w:lineRule="auto"/>
        <w:rPr>
          <w:rFonts w:ascii="Times New Roman" w:hAnsi="Times New Roman" w:cs="Times New Roman"/>
          <w:color w:val="000000" w:themeColor="text1"/>
          <w:szCs w:val="24"/>
        </w:rPr>
      </w:pPr>
      <w:r w:rsidRPr="00531D00">
        <w:rPr>
          <w:rFonts w:ascii="Times New Roman" w:hAnsi="Times New Roman" w:cs="Times New Roman"/>
          <w:color w:val="000000" w:themeColor="text1"/>
          <w:szCs w:val="24"/>
        </w:rPr>
        <w:t>Overall, the literature indicates that quality assurance and service excellence in hospitality during the Christmas season depend on the integration of training, quality control systems, technology, and feedback mechanisms within a supportive service culture. Peak-season challenges necessitate proactive planning, employee empowerment, and continuous monitoring. Organisations that align operational systems with human-centric practices are better positioned to deliver consistent, high-quality service during periods of intensified demand.</w:t>
      </w:r>
    </w:p>
    <w:p w14:paraId="1AB7B681" w14:textId="77777777" w:rsidR="00531D00" w:rsidRPr="00345836" w:rsidRDefault="00531D00" w:rsidP="001E2A7C">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2EF0CB21"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b/>
          <w:bCs/>
          <w:color w:val="000000" w:themeColor="text1"/>
          <w:szCs w:val="24"/>
        </w:rPr>
        <w:t>Quality Assurance and Service Excellence in Hospitality During the Christmas Season</w:t>
      </w:r>
    </w:p>
    <w:p w14:paraId="66AD7BFD"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This study adopts a </w:t>
      </w:r>
      <w:r w:rsidRPr="00751C25">
        <w:rPr>
          <w:rFonts w:ascii="Times New Roman" w:eastAsiaTheme="majorEastAsia" w:hAnsi="Times New Roman" w:cs="Times New Roman"/>
          <w:b/>
          <w:bCs/>
          <w:color w:val="000000" w:themeColor="text1"/>
          <w:szCs w:val="24"/>
        </w:rPr>
        <w:t>qualitative research approach</w:t>
      </w:r>
      <w:r w:rsidRPr="00751C25">
        <w:rPr>
          <w:rFonts w:ascii="Times New Roman" w:eastAsiaTheme="majorEastAsia" w:hAnsi="Times New Roman" w:cs="Times New Roman"/>
          <w:color w:val="000000" w:themeColor="text1"/>
          <w:szCs w:val="24"/>
        </w:rPr>
        <w:t xml:space="preserve"> based on </w:t>
      </w:r>
      <w:r w:rsidRPr="00751C25">
        <w:rPr>
          <w:rFonts w:ascii="Times New Roman" w:eastAsiaTheme="majorEastAsia" w:hAnsi="Times New Roman" w:cs="Times New Roman"/>
          <w:b/>
          <w:bCs/>
          <w:color w:val="000000" w:themeColor="text1"/>
          <w:szCs w:val="24"/>
        </w:rPr>
        <w:t>secondary data analysis</w:t>
      </w:r>
      <w:r w:rsidRPr="00751C25">
        <w:rPr>
          <w:rFonts w:ascii="Times New Roman" w:eastAsiaTheme="majorEastAsia" w:hAnsi="Times New Roman" w:cs="Times New Roman"/>
          <w:color w:val="000000" w:themeColor="text1"/>
          <w:szCs w:val="24"/>
        </w:rPr>
        <w:t xml:space="preserve"> to examine how hotels, resorts, and restaurants maintain quality assurance and service excellence during the Christmas season. A qualitative methodology is appropriate because the research seeks to explore managerial practices, organisational strategies, and service quality mechanisms rather than quantify causal relationships. The approach allows for an in-depth understanding of how hospitality organisations respond to peak-demand pressures while sustaining service standards.</w:t>
      </w:r>
    </w:p>
    <w:p w14:paraId="287A924C"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The research design is </w:t>
      </w:r>
      <w:r w:rsidRPr="00751C25">
        <w:rPr>
          <w:rFonts w:ascii="Times New Roman" w:eastAsiaTheme="majorEastAsia" w:hAnsi="Times New Roman" w:cs="Times New Roman"/>
          <w:b/>
          <w:bCs/>
          <w:color w:val="000000" w:themeColor="text1"/>
          <w:szCs w:val="24"/>
        </w:rPr>
        <w:t>exploratory and descriptive</w:t>
      </w:r>
      <w:r w:rsidRPr="00751C25">
        <w:rPr>
          <w:rFonts w:ascii="Times New Roman" w:eastAsiaTheme="majorEastAsia" w:hAnsi="Times New Roman" w:cs="Times New Roman"/>
          <w:color w:val="000000" w:themeColor="text1"/>
          <w:szCs w:val="24"/>
        </w:rPr>
        <w:t xml:space="preserve">, focusing on identifying and analysing key quality assurance practices used during the Christmas period. The study is informed by established theoretical frameworks, including </w:t>
      </w:r>
      <w:r w:rsidRPr="00751C25">
        <w:rPr>
          <w:rFonts w:ascii="Times New Roman" w:eastAsiaTheme="majorEastAsia" w:hAnsi="Times New Roman" w:cs="Times New Roman"/>
          <w:b/>
          <w:bCs/>
          <w:color w:val="000000" w:themeColor="text1"/>
          <w:szCs w:val="24"/>
        </w:rPr>
        <w:t>service quality theory</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SERVQUAL</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service-dominant logic</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service operations management models</w:t>
      </w:r>
      <w:r w:rsidRPr="00751C25">
        <w:rPr>
          <w:rFonts w:ascii="Times New Roman" w:eastAsiaTheme="majorEastAsia" w:hAnsi="Times New Roman" w:cs="Times New Roman"/>
          <w:color w:val="000000" w:themeColor="text1"/>
          <w:szCs w:val="24"/>
        </w:rPr>
        <w:t>, which together explain how service quality is created, delivered, and sustained in high-contact service environments (Parasuraman et al., 1988; Grönroos, 2015).</w:t>
      </w:r>
    </w:p>
    <w:p w14:paraId="014B2AFB"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Secondary data were collected from </w:t>
      </w:r>
      <w:r w:rsidRPr="00751C25">
        <w:rPr>
          <w:rFonts w:ascii="Times New Roman" w:eastAsiaTheme="majorEastAsia" w:hAnsi="Times New Roman" w:cs="Times New Roman"/>
          <w:b/>
          <w:bCs/>
          <w:color w:val="000000" w:themeColor="text1"/>
          <w:szCs w:val="24"/>
        </w:rPr>
        <w:t>peer-reviewed academic journals</w:t>
      </w:r>
      <w:r w:rsidRPr="00751C25">
        <w:rPr>
          <w:rFonts w:ascii="Times New Roman" w:eastAsiaTheme="majorEastAsia" w:hAnsi="Times New Roman" w:cs="Times New Roman"/>
          <w:color w:val="000000" w:themeColor="text1"/>
          <w:szCs w:val="24"/>
        </w:rPr>
        <w:t xml:space="preserve">, authoritative textbooks, and reputable industry publications. Academic sources were drawn from journals such as </w:t>
      </w:r>
      <w:r w:rsidRPr="00751C25">
        <w:rPr>
          <w:rFonts w:ascii="Times New Roman" w:eastAsiaTheme="majorEastAsia" w:hAnsi="Times New Roman" w:cs="Times New Roman"/>
          <w:i/>
          <w:iCs/>
          <w:color w:val="000000" w:themeColor="text1"/>
          <w:szCs w:val="24"/>
        </w:rPr>
        <w:t>International Journal of Contemporary Hospitality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Tourism Management</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i/>
          <w:iCs/>
          <w:color w:val="000000" w:themeColor="text1"/>
          <w:szCs w:val="24"/>
        </w:rPr>
        <w:t>Journal of Service Management</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i/>
          <w:iCs/>
          <w:color w:val="000000" w:themeColor="text1"/>
          <w:szCs w:val="24"/>
        </w:rPr>
        <w:t>Journal of Hospitality and Tourism Management</w:t>
      </w:r>
      <w:r w:rsidRPr="00751C25">
        <w:rPr>
          <w:rFonts w:ascii="Times New Roman" w:eastAsiaTheme="majorEastAsia" w:hAnsi="Times New Roman" w:cs="Times New Roman"/>
          <w:color w:val="000000" w:themeColor="text1"/>
          <w:szCs w:val="24"/>
        </w:rPr>
        <w:t xml:space="preserve">. These sources provided theoretical and empirical insights into service quality, peak-season management, employee training, and quality control systems. To enhance practical relevance, industry reports from organisations such as </w:t>
      </w:r>
      <w:r w:rsidRPr="00751C25">
        <w:rPr>
          <w:rFonts w:ascii="Times New Roman" w:eastAsiaTheme="majorEastAsia" w:hAnsi="Times New Roman" w:cs="Times New Roman"/>
          <w:b/>
          <w:bCs/>
          <w:color w:val="000000" w:themeColor="text1"/>
          <w:szCs w:val="24"/>
        </w:rPr>
        <w:t>Deloitte</w:t>
      </w:r>
      <w:r w:rsidRPr="00751C25">
        <w:rPr>
          <w:rFonts w:ascii="Times New Roman" w:eastAsiaTheme="majorEastAsia" w:hAnsi="Times New Roman" w:cs="Times New Roman"/>
          <w:color w:val="000000" w:themeColor="text1"/>
          <w:szCs w:val="24"/>
        </w:rPr>
        <w:t xml:space="preserve">, </w:t>
      </w:r>
      <w:r w:rsidRPr="00751C25">
        <w:rPr>
          <w:rFonts w:ascii="Times New Roman" w:eastAsiaTheme="majorEastAsia" w:hAnsi="Times New Roman" w:cs="Times New Roman"/>
          <w:b/>
          <w:bCs/>
          <w:color w:val="000000" w:themeColor="text1"/>
          <w:szCs w:val="24"/>
        </w:rPr>
        <w:t>McKinsey</w:t>
      </w:r>
      <w:r w:rsidRPr="00751C25">
        <w:rPr>
          <w:rFonts w:ascii="Times New Roman" w:eastAsiaTheme="majorEastAsia" w:hAnsi="Times New Roman" w:cs="Times New Roman"/>
          <w:color w:val="000000" w:themeColor="text1"/>
          <w:szCs w:val="24"/>
        </w:rPr>
        <w:t xml:space="preserve">, and </w:t>
      </w:r>
      <w:r w:rsidRPr="00751C25">
        <w:rPr>
          <w:rFonts w:ascii="Times New Roman" w:eastAsiaTheme="majorEastAsia" w:hAnsi="Times New Roman" w:cs="Times New Roman"/>
          <w:b/>
          <w:bCs/>
          <w:color w:val="000000" w:themeColor="text1"/>
          <w:szCs w:val="24"/>
        </w:rPr>
        <w:t>Hospitality Net</w:t>
      </w:r>
      <w:r w:rsidRPr="00751C25">
        <w:rPr>
          <w:rFonts w:ascii="Times New Roman" w:eastAsiaTheme="majorEastAsia" w:hAnsi="Times New Roman" w:cs="Times New Roman"/>
          <w:color w:val="000000" w:themeColor="text1"/>
          <w:szCs w:val="24"/>
        </w:rPr>
        <w:t>, as well as professional guidelines from hotel and restaurant associations, were reviewed to capture current industry practices during the Christmas season.</w:t>
      </w:r>
    </w:p>
    <w:p w14:paraId="3BBC8998"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A </w:t>
      </w:r>
      <w:r w:rsidRPr="00751C25">
        <w:rPr>
          <w:rFonts w:ascii="Times New Roman" w:eastAsiaTheme="majorEastAsia" w:hAnsi="Times New Roman" w:cs="Times New Roman"/>
          <w:b/>
          <w:bCs/>
          <w:color w:val="000000" w:themeColor="text1"/>
          <w:szCs w:val="24"/>
        </w:rPr>
        <w:t>systematic literature review</w:t>
      </w:r>
      <w:r w:rsidRPr="00751C25">
        <w:rPr>
          <w:rFonts w:ascii="Times New Roman" w:eastAsiaTheme="majorEastAsia" w:hAnsi="Times New Roman" w:cs="Times New Roman"/>
          <w:color w:val="000000" w:themeColor="text1"/>
          <w:szCs w:val="24"/>
        </w:rPr>
        <w:t xml:space="preserve"> process was applied to identify relevant studies published primarily within the last ten to twelve years, ensuring alignment with contemporary hospitality operations and quality management practices. The collected data were analysed using </w:t>
      </w:r>
      <w:r w:rsidRPr="00751C25">
        <w:rPr>
          <w:rFonts w:ascii="Times New Roman" w:eastAsiaTheme="majorEastAsia" w:hAnsi="Times New Roman" w:cs="Times New Roman"/>
          <w:b/>
          <w:bCs/>
          <w:color w:val="000000" w:themeColor="text1"/>
          <w:szCs w:val="24"/>
        </w:rPr>
        <w:t>thematic analysis</w:t>
      </w:r>
      <w:r w:rsidRPr="00751C25">
        <w:rPr>
          <w:rFonts w:ascii="Times New Roman" w:eastAsiaTheme="majorEastAsia" w:hAnsi="Times New Roman" w:cs="Times New Roman"/>
          <w:color w:val="000000" w:themeColor="text1"/>
          <w:szCs w:val="24"/>
        </w:rPr>
        <w:t xml:space="preserve">, whereby recurring themes were identified and categorised. Key themes included staff </w:t>
      </w:r>
      <w:r w:rsidRPr="00751C25">
        <w:rPr>
          <w:rFonts w:ascii="Times New Roman" w:eastAsiaTheme="majorEastAsia" w:hAnsi="Times New Roman" w:cs="Times New Roman"/>
          <w:color w:val="000000" w:themeColor="text1"/>
          <w:szCs w:val="24"/>
        </w:rPr>
        <w:lastRenderedPageBreak/>
        <w:t>training, service standardisation, quality monitoring systems, customer feedback mechanisms, service recovery, and employee engagement during peak demand periods. Comparative analysis was used to identify similarities and differences in quality assurance practices across hotels, resorts, and restaurants.</w:t>
      </w:r>
    </w:p>
    <w:p w14:paraId="4AF75EB7"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 xml:space="preserve">Ethical considerations were addressed by using only publicly available secondary data and ensuring accurate attribution through </w:t>
      </w:r>
      <w:r w:rsidRPr="00751C25">
        <w:rPr>
          <w:rFonts w:ascii="Times New Roman" w:eastAsiaTheme="majorEastAsia" w:hAnsi="Times New Roman" w:cs="Times New Roman"/>
          <w:b/>
          <w:bCs/>
          <w:color w:val="000000" w:themeColor="text1"/>
          <w:szCs w:val="24"/>
        </w:rPr>
        <w:t>APA-style in-text citations and references</w:t>
      </w:r>
      <w:r w:rsidRPr="00751C25">
        <w:rPr>
          <w:rFonts w:ascii="Times New Roman" w:eastAsiaTheme="majorEastAsia" w:hAnsi="Times New Roman" w:cs="Times New Roman"/>
          <w:color w:val="000000" w:themeColor="text1"/>
          <w:szCs w:val="24"/>
        </w:rPr>
        <w:t>. As no primary data involving human participants were collected, issues related to informed consent and confidentiality were not applicable. One limitation of this methodology is its reliance on secondary data, which may not fully capture real-time operational challenges faced during a specific Christmas season. Future research could incorporate interviews with hospitality managers or employee surveys to provide richer insights into peak-season service quality management.</w:t>
      </w:r>
    </w:p>
    <w:p w14:paraId="219847E5" w14:textId="77777777" w:rsidR="00955509" w:rsidRDefault="00955509" w:rsidP="00B02D87">
      <w:pPr>
        <w:spacing w:line="360" w:lineRule="auto"/>
        <w:rPr>
          <w:rFonts w:ascii="Times New Roman" w:hAnsi="Times New Roman" w:cs="Times New Roman"/>
          <w:color w:val="000000" w:themeColor="text1"/>
          <w:szCs w:val="24"/>
        </w:rPr>
      </w:pPr>
    </w:p>
    <w:p w14:paraId="7F8584EE" w14:textId="77777777" w:rsidR="00751C25" w:rsidRDefault="00751C25" w:rsidP="00B02D87">
      <w:pPr>
        <w:spacing w:line="360" w:lineRule="auto"/>
        <w:rPr>
          <w:rFonts w:ascii="Times New Roman" w:hAnsi="Times New Roman" w:cs="Times New Roman"/>
          <w:color w:val="000000" w:themeColor="text1"/>
          <w:szCs w:val="24"/>
        </w:rPr>
      </w:pPr>
    </w:p>
    <w:p w14:paraId="634D3205" w14:textId="77777777" w:rsidR="00751C25" w:rsidRDefault="00751C25" w:rsidP="00B02D87">
      <w:pPr>
        <w:spacing w:line="360" w:lineRule="auto"/>
        <w:rPr>
          <w:rFonts w:ascii="Times New Roman" w:hAnsi="Times New Roman" w:cs="Times New Roman"/>
          <w:color w:val="000000" w:themeColor="text1"/>
          <w:szCs w:val="24"/>
        </w:rPr>
      </w:pPr>
    </w:p>
    <w:p w14:paraId="3AC54E00" w14:textId="77777777" w:rsidR="00751C25" w:rsidRDefault="00751C25" w:rsidP="00B02D87">
      <w:pPr>
        <w:spacing w:line="360" w:lineRule="auto"/>
        <w:rPr>
          <w:rFonts w:ascii="Times New Roman" w:hAnsi="Times New Roman" w:cs="Times New Roman"/>
          <w:color w:val="000000" w:themeColor="text1"/>
          <w:szCs w:val="24"/>
        </w:rPr>
      </w:pPr>
    </w:p>
    <w:p w14:paraId="589C7C21" w14:textId="77777777" w:rsidR="00751C25" w:rsidRDefault="00751C25" w:rsidP="00B02D87">
      <w:pPr>
        <w:spacing w:line="360" w:lineRule="auto"/>
        <w:rPr>
          <w:rFonts w:ascii="Times New Roman" w:hAnsi="Times New Roman" w:cs="Times New Roman"/>
          <w:color w:val="000000" w:themeColor="text1"/>
          <w:szCs w:val="24"/>
        </w:rPr>
      </w:pPr>
    </w:p>
    <w:p w14:paraId="35C6B3D0" w14:textId="77777777" w:rsidR="00751C25" w:rsidRDefault="00751C25" w:rsidP="00B02D87">
      <w:pPr>
        <w:spacing w:line="360" w:lineRule="auto"/>
        <w:rPr>
          <w:rFonts w:ascii="Times New Roman" w:hAnsi="Times New Roman" w:cs="Times New Roman"/>
          <w:color w:val="000000" w:themeColor="text1"/>
          <w:szCs w:val="24"/>
        </w:rPr>
      </w:pPr>
    </w:p>
    <w:p w14:paraId="7C017194" w14:textId="77777777" w:rsidR="00751C25" w:rsidRDefault="00751C25" w:rsidP="00B02D87">
      <w:pPr>
        <w:spacing w:line="360" w:lineRule="auto"/>
        <w:rPr>
          <w:rFonts w:ascii="Times New Roman" w:hAnsi="Times New Roman" w:cs="Times New Roman"/>
          <w:color w:val="000000" w:themeColor="text1"/>
          <w:szCs w:val="24"/>
        </w:rPr>
      </w:pPr>
    </w:p>
    <w:p w14:paraId="68EBD3CE" w14:textId="77777777" w:rsidR="00751C25" w:rsidRDefault="00751C25" w:rsidP="00B02D87">
      <w:pPr>
        <w:spacing w:line="360" w:lineRule="auto"/>
        <w:rPr>
          <w:rFonts w:ascii="Times New Roman" w:hAnsi="Times New Roman" w:cs="Times New Roman"/>
          <w:color w:val="000000" w:themeColor="text1"/>
          <w:szCs w:val="24"/>
        </w:rPr>
      </w:pPr>
    </w:p>
    <w:p w14:paraId="65082AD0" w14:textId="77777777" w:rsidR="00751C25" w:rsidRDefault="00751C25" w:rsidP="00B02D87">
      <w:pPr>
        <w:spacing w:line="360" w:lineRule="auto"/>
        <w:rPr>
          <w:rFonts w:ascii="Times New Roman" w:hAnsi="Times New Roman" w:cs="Times New Roman"/>
          <w:color w:val="000000" w:themeColor="text1"/>
          <w:szCs w:val="24"/>
        </w:rPr>
      </w:pPr>
    </w:p>
    <w:p w14:paraId="366AC7C0" w14:textId="77777777" w:rsidR="00751C25" w:rsidRDefault="00751C25" w:rsidP="00B02D87">
      <w:pPr>
        <w:spacing w:line="360" w:lineRule="auto"/>
        <w:rPr>
          <w:rFonts w:ascii="Times New Roman" w:hAnsi="Times New Roman" w:cs="Times New Roman"/>
          <w:color w:val="000000" w:themeColor="text1"/>
          <w:szCs w:val="24"/>
        </w:rPr>
      </w:pPr>
    </w:p>
    <w:p w14:paraId="3F754AB3" w14:textId="77777777" w:rsidR="00955509" w:rsidRDefault="00955509" w:rsidP="00B02D87">
      <w:pPr>
        <w:spacing w:line="360" w:lineRule="auto"/>
        <w:rPr>
          <w:rFonts w:ascii="Times New Roman" w:hAnsi="Times New Roman" w:cs="Times New Roman"/>
          <w:color w:val="000000" w:themeColor="text1"/>
          <w:szCs w:val="24"/>
        </w:rPr>
      </w:pPr>
    </w:p>
    <w:p w14:paraId="7A186C00" w14:textId="77777777" w:rsidR="00955509" w:rsidRDefault="00955509" w:rsidP="00B02D87">
      <w:pPr>
        <w:spacing w:line="360" w:lineRule="auto"/>
        <w:rPr>
          <w:rFonts w:ascii="Times New Roman" w:hAnsi="Times New Roman" w:cs="Times New Roman"/>
          <w:color w:val="000000" w:themeColor="text1"/>
          <w:szCs w:val="24"/>
        </w:rPr>
      </w:pPr>
    </w:p>
    <w:p w14:paraId="44C1BFB6" w14:textId="77777777" w:rsidR="00E87329" w:rsidRPr="00345836" w:rsidRDefault="00E87329"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68B1868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This section presents the key findings derived from the analysis of academic literature and industry sources regarding quality assurance and service excellence in hospitality during the Christmas season. The findings are organised thematically to illustrate how hotels, resorts, and restaurants manage increased demand while maintaining high service standards.</w:t>
      </w:r>
    </w:p>
    <w:p w14:paraId="7D822D8C"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indicate that the Christmas season significantly intensifies operational pressure across the hospitality sector. High occupancy rates, increased guest turnover, festive events, and special menus create complex service environments in which maintaining consistency becomes challenging. Hospitality organisations that lack structured quality assurance systems are more likely to experience service breakdowns, longer waiting times, and reduced customer satisfaction during this period.</w:t>
      </w:r>
    </w:p>
    <w:p w14:paraId="061A4B86"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 prominent finding relates to the </w:t>
      </w:r>
      <w:r w:rsidRPr="00751C25">
        <w:rPr>
          <w:rFonts w:ascii="Times New Roman" w:hAnsi="Times New Roman" w:cs="Times New Roman"/>
          <w:b/>
          <w:bCs/>
          <w:color w:val="000000" w:themeColor="text1"/>
          <w:szCs w:val="24"/>
        </w:rPr>
        <w:t>critical role of staff training</w:t>
      </w:r>
      <w:r w:rsidRPr="00751C25">
        <w:rPr>
          <w:rFonts w:ascii="Times New Roman" w:hAnsi="Times New Roman" w:cs="Times New Roman"/>
          <w:color w:val="000000" w:themeColor="text1"/>
          <w:szCs w:val="24"/>
        </w:rPr>
        <w:t xml:space="preserve"> in sustaining service excellence during Christmas. The literature consistently shows that organisations investing in structured training programmes achieve higher service consistency under peak pressure. Training focused on service standards, customer interaction, and festive-specific procedures equips employees to manage increased workload and heightened guest expectations. Christmas-specific training, such as managing large group bookings, festive dining experiences, and culturally sensitive celebrations, was found to reduce service errors and improve guest satisfaction.</w:t>
      </w:r>
    </w:p>
    <w:p w14:paraId="39D00A4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further reveal that </w:t>
      </w:r>
      <w:r w:rsidRPr="00751C25">
        <w:rPr>
          <w:rFonts w:ascii="Times New Roman" w:hAnsi="Times New Roman" w:cs="Times New Roman"/>
          <w:b/>
          <w:bCs/>
          <w:color w:val="000000" w:themeColor="text1"/>
          <w:szCs w:val="24"/>
        </w:rPr>
        <w:t>seasonal and temporary staffing</w:t>
      </w:r>
      <w:r w:rsidRPr="00751C25">
        <w:rPr>
          <w:rFonts w:ascii="Times New Roman" w:hAnsi="Times New Roman" w:cs="Times New Roman"/>
          <w:color w:val="000000" w:themeColor="text1"/>
          <w:szCs w:val="24"/>
        </w:rPr>
        <w:t xml:space="preserve"> presents a major challenge to service quality. Many hospitality organisations rely on temporary employees during Christmas, increasing the risk of inconsistent service delivery. However, organisations that implement accelerated induction programmes, mentoring systems, and clear service scripts are better able to integrate seasonal staff into service teams. Empowerment-based training, which allows employees to make </w:t>
      </w:r>
      <w:proofErr w:type="gramStart"/>
      <w:r w:rsidRPr="00751C25">
        <w:rPr>
          <w:rFonts w:ascii="Times New Roman" w:hAnsi="Times New Roman" w:cs="Times New Roman"/>
          <w:color w:val="000000" w:themeColor="text1"/>
          <w:szCs w:val="24"/>
        </w:rPr>
        <w:t>limited service</w:t>
      </w:r>
      <w:proofErr w:type="gramEnd"/>
      <w:r w:rsidRPr="00751C25">
        <w:rPr>
          <w:rFonts w:ascii="Times New Roman" w:hAnsi="Times New Roman" w:cs="Times New Roman"/>
          <w:color w:val="000000" w:themeColor="text1"/>
          <w:szCs w:val="24"/>
        </w:rPr>
        <w:t xml:space="preserve"> recovery decisions independently, was found to be particularly effective during busy periods.</w:t>
      </w:r>
    </w:p>
    <w:p w14:paraId="7D2815C5"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Another key finding concerns the importance of </w:t>
      </w:r>
      <w:r w:rsidRPr="00751C25">
        <w:rPr>
          <w:rFonts w:ascii="Times New Roman" w:hAnsi="Times New Roman" w:cs="Times New Roman"/>
          <w:b/>
          <w:bCs/>
          <w:color w:val="000000" w:themeColor="text1"/>
          <w:szCs w:val="24"/>
        </w:rPr>
        <w:t>quality control and standardisation systems</w:t>
      </w:r>
      <w:r w:rsidRPr="00751C25">
        <w:rPr>
          <w:rFonts w:ascii="Times New Roman" w:hAnsi="Times New Roman" w:cs="Times New Roman"/>
          <w:color w:val="000000" w:themeColor="text1"/>
          <w:szCs w:val="24"/>
        </w:rPr>
        <w:t xml:space="preserve">. Standard operating procedures, service checklists, and quality audits provide a stable framework that supports employees during peak demand. The findings indicate that clearly defined service standards reduce variability and help maintain reliability across service encounters. Hotels and </w:t>
      </w:r>
      <w:r w:rsidRPr="00751C25">
        <w:rPr>
          <w:rFonts w:ascii="Times New Roman" w:hAnsi="Times New Roman" w:cs="Times New Roman"/>
          <w:color w:val="000000" w:themeColor="text1"/>
          <w:szCs w:val="24"/>
        </w:rPr>
        <w:lastRenderedPageBreak/>
        <w:t>restaurants with established quality assurance systems demonstrate greater resilience during Christmas, as employees can rely on structured processes even under time pressure.</w:t>
      </w:r>
    </w:p>
    <w:p w14:paraId="05D812B1"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Technology plays an increasingly important role in quality assurance during the festive season. The findings show that </w:t>
      </w:r>
      <w:r w:rsidRPr="00751C25">
        <w:rPr>
          <w:rFonts w:ascii="Times New Roman" w:hAnsi="Times New Roman" w:cs="Times New Roman"/>
          <w:b/>
          <w:bCs/>
          <w:color w:val="000000" w:themeColor="text1"/>
          <w:szCs w:val="24"/>
        </w:rPr>
        <w:t>digital systems</w:t>
      </w:r>
      <w:r w:rsidRPr="00751C25">
        <w:rPr>
          <w:rFonts w:ascii="Times New Roman" w:hAnsi="Times New Roman" w:cs="Times New Roman"/>
          <w:color w:val="000000" w:themeColor="text1"/>
          <w:szCs w:val="24"/>
        </w:rPr>
        <w:t>, such as property management systems, point-of-sale analytics, and customer relationship management platforms, enhance operational coordination and service monitoring. Real-time data allows managers to track service speed, occupancy levels, and guest preferences, enabling quicker responses to emerging issues. During Christmas, technology-supported quality monitoring helps identify service bottlenecks and allocate resources more effectively.</w:t>
      </w:r>
    </w:p>
    <w:p w14:paraId="4D51C7F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The findings also highlight the growing importance of </w:t>
      </w:r>
      <w:r w:rsidRPr="00751C25">
        <w:rPr>
          <w:rFonts w:ascii="Times New Roman" w:hAnsi="Times New Roman" w:cs="Times New Roman"/>
          <w:b/>
          <w:bCs/>
          <w:color w:val="000000" w:themeColor="text1"/>
          <w:szCs w:val="24"/>
        </w:rPr>
        <w:t>customer feedback mechanisms</w:t>
      </w:r>
      <w:r w:rsidRPr="00751C25">
        <w:rPr>
          <w:rFonts w:ascii="Times New Roman" w:hAnsi="Times New Roman" w:cs="Times New Roman"/>
          <w:color w:val="000000" w:themeColor="text1"/>
          <w:szCs w:val="24"/>
        </w:rPr>
        <w:t xml:space="preserve"> in maintaining service excellence. During the Christmas season, guests are more likely to share experiences online due to the emotional significance of festive consumption. Online reviews, social media comments, and real-time feedback platforms provide immediate insights into service performance. Hospitality organisations that actively monitor and respond to feedback are better able to manage service recovery and protect brand reputation during peak periods.</w:t>
      </w:r>
    </w:p>
    <w:p w14:paraId="557173B9"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Effective </w:t>
      </w:r>
      <w:r w:rsidRPr="00751C25">
        <w:rPr>
          <w:rFonts w:ascii="Times New Roman" w:hAnsi="Times New Roman" w:cs="Times New Roman"/>
          <w:b/>
          <w:bCs/>
          <w:color w:val="000000" w:themeColor="text1"/>
          <w:szCs w:val="24"/>
        </w:rPr>
        <w:t>service recovery practices</w:t>
      </w:r>
      <w:r w:rsidRPr="00751C25">
        <w:rPr>
          <w:rFonts w:ascii="Times New Roman" w:hAnsi="Times New Roman" w:cs="Times New Roman"/>
          <w:color w:val="000000" w:themeColor="text1"/>
          <w:szCs w:val="24"/>
        </w:rPr>
        <w:t xml:space="preserve"> emerged as a crucial factor in quality assurance. The findings indicate that prompt, empathetic responses to service failures during Christmas can mitigate dissatisfaction and even enhance customer loyalty. Empowered employees and clear recovery protocols enable quicker resolution of issues, which is particularly important when managerial capacity is stretched.</w:t>
      </w:r>
    </w:p>
    <w:p w14:paraId="7C7158F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also emerged as significant findings. The literature suggests that motivated and supported employees are more likely to deliver discretionary effort and maintain service quality during demanding periods. Recognition programmes, supportive leadership, and fair scheduling practices help sustain employee morale during the Christmas season, reducing burnout and turnover.</w:t>
      </w:r>
    </w:p>
    <w:p w14:paraId="237011D8"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Overall, the findings demonstrate that quality assurance and service excellence in hospitality during the Christmas season depend on the integration of staff training, quality control systems, technology-enabled monitoring, and customer feedback mechanisms within a supportive service culture. Organisations that proactively plan for peak demand and invest in both human and </w:t>
      </w:r>
      <w:r w:rsidRPr="00751C25">
        <w:rPr>
          <w:rFonts w:ascii="Times New Roman" w:hAnsi="Times New Roman" w:cs="Times New Roman"/>
          <w:color w:val="000000" w:themeColor="text1"/>
          <w:szCs w:val="24"/>
        </w:rPr>
        <w:lastRenderedPageBreak/>
        <w:t>system-based quality management practices are better positioned to deliver consistent and high-quality service during the festive period.</w:t>
      </w:r>
    </w:p>
    <w:p w14:paraId="1332632F" w14:textId="77777777" w:rsidR="007B37BD" w:rsidRDefault="007B37BD" w:rsidP="00B02D87">
      <w:pPr>
        <w:spacing w:line="360" w:lineRule="auto"/>
        <w:rPr>
          <w:rFonts w:ascii="Times New Roman" w:hAnsi="Times New Roman" w:cs="Times New Roman"/>
          <w:color w:val="000000" w:themeColor="text1"/>
          <w:szCs w:val="24"/>
        </w:rPr>
      </w:pPr>
    </w:p>
    <w:p w14:paraId="77927EA2" w14:textId="77777777" w:rsidR="00751C25" w:rsidRDefault="00751C25" w:rsidP="00B02D87">
      <w:pPr>
        <w:spacing w:line="360" w:lineRule="auto"/>
        <w:rPr>
          <w:rFonts w:ascii="Times New Roman" w:hAnsi="Times New Roman" w:cs="Times New Roman"/>
          <w:color w:val="000000" w:themeColor="text1"/>
          <w:szCs w:val="24"/>
        </w:rPr>
      </w:pPr>
    </w:p>
    <w:p w14:paraId="08182753" w14:textId="77777777" w:rsidR="00751C25" w:rsidRDefault="00751C25" w:rsidP="00B02D87">
      <w:pPr>
        <w:spacing w:line="360" w:lineRule="auto"/>
        <w:rPr>
          <w:rFonts w:ascii="Times New Roman" w:hAnsi="Times New Roman" w:cs="Times New Roman"/>
          <w:color w:val="000000" w:themeColor="text1"/>
          <w:szCs w:val="24"/>
        </w:rPr>
      </w:pPr>
    </w:p>
    <w:p w14:paraId="7A45451C" w14:textId="77777777" w:rsidR="00751C25" w:rsidRDefault="00751C25" w:rsidP="00B02D87">
      <w:pPr>
        <w:spacing w:line="360" w:lineRule="auto"/>
        <w:rPr>
          <w:rFonts w:ascii="Times New Roman" w:hAnsi="Times New Roman" w:cs="Times New Roman"/>
          <w:color w:val="000000" w:themeColor="text1"/>
          <w:szCs w:val="24"/>
        </w:rPr>
      </w:pPr>
    </w:p>
    <w:p w14:paraId="1C6573B2" w14:textId="77777777" w:rsidR="00751C25" w:rsidRDefault="00751C25" w:rsidP="00B02D87">
      <w:pPr>
        <w:spacing w:line="360" w:lineRule="auto"/>
        <w:rPr>
          <w:rFonts w:ascii="Times New Roman" w:hAnsi="Times New Roman" w:cs="Times New Roman"/>
          <w:color w:val="000000" w:themeColor="text1"/>
          <w:szCs w:val="24"/>
        </w:rPr>
      </w:pPr>
    </w:p>
    <w:p w14:paraId="5386CFB3" w14:textId="77777777" w:rsidR="00751C25" w:rsidRDefault="00751C25" w:rsidP="00B02D87">
      <w:pPr>
        <w:spacing w:line="360" w:lineRule="auto"/>
        <w:rPr>
          <w:rFonts w:ascii="Times New Roman" w:hAnsi="Times New Roman" w:cs="Times New Roman"/>
          <w:color w:val="000000" w:themeColor="text1"/>
          <w:szCs w:val="24"/>
        </w:rPr>
      </w:pPr>
    </w:p>
    <w:p w14:paraId="6B323DA4" w14:textId="77777777" w:rsidR="00751C25" w:rsidRDefault="00751C25" w:rsidP="00B02D87">
      <w:pPr>
        <w:spacing w:line="360" w:lineRule="auto"/>
        <w:rPr>
          <w:rFonts w:ascii="Times New Roman" w:hAnsi="Times New Roman" w:cs="Times New Roman"/>
          <w:color w:val="000000" w:themeColor="text1"/>
          <w:szCs w:val="24"/>
        </w:rPr>
      </w:pPr>
    </w:p>
    <w:p w14:paraId="501E1667" w14:textId="77777777" w:rsidR="00751C25" w:rsidRDefault="00751C25" w:rsidP="00B02D87">
      <w:pPr>
        <w:spacing w:line="360" w:lineRule="auto"/>
        <w:rPr>
          <w:rFonts w:ascii="Times New Roman" w:hAnsi="Times New Roman" w:cs="Times New Roman"/>
          <w:color w:val="000000" w:themeColor="text1"/>
          <w:szCs w:val="24"/>
        </w:rPr>
      </w:pPr>
    </w:p>
    <w:p w14:paraId="300AA0DD" w14:textId="77777777" w:rsidR="00751C25" w:rsidRDefault="00751C25" w:rsidP="00B02D87">
      <w:pPr>
        <w:spacing w:line="360" w:lineRule="auto"/>
        <w:rPr>
          <w:rFonts w:ascii="Times New Roman" w:hAnsi="Times New Roman" w:cs="Times New Roman"/>
          <w:color w:val="000000" w:themeColor="text1"/>
          <w:szCs w:val="24"/>
        </w:rPr>
      </w:pPr>
    </w:p>
    <w:p w14:paraId="3ACABACD" w14:textId="77777777" w:rsidR="00751C25" w:rsidRDefault="00751C25" w:rsidP="00B02D87">
      <w:pPr>
        <w:spacing w:line="360" w:lineRule="auto"/>
        <w:rPr>
          <w:rFonts w:ascii="Times New Roman" w:hAnsi="Times New Roman" w:cs="Times New Roman"/>
          <w:color w:val="000000" w:themeColor="text1"/>
          <w:szCs w:val="24"/>
        </w:rPr>
      </w:pPr>
    </w:p>
    <w:p w14:paraId="0CE5D96D" w14:textId="77777777" w:rsidR="00751C25" w:rsidRDefault="00751C25" w:rsidP="00B02D87">
      <w:pPr>
        <w:spacing w:line="360" w:lineRule="auto"/>
        <w:rPr>
          <w:rFonts w:ascii="Times New Roman" w:hAnsi="Times New Roman" w:cs="Times New Roman"/>
          <w:color w:val="000000" w:themeColor="text1"/>
          <w:szCs w:val="24"/>
        </w:rPr>
      </w:pPr>
    </w:p>
    <w:p w14:paraId="7E13FFC2" w14:textId="77777777" w:rsidR="00751C25" w:rsidRDefault="00751C25" w:rsidP="00B02D87">
      <w:pPr>
        <w:spacing w:line="360" w:lineRule="auto"/>
        <w:rPr>
          <w:rFonts w:ascii="Times New Roman" w:hAnsi="Times New Roman" w:cs="Times New Roman"/>
          <w:color w:val="000000" w:themeColor="text1"/>
          <w:szCs w:val="24"/>
        </w:rPr>
      </w:pPr>
    </w:p>
    <w:p w14:paraId="3A342468" w14:textId="77777777" w:rsidR="00751C25" w:rsidRDefault="00751C25" w:rsidP="00B02D87">
      <w:pPr>
        <w:spacing w:line="360" w:lineRule="auto"/>
        <w:rPr>
          <w:rFonts w:ascii="Times New Roman" w:hAnsi="Times New Roman" w:cs="Times New Roman"/>
          <w:color w:val="000000" w:themeColor="text1"/>
          <w:szCs w:val="24"/>
        </w:rPr>
      </w:pPr>
    </w:p>
    <w:p w14:paraId="39C7E453" w14:textId="77777777" w:rsidR="00751C25" w:rsidRDefault="00751C25" w:rsidP="00B02D87">
      <w:pPr>
        <w:spacing w:line="360" w:lineRule="auto"/>
        <w:rPr>
          <w:rFonts w:ascii="Times New Roman" w:hAnsi="Times New Roman" w:cs="Times New Roman"/>
          <w:color w:val="000000" w:themeColor="text1"/>
          <w:szCs w:val="24"/>
        </w:rPr>
      </w:pPr>
    </w:p>
    <w:p w14:paraId="3EDDC935" w14:textId="77777777" w:rsidR="00751C25" w:rsidRDefault="00751C25" w:rsidP="00B02D87">
      <w:pPr>
        <w:spacing w:line="360" w:lineRule="auto"/>
        <w:rPr>
          <w:rFonts w:ascii="Times New Roman" w:hAnsi="Times New Roman" w:cs="Times New Roman"/>
          <w:color w:val="000000" w:themeColor="text1"/>
          <w:szCs w:val="24"/>
        </w:rPr>
      </w:pPr>
    </w:p>
    <w:p w14:paraId="0228B3E6" w14:textId="77777777" w:rsidR="007B37BD" w:rsidRDefault="007B37BD" w:rsidP="00B02D87">
      <w:pPr>
        <w:spacing w:line="360" w:lineRule="auto"/>
        <w:rPr>
          <w:rFonts w:ascii="Times New Roman" w:hAnsi="Times New Roman" w:cs="Times New Roman"/>
          <w:color w:val="000000" w:themeColor="text1"/>
          <w:szCs w:val="24"/>
        </w:rPr>
      </w:pPr>
    </w:p>
    <w:p w14:paraId="469CEF5B" w14:textId="77777777" w:rsidR="007B37BD" w:rsidRDefault="007B37BD" w:rsidP="00B02D87">
      <w:pPr>
        <w:spacing w:line="360" w:lineRule="auto"/>
        <w:rPr>
          <w:rFonts w:ascii="Times New Roman" w:hAnsi="Times New Roman" w:cs="Times New Roman"/>
          <w:color w:val="000000" w:themeColor="text1"/>
          <w:szCs w:val="24"/>
        </w:rPr>
      </w:pPr>
    </w:p>
    <w:p w14:paraId="0239ECB6" w14:textId="77777777" w:rsidR="007B37BD" w:rsidRDefault="007B37BD" w:rsidP="00B02D87">
      <w:pPr>
        <w:spacing w:line="360" w:lineRule="auto"/>
        <w:rPr>
          <w:rFonts w:ascii="Times New Roman" w:hAnsi="Times New Roman" w:cs="Times New Roman"/>
          <w:color w:val="000000" w:themeColor="text1"/>
          <w:szCs w:val="24"/>
        </w:rPr>
      </w:pPr>
    </w:p>
    <w:p w14:paraId="7EE5136C" w14:textId="77777777" w:rsidR="007B37BD" w:rsidRDefault="007B37BD" w:rsidP="00B02D87">
      <w:pPr>
        <w:spacing w:line="360" w:lineRule="auto"/>
        <w:rPr>
          <w:rFonts w:ascii="Times New Roman" w:hAnsi="Times New Roman" w:cs="Times New Roman"/>
          <w:color w:val="000000" w:themeColor="text1"/>
          <w:szCs w:val="24"/>
        </w:rPr>
      </w:pPr>
    </w:p>
    <w:p w14:paraId="1311F645" w14:textId="77777777" w:rsidR="00B83471" w:rsidRDefault="00B83471" w:rsidP="007B37BD">
      <w:pPr>
        <w:spacing w:line="360" w:lineRule="auto"/>
        <w:rPr>
          <w:rFonts w:ascii="Times New Roman" w:hAnsi="Times New Roman" w:cs="Times New Roman"/>
          <w:color w:val="000000" w:themeColor="text1"/>
          <w:szCs w:val="24"/>
        </w:rPr>
      </w:pPr>
    </w:p>
    <w:p w14:paraId="0E7DEF11" w14:textId="77777777" w:rsidR="00751C25" w:rsidRPr="00751C25" w:rsidRDefault="006A4481" w:rsidP="00751C25">
      <w:pPr>
        <w:spacing w:line="360" w:lineRule="auto"/>
        <w:rPr>
          <w:rFonts w:cs="Times New Roman"/>
          <w:color w:val="000000" w:themeColor="text1"/>
          <w:szCs w:val="24"/>
        </w:rPr>
      </w:pPr>
      <w:r w:rsidRPr="00345836">
        <w:rPr>
          <w:rFonts w:ascii="Times New Roman" w:hAnsi="Times New Roman" w:cs="Times New Roman"/>
          <w:color w:val="000000" w:themeColor="text1"/>
          <w:szCs w:val="24"/>
        </w:rPr>
        <w:lastRenderedPageBreak/>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751C25" w:rsidRPr="00751C25">
        <w:rPr>
          <w:rFonts w:cs="Times New Roman"/>
          <w:b/>
          <w:bCs/>
          <w:color w:val="000000" w:themeColor="text1"/>
          <w:szCs w:val="24"/>
        </w:rPr>
        <w:t>Quality Assurance and Service Excellence in Hospitality During the Christmas Season</w:t>
      </w:r>
    </w:p>
    <w:p w14:paraId="104913EE"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of this study highlight the complex and multifaceted nature of maintaining quality assurance and service excellence in hospitality during the Christmas season. This discussion interprets the findings in relation to established service quality theories, hospitality management literature, and peak-demand operational frameworks, with particular emphasis on the interaction between human resources, systems, and organisational culture.</w:t>
      </w:r>
    </w:p>
    <w:p w14:paraId="5E8E40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 xml:space="preserve">Consistent with </w:t>
      </w:r>
      <w:r w:rsidRPr="00751C25">
        <w:rPr>
          <w:rFonts w:ascii="Times New Roman" w:hAnsi="Times New Roman" w:cs="Times New Roman"/>
          <w:b/>
          <w:bCs/>
          <w:color w:val="000000" w:themeColor="text1"/>
          <w:szCs w:val="24"/>
        </w:rPr>
        <w:t>service quality theory</w:t>
      </w:r>
      <w:r w:rsidRPr="00751C25">
        <w:rPr>
          <w:rFonts w:ascii="Times New Roman" w:hAnsi="Times New Roman" w:cs="Times New Roman"/>
          <w:color w:val="000000" w:themeColor="text1"/>
          <w:szCs w:val="24"/>
        </w:rPr>
        <w:t xml:space="preserve"> and the SERVQUAL framework, the findings confirm that customer expectations during Christmas are significantly elevated. Guests expect not only reliable and efficient service but also emotional warmth, personalisation, and festive ambience. This supports prior research suggesting that service failures during emotionally significant occasions have a stronger negative impact on customer satisfaction and post-consumption evaluations. Therefore, quality assurance during Christmas must extend beyond technical accuracy to include emotional and relational dimensions of service delivery.</w:t>
      </w:r>
    </w:p>
    <w:p w14:paraId="123F852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The findings regarding staff training reinforce existing literature that positions employees as the cornerstone of service excellence in hospitality. During Christmas, the reliance on seasonal and temporary staff increases the risk of service inconsistency. However, the discussion shows that structured induction programmes, Christmas-specific training, and empowerment-based approaches mitigate these risks. Empowered employees are better equipped to manage service recovery independently, which is essential during peak periods when managerial oversight is limited. This aligns with service-dominant logic, which emphasises value co-creation through frontline employee–guest interactions.</w:t>
      </w:r>
    </w:p>
    <w:p w14:paraId="29E364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Quality control systems and standardisation emerged as critical stabilising mechanisms during peak demand. The findings support operations management literature suggesting that clearly defined standard operating procedures reduce variability and cognitive overload under pressure. However, the discussion also highlights the need for balance. Excessive standardisation may undermine personalised service, which is highly valued during Christmas. Effective hospitality organisations therefore adopt flexible standardisation, allowing employees to personalise interactions within structured service frameworks.</w:t>
      </w:r>
    </w:p>
    <w:p w14:paraId="138C0750"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lastRenderedPageBreak/>
        <w:t>Technology-enabled quality assurance plays an increasingly strategic role during the Christmas season. Digital systems that provide real-time operational data enhance managerial decision-making and resource allocation, supporting service consistency during demand surges. The discussion supports previous research indicating that technology enhances, rather than replaces, human service delivery when used appropriately. Over-reliance on automation, particularly during festive periods, may risk diminishing perceived warmth and authenticity.</w:t>
      </w:r>
    </w:p>
    <w:p w14:paraId="7E014F04"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Customer feedback and service recovery mechanisms were found to be particularly influential during Christmas. The discussion aligns with service recovery theory, which suggests that prompt and empathetic responses to service failures can restore satisfaction and even strengthen loyalty. During peak seasons, when negative experiences are more visible due to online reviews and social media, effective feedback management becomes a strategic imperative rather than a reactive function.</w:t>
      </w:r>
    </w:p>
    <w:p w14:paraId="13414D2F"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Employee engagement and organisational culture further contextualise service excellence during Christmas. The discussion supports the view that motivated and supported employees are more resilient under pressure and more willing to deliver discretionary effort. Recognition, fair scheduling, and supportive leadership contribute to sustaining morale during demanding festive periods, reinforcing the link between internal service quality and external customer satisfaction.</w:t>
      </w:r>
    </w:p>
    <w:p w14:paraId="4B3AB9F3" w14:textId="77777777" w:rsidR="00751C25" w:rsidRPr="00751C25" w:rsidRDefault="00751C25" w:rsidP="00751C25">
      <w:pPr>
        <w:spacing w:line="360" w:lineRule="auto"/>
        <w:rPr>
          <w:rFonts w:ascii="Times New Roman" w:hAnsi="Times New Roman" w:cs="Times New Roman"/>
          <w:color w:val="000000" w:themeColor="text1"/>
          <w:szCs w:val="24"/>
        </w:rPr>
      </w:pPr>
      <w:r w:rsidRPr="00751C25">
        <w:rPr>
          <w:rFonts w:ascii="Times New Roman" w:hAnsi="Times New Roman" w:cs="Times New Roman"/>
          <w:color w:val="000000" w:themeColor="text1"/>
          <w:szCs w:val="24"/>
        </w:rPr>
        <w:t>Overall, the discussion demonstrates that service excellence during the Christmas season is achieved through the integration of people, processes, and technology within a strong service culture. Hospitality organisations that proactively align these elements are better positioned to meet festive demand while protecting service quality and brand reputation.</w:t>
      </w:r>
    </w:p>
    <w:p w14:paraId="1C781EB0" w14:textId="26FC69C2"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00165773"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751C7E3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146D72F7"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4571BCE1"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25F73096" w14:textId="77777777" w:rsidR="00751C25" w:rsidRDefault="00751C25" w:rsidP="00B02D87">
      <w:pPr>
        <w:spacing w:line="360" w:lineRule="auto"/>
        <w:rPr>
          <w:rStyle w:val="Heading1Char"/>
          <w:rFonts w:ascii="Times New Roman" w:hAnsi="Times New Roman" w:cs="Times New Roman"/>
          <w:b/>
          <w:bCs/>
          <w:color w:val="000000" w:themeColor="text1"/>
          <w:sz w:val="24"/>
          <w:szCs w:val="24"/>
        </w:rPr>
      </w:pPr>
    </w:p>
    <w:p w14:paraId="6EBCEF3F" w14:textId="2005E03C" w:rsidR="002942F0" w:rsidRPr="00345836" w:rsidRDefault="00452437" w:rsidP="00B02D87">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6</w:t>
      </w:r>
      <w:r w:rsidR="002942F0" w:rsidRPr="00345836">
        <w:rPr>
          <w:rStyle w:val="Heading1Char"/>
          <w:rFonts w:ascii="Times New Roman" w:hAnsi="Times New Roman" w:cs="Times New Roman"/>
          <w:b/>
          <w:bCs/>
          <w:color w:val="000000" w:themeColor="text1"/>
          <w:sz w:val="24"/>
          <w:szCs w:val="24"/>
        </w:rPr>
        <w:t xml:space="preserve">.0 CONCLUSION </w:t>
      </w:r>
    </w:p>
    <w:p w14:paraId="16AD8AEF"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This report examined quality assurance and service excellence in hospitality during the Christmas season, a period characterised by peak demand, heightened customer expectations, and increased operational complexity. The analysis demonstrates that while Christmas offers significant revenue opportunities for hotels, resorts, and restaurants, it also presents substantial challenges to maintaining consistent service quality.</w:t>
      </w:r>
    </w:p>
    <w:p w14:paraId="1AB7A5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The findings and discussion highlight that service excellence during the festive season depends on the effective integration of staff training, quality control systems, technology-enabled monitoring, and customer feedback mechanisms. Structured training programmes, particularly those tailored to Christmas-specific service requirements, equip employees to manage increased workload and emotional labour. Quality assurance systems, including standard operating procedures and real-time monitoring tools, provide operational stability and reduce service variability under pressure.</w:t>
      </w:r>
    </w:p>
    <w:p w14:paraId="124E4B54"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Importantly, the report confirms that service excellence during Christmas is not achieved through operational efficiency alone. Employee engagement, empowerment, and organisational culture play a critical role in sustaining service quality during demanding periods. Motivated employees supported by effective leadership and fair work practices are more capable of delivering personalised and empathetic service, which is highly valued during festive occasions.</w:t>
      </w:r>
    </w:p>
    <w:p w14:paraId="60AC97C0" w14:textId="77777777" w:rsidR="00751C25" w:rsidRPr="00751C25" w:rsidRDefault="00751C25" w:rsidP="00751C25">
      <w:pPr>
        <w:spacing w:line="360" w:lineRule="auto"/>
        <w:rPr>
          <w:rFonts w:ascii="Times New Roman" w:eastAsiaTheme="majorEastAsia" w:hAnsi="Times New Roman" w:cs="Times New Roman"/>
          <w:color w:val="000000" w:themeColor="text1"/>
          <w:szCs w:val="24"/>
        </w:rPr>
      </w:pPr>
      <w:r w:rsidRPr="00751C25">
        <w:rPr>
          <w:rFonts w:ascii="Times New Roman" w:eastAsiaTheme="majorEastAsia" w:hAnsi="Times New Roman" w:cs="Times New Roman"/>
          <w:color w:val="000000" w:themeColor="text1"/>
          <w:szCs w:val="24"/>
        </w:rPr>
        <w:t>In conclusion, hospitality organisations that proactively plan for peak demand and invest in both human and system-based quality management practices are better positioned to deliver consistent, high-quality service during the Christmas season. By balancing standardisation with personalisation and efficiency with emotional engagement, hospitality businesses can enhance customer satisfaction, protect brand reputation, and foster long-term loyalty. Future research could explore comparative case studies across different hospitality segments or incorporate primary data from frontline employees and managers to further deepen understanding of festive service quality management.</w:t>
      </w:r>
    </w:p>
    <w:p w14:paraId="151420F1" w14:textId="77777777" w:rsidR="00B83471" w:rsidRDefault="00B83471" w:rsidP="00B02D87">
      <w:pPr>
        <w:spacing w:line="360" w:lineRule="auto"/>
        <w:rPr>
          <w:rStyle w:val="Heading1Char"/>
          <w:rFonts w:ascii="Times New Roman" w:hAnsi="Times New Roman" w:cs="Times New Roman"/>
          <w:b/>
          <w:bCs/>
          <w:color w:val="000000" w:themeColor="text1"/>
          <w:sz w:val="24"/>
          <w:szCs w:val="24"/>
        </w:rPr>
      </w:pPr>
    </w:p>
    <w:p w14:paraId="25CE635A" w14:textId="77777777" w:rsidR="00B83471" w:rsidRPr="00345836" w:rsidRDefault="00B83471"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Reference List</w:t>
      </w:r>
      <w:bookmarkEnd w:id="4"/>
      <w:r w:rsidRPr="00345836">
        <w:rPr>
          <w:rFonts w:ascii="Times New Roman" w:hAnsi="Times New Roman" w:cs="Times New Roman"/>
          <w:b/>
          <w:bCs/>
          <w:color w:val="000000" w:themeColor="text1"/>
          <w:szCs w:val="24"/>
        </w:rPr>
        <w:t xml:space="preserve"> </w:t>
      </w:r>
    </w:p>
    <w:p w14:paraId="0111E3E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Albrecht, S. L., Bakker, A. B., Gruman, J. A., Macey, W. H., &amp; Saks, A. M. (2015). Employee engagement, human resource management practices and competitive advantage. </w:t>
      </w:r>
      <w:r w:rsidRPr="00452437">
        <w:rPr>
          <w:rFonts w:ascii="Times New Roman" w:hAnsi="Times New Roman" w:cs="Times New Roman"/>
          <w:i/>
          <w:iCs/>
          <w:color w:val="000000" w:themeColor="text1"/>
          <w:szCs w:val="24"/>
        </w:rPr>
        <w:t>Journal of Organizational Effectiveness: People and Performance, 2</w:t>
      </w:r>
      <w:r w:rsidRPr="00452437">
        <w:rPr>
          <w:rFonts w:ascii="Times New Roman" w:hAnsi="Times New Roman" w:cs="Times New Roman"/>
          <w:color w:val="000000" w:themeColor="text1"/>
          <w:szCs w:val="24"/>
        </w:rPr>
        <w:t>(1), 7–35. https://doi.org/10.1108/JOEPP-08-2014-0042</w:t>
      </w:r>
    </w:p>
    <w:p w14:paraId="26603C0E"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Baum, T. (2015). </w:t>
      </w:r>
      <w:r w:rsidRPr="00452437">
        <w:rPr>
          <w:rFonts w:ascii="Times New Roman" w:hAnsi="Times New Roman" w:cs="Times New Roman"/>
          <w:i/>
          <w:iCs/>
          <w:color w:val="000000" w:themeColor="text1"/>
          <w:szCs w:val="24"/>
        </w:rPr>
        <w:t>Human resource management for tourism, hospitality and leisure: An international perspective</w:t>
      </w:r>
      <w:r w:rsidRPr="00452437">
        <w:rPr>
          <w:rFonts w:ascii="Times New Roman" w:hAnsi="Times New Roman" w:cs="Times New Roman"/>
          <w:color w:val="000000" w:themeColor="text1"/>
          <w:szCs w:val="24"/>
        </w:rPr>
        <w:t xml:space="preserve"> (2nd ed.). Cengage Learning.</w:t>
      </w:r>
    </w:p>
    <w:p w14:paraId="54ECAE97"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Bitner, M. J., Ostrom, A. L., &amp; Morgan, F. N. (2008). Service blueprinting: A practical technique for service innovation. </w:t>
      </w:r>
      <w:r w:rsidRPr="00452437">
        <w:rPr>
          <w:rFonts w:ascii="Times New Roman" w:hAnsi="Times New Roman" w:cs="Times New Roman"/>
          <w:i/>
          <w:iCs/>
          <w:color w:val="000000" w:themeColor="text1"/>
          <w:szCs w:val="24"/>
        </w:rPr>
        <w:t>California Management Review, 50</w:t>
      </w:r>
      <w:r w:rsidRPr="00452437">
        <w:rPr>
          <w:rFonts w:ascii="Times New Roman" w:hAnsi="Times New Roman" w:cs="Times New Roman"/>
          <w:color w:val="000000" w:themeColor="text1"/>
          <w:szCs w:val="24"/>
        </w:rPr>
        <w:t>(3), 66–94. https://doi.org/10.2307/41166446</w:t>
      </w:r>
    </w:p>
    <w:p w14:paraId="16F2C37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Grönroos, C. (2015). </w:t>
      </w:r>
      <w:r w:rsidRPr="00452437">
        <w:rPr>
          <w:rFonts w:ascii="Times New Roman" w:hAnsi="Times New Roman" w:cs="Times New Roman"/>
          <w:i/>
          <w:iCs/>
          <w:color w:val="000000" w:themeColor="text1"/>
          <w:szCs w:val="24"/>
        </w:rPr>
        <w:t>Service management and marketing: Managing the service profit logic</w:t>
      </w:r>
      <w:r w:rsidRPr="00452437">
        <w:rPr>
          <w:rFonts w:ascii="Times New Roman" w:hAnsi="Times New Roman" w:cs="Times New Roman"/>
          <w:color w:val="000000" w:themeColor="text1"/>
          <w:szCs w:val="24"/>
        </w:rPr>
        <w:t xml:space="preserve"> (4th ed.). Wiley.</w:t>
      </w:r>
    </w:p>
    <w:p w14:paraId="7A417DE6"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Johnston, R., &amp; Clark, G. (2018). </w:t>
      </w:r>
      <w:r w:rsidRPr="00452437">
        <w:rPr>
          <w:rFonts w:ascii="Times New Roman" w:hAnsi="Times New Roman" w:cs="Times New Roman"/>
          <w:i/>
          <w:iCs/>
          <w:color w:val="000000" w:themeColor="text1"/>
          <w:szCs w:val="24"/>
        </w:rPr>
        <w:t>Service operations management</w:t>
      </w:r>
      <w:r w:rsidRPr="00452437">
        <w:rPr>
          <w:rFonts w:ascii="Times New Roman" w:hAnsi="Times New Roman" w:cs="Times New Roman"/>
          <w:color w:val="000000" w:themeColor="text1"/>
          <w:szCs w:val="24"/>
        </w:rPr>
        <w:t xml:space="preserve"> (5th ed.). Pearson Education.</w:t>
      </w:r>
    </w:p>
    <w:p w14:paraId="3D87E04F" w14:textId="77777777" w:rsidR="00452437" w:rsidRPr="00452437" w:rsidRDefault="00452437" w:rsidP="00452437">
      <w:pPr>
        <w:spacing w:line="360" w:lineRule="auto"/>
        <w:rPr>
          <w:rFonts w:ascii="Times New Roman" w:hAnsi="Times New Roman" w:cs="Times New Roman"/>
          <w:color w:val="000000" w:themeColor="text1"/>
          <w:szCs w:val="24"/>
        </w:rPr>
      </w:pPr>
      <w:proofErr w:type="spellStart"/>
      <w:r w:rsidRPr="00452437">
        <w:rPr>
          <w:rFonts w:ascii="Times New Roman" w:hAnsi="Times New Roman" w:cs="Times New Roman"/>
          <w:color w:val="000000" w:themeColor="text1"/>
          <w:szCs w:val="24"/>
        </w:rPr>
        <w:t>Kandampully</w:t>
      </w:r>
      <w:proofErr w:type="spellEnd"/>
      <w:r w:rsidRPr="00452437">
        <w:rPr>
          <w:rFonts w:ascii="Times New Roman" w:hAnsi="Times New Roman" w:cs="Times New Roman"/>
          <w:color w:val="000000" w:themeColor="text1"/>
          <w:szCs w:val="24"/>
        </w:rPr>
        <w:t xml:space="preserve">, J., Zhang, T. C., &amp; Jaakkola, E. (2018). Customer experience management in hospitality: A literature synthesis and implications for future research.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(1), 21–56. https://doi.org/10.1108/IJCHM-10-2015-0549</w:t>
      </w:r>
    </w:p>
    <w:p w14:paraId="20B5050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Lashley, C. (2018). </w:t>
      </w:r>
      <w:r w:rsidRPr="00452437">
        <w:rPr>
          <w:rFonts w:ascii="Times New Roman" w:hAnsi="Times New Roman" w:cs="Times New Roman"/>
          <w:i/>
          <w:iCs/>
          <w:color w:val="000000" w:themeColor="text1"/>
          <w:szCs w:val="24"/>
        </w:rPr>
        <w:t>Hospitality management: A brief introduction</w:t>
      </w:r>
      <w:r w:rsidRPr="00452437">
        <w:rPr>
          <w:rFonts w:ascii="Times New Roman" w:hAnsi="Times New Roman" w:cs="Times New Roman"/>
          <w:color w:val="000000" w:themeColor="text1"/>
          <w:szCs w:val="24"/>
        </w:rPr>
        <w:t xml:space="preserve"> (2nd ed.). Routledge.</w:t>
      </w:r>
    </w:p>
    <w:p w14:paraId="5B8DA3B8"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Oakland, J. S. (2014). </w:t>
      </w:r>
      <w:r w:rsidRPr="00452437">
        <w:rPr>
          <w:rFonts w:ascii="Times New Roman" w:hAnsi="Times New Roman" w:cs="Times New Roman"/>
          <w:i/>
          <w:iCs/>
          <w:color w:val="000000" w:themeColor="text1"/>
          <w:szCs w:val="24"/>
        </w:rPr>
        <w:t>Total quality management and operational excellence: Text with cases</w:t>
      </w:r>
      <w:r w:rsidRPr="00452437">
        <w:rPr>
          <w:rFonts w:ascii="Times New Roman" w:hAnsi="Times New Roman" w:cs="Times New Roman"/>
          <w:color w:val="000000" w:themeColor="text1"/>
          <w:szCs w:val="24"/>
        </w:rPr>
        <w:t xml:space="preserve"> (4th ed.). Routledge.</w:t>
      </w:r>
    </w:p>
    <w:p w14:paraId="63CEB810"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Parasuraman, A., Zeithaml, V. A., &amp; Berry, L. L. (1988). SERVQUAL: A multiple-item scale for measuring consumer perceptions of service quality. </w:t>
      </w:r>
      <w:r w:rsidRPr="00452437">
        <w:rPr>
          <w:rFonts w:ascii="Times New Roman" w:hAnsi="Times New Roman" w:cs="Times New Roman"/>
          <w:i/>
          <w:iCs/>
          <w:color w:val="000000" w:themeColor="text1"/>
          <w:szCs w:val="24"/>
        </w:rPr>
        <w:t>Journal of Retailing, 64</w:t>
      </w:r>
      <w:r w:rsidRPr="00452437">
        <w:rPr>
          <w:rFonts w:ascii="Times New Roman" w:hAnsi="Times New Roman" w:cs="Times New Roman"/>
          <w:color w:val="000000" w:themeColor="text1"/>
          <w:szCs w:val="24"/>
        </w:rPr>
        <w:t>(1), 12–40.</w:t>
      </w:r>
    </w:p>
    <w:p w14:paraId="0C781F13"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Sigala, M. (2018). Implementing social customer relationship management in the hospitality industry. </w:t>
      </w:r>
      <w:r w:rsidRPr="00452437">
        <w:rPr>
          <w:rFonts w:ascii="Times New Roman" w:hAnsi="Times New Roman" w:cs="Times New Roman"/>
          <w:i/>
          <w:iCs/>
          <w:color w:val="000000" w:themeColor="text1"/>
          <w:szCs w:val="24"/>
        </w:rPr>
        <w:t>International Journal of Contemporary Hospitality Management, 30</w:t>
      </w:r>
      <w:r w:rsidRPr="00452437">
        <w:rPr>
          <w:rFonts w:ascii="Times New Roman" w:hAnsi="Times New Roman" w:cs="Times New Roman"/>
          <w:color w:val="000000" w:themeColor="text1"/>
          <w:szCs w:val="24"/>
        </w:rPr>
        <w:t>(7), 2692–2716. https://doi.org/10.1108/IJCHM-07-2016-0388</w:t>
      </w:r>
    </w:p>
    <w:p w14:paraId="774CC689"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lastRenderedPageBreak/>
        <w:t xml:space="preserve">Tax, S. S., Brown, S. W., &amp; </w:t>
      </w:r>
      <w:proofErr w:type="spellStart"/>
      <w:r w:rsidRPr="00452437">
        <w:rPr>
          <w:rFonts w:ascii="Times New Roman" w:hAnsi="Times New Roman" w:cs="Times New Roman"/>
          <w:color w:val="000000" w:themeColor="text1"/>
          <w:szCs w:val="24"/>
        </w:rPr>
        <w:t>Chandrashekaran</w:t>
      </w:r>
      <w:proofErr w:type="spellEnd"/>
      <w:r w:rsidRPr="00452437">
        <w:rPr>
          <w:rFonts w:ascii="Times New Roman" w:hAnsi="Times New Roman" w:cs="Times New Roman"/>
          <w:color w:val="000000" w:themeColor="text1"/>
          <w:szCs w:val="24"/>
        </w:rPr>
        <w:t xml:space="preserve">, M. (1998). Customer evaluations of service complaint experiences. </w:t>
      </w:r>
      <w:r w:rsidRPr="00452437">
        <w:rPr>
          <w:rFonts w:ascii="Times New Roman" w:hAnsi="Times New Roman" w:cs="Times New Roman"/>
          <w:i/>
          <w:iCs/>
          <w:color w:val="000000" w:themeColor="text1"/>
          <w:szCs w:val="24"/>
        </w:rPr>
        <w:t>Journal of Marketing, 62</w:t>
      </w:r>
      <w:r w:rsidRPr="00452437">
        <w:rPr>
          <w:rFonts w:ascii="Times New Roman" w:hAnsi="Times New Roman" w:cs="Times New Roman"/>
          <w:color w:val="000000" w:themeColor="text1"/>
          <w:szCs w:val="24"/>
        </w:rPr>
        <w:t xml:space="preserve">(2), 60–76. </w:t>
      </w:r>
      <w:hyperlink r:id="rId6" w:tgtFrame="_new" w:history="1">
        <w:r w:rsidRPr="00452437">
          <w:rPr>
            <w:rStyle w:val="Hyperlink"/>
            <w:rFonts w:ascii="Times New Roman" w:hAnsi="Times New Roman" w:cs="Times New Roman"/>
            <w:szCs w:val="24"/>
          </w:rPr>
          <w:t>https://doi.org/10.1177/002224299806200205</w:t>
        </w:r>
      </w:hyperlink>
    </w:p>
    <w:p w14:paraId="57695D2B"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Xiang, Z., Schwartz, Z., Gerdes, J. H., &amp; Uysal, M. (2017). What can big data and text analytics tell us about hotel guest experience and satisfaction? </w:t>
      </w:r>
      <w:r w:rsidRPr="00452437">
        <w:rPr>
          <w:rFonts w:ascii="Times New Roman" w:hAnsi="Times New Roman" w:cs="Times New Roman"/>
          <w:i/>
          <w:iCs/>
          <w:color w:val="000000" w:themeColor="text1"/>
          <w:szCs w:val="24"/>
        </w:rPr>
        <w:t>Tourism Management, 59</w:t>
      </w:r>
      <w:r w:rsidRPr="00452437">
        <w:rPr>
          <w:rFonts w:ascii="Times New Roman" w:hAnsi="Times New Roman" w:cs="Times New Roman"/>
          <w:color w:val="000000" w:themeColor="text1"/>
          <w:szCs w:val="24"/>
        </w:rPr>
        <w:t>, 295–305. https://doi.org/10.1016/j.tourman.2016.08.015</w:t>
      </w:r>
    </w:p>
    <w:p w14:paraId="00282DF1" w14:textId="77777777" w:rsidR="00452437" w:rsidRPr="00452437" w:rsidRDefault="00452437" w:rsidP="00452437">
      <w:pPr>
        <w:spacing w:line="360" w:lineRule="auto"/>
        <w:rPr>
          <w:rFonts w:ascii="Times New Roman" w:hAnsi="Times New Roman" w:cs="Times New Roman"/>
          <w:color w:val="000000" w:themeColor="text1"/>
          <w:szCs w:val="24"/>
        </w:rPr>
      </w:pPr>
      <w:r w:rsidRPr="00452437">
        <w:rPr>
          <w:rFonts w:ascii="Times New Roman" w:hAnsi="Times New Roman" w:cs="Times New Roman"/>
          <w:color w:val="000000" w:themeColor="text1"/>
          <w:szCs w:val="24"/>
        </w:rPr>
        <w:t xml:space="preserve">Zeithaml, V. A., Bitner, M. J., &amp; Gremler, D. D. (2020). </w:t>
      </w:r>
      <w:r w:rsidRPr="00452437">
        <w:rPr>
          <w:rFonts w:ascii="Times New Roman" w:hAnsi="Times New Roman" w:cs="Times New Roman"/>
          <w:i/>
          <w:iCs/>
          <w:color w:val="000000" w:themeColor="text1"/>
          <w:szCs w:val="24"/>
        </w:rPr>
        <w:t>Services marketing: Integrating customer focus across the firm</w:t>
      </w:r>
      <w:r w:rsidRPr="00452437">
        <w:rPr>
          <w:rFonts w:ascii="Times New Roman" w:hAnsi="Times New Roman" w:cs="Times New Roman"/>
          <w:color w:val="000000" w:themeColor="text1"/>
          <w:szCs w:val="24"/>
        </w:rPr>
        <w:t xml:space="preserve"> (7th ed.). McGraw-Hill Education.</w:t>
      </w:r>
    </w:p>
    <w:p w14:paraId="0471EDC4" w14:textId="77777777" w:rsidR="001E2A7C" w:rsidRPr="00345836" w:rsidRDefault="001E2A7C" w:rsidP="00452437">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28DB"/>
    <w:rsid w:val="002E7AD7"/>
    <w:rsid w:val="002F73F5"/>
    <w:rsid w:val="00305511"/>
    <w:rsid w:val="003124C8"/>
    <w:rsid w:val="00313D22"/>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5243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31D00"/>
    <w:rsid w:val="005451DE"/>
    <w:rsid w:val="00554DC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45360"/>
    <w:rsid w:val="00654B4B"/>
    <w:rsid w:val="00661C0E"/>
    <w:rsid w:val="006640E0"/>
    <w:rsid w:val="006A1855"/>
    <w:rsid w:val="006A39D8"/>
    <w:rsid w:val="006A4481"/>
    <w:rsid w:val="006C6E7E"/>
    <w:rsid w:val="006D483F"/>
    <w:rsid w:val="00714A73"/>
    <w:rsid w:val="0073169A"/>
    <w:rsid w:val="007367D0"/>
    <w:rsid w:val="00751C25"/>
    <w:rsid w:val="007560CF"/>
    <w:rsid w:val="00770D56"/>
    <w:rsid w:val="00773FB7"/>
    <w:rsid w:val="00792C80"/>
    <w:rsid w:val="007975D2"/>
    <w:rsid w:val="007B37BD"/>
    <w:rsid w:val="007D6CCE"/>
    <w:rsid w:val="007E2C5A"/>
    <w:rsid w:val="007F2D81"/>
    <w:rsid w:val="00810849"/>
    <w:rsid w:val="008146F5"/>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55509"/>
    <w:rsid w:val="009634A6"/>
    <w:rsid w:val="009745D8"/>
    <w:rsid w:val="00974FC7"/>
    <w:rsid w:val="00977624"/>
    <w:rsid w:val="00986E2A"/>
    <w:rsid w:val="00987C16"/>
    <w:rsid w:val="009956D6"/>
    <w:rsid w:val="009A1709"/>
    <w:rsid w:val="009C0009"/>
    <w:rsid w:val="009C0D07"/>
    <w:rsid w:val="009C3121"/>
    <w:rsid w:val="009D13C4"/>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A1294"/>
    <w:rsid w:val="00AC3926"/>
    <w:rsid w:val="00AD05F9"/>
    <w:rsid w:val="00AD40B1"/>
    <w:rsid w:val="00B02610"/>
    <w:rsid w:val="00B02D87"/>
    <w:rsid w:val="00B06124"/>
    <w:rsid w:val="00B3019D"/>
    <w:rsid w:val="00B425D9"/>
    <w:rsid w:val="00B6174C"/>
    <w:rsid w:val="00B74633"/>
    <w:rsid w:val="00B75166"/>
    <w:rsid w:val="00B80826"/>
    <w:rsid w:val="00B83471"/>
    <w:rsid w:val="00B8435D"/>
    <w:rsid w:val="00B847AE"/>
    <w:rsid w:val="00BB783D"/>
    <w:rsid w:val="00BD23A3"/>
    <w:rsid w:val="00BD4725"/>
    <w:rsid w:val="00BD68D7"/>
    <w:rsid w:val="00BF0D10"/>
    <w:rsid w:val="00BF4BBC"/>
    <w:rsid w:val="00C1597C"/>
    <w:rsid w:val="00C435B3"/>
    <w:rsid w:val="00C65F2E"/>
    <w:rsid w:val="00C74CF2"/>
    <w:rsid w:val="00C82410"/>
    <w:rsid w:val="00CC17BF"/>
    <w:rsid w:val="00CC457B"/>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1266E"/>
    <w:rsid w:val="00E2656D"/>
    <w:rsid w:val="00E33913"/>
    <w:rsid w:val="00E34C40"/>
    <w:rsid w:val="00E47DA5"/>
    <w:rsid w:val="00E63B86"/>
    <w:rsid w:val="00E648E9"/>
    <w:rsid w:val="00E765CF"/>
    <w:rsid w:val="00E87329"/>
    <w:rsid w:val="00E952CA"/>
    <w:rsid w:val="00EB04D0"/>
    <w:rsid w:val="00EB175A"/>
    <w:rsid w:val="00EB264E"/>
    <w:rsid w:val="00EB37A9"/>
    <w:rsid w:val="00EC356C"/>
    <w:rsid w:val="00ED1841"/>
    <w:rsid w:val="00EF40F7"/>
    <w:rsid w:val="00EF6A04"/>
    <w:rsid w:val="00F10114"/>
    <w:rsid w:val="00F11085"/>
    <w:rsid w:val="00F13212"/>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77/00222429980620020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4901</Words>
  <Characters>27938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2025-12-24T23:47:00Z</dcterms:created>
  <dcterms:modified xsi:type="dcterms:W3CDTF">2025-12-24T23:47:00Z</dcterms:modified>
</cp:coreProperties>
</file>