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C0427" w14:textId="1855D109" w:rsidR="000453B3" w:rsidRDefault="000453B3" w:rsidP="006B4FFD">
      <w:pPr>
        <w:spacing w:before="120" w:after="120" w:line="480" w:lineRule="auto"/>
        <w:jc w:val="center"/>
        <w:rPr>
          <w:b/>
          <w:bCs/>
          <w:sz w:val="32"/>
          <w:szCs w:val="32"/>
        </w:rPr>
      </w:pPr>
    </w:p>
    <w:p w14:paraId="015069D1" w14:textId="2F40FD58" w:rsidR="000453B3" w:rsidRDefault="00713981" w:rsidP="006B4FFD">
      <w:pPr>
        <w:spacing w:before="120" w:after="120" w:line="480" w:lineRule="auto"/>
        <w:jc w:val="center"/>
        <w:rPr>
          <w:b/>
          <w:bCs/>
          <w:sz w:val="32"/>
          <w:szCs w:val="32"/>
        </w:rPr>
      </w:pPr>
      <w:r>
        <w:rPr>
          <w:noProof/>
        </w:rPr>
        <w:drawing>
          <wp:anchor distT="0" distB="0" distL="114300" distR="114300" simplePos="0" relativeHeight="251659264" behindDoc="1" locked="0" layoutInCell="1" allowOverlap="1" wp14:anchorId="1EEC8C0A" wp14:editId="0E9D0A12">
            <wp:simplePos x="0" y="0"/>
            <wp:positionH relativeFrom="column">
              <wp:posOffset>1876425</wp:posOffset>
            </wp:positionH>
            <wp:positionV relativeFrom="paragraph">
              <wp:posOffset>383540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E93CDB2" w14:textId="77777777" w:rsidR="000453B3" w:rsidRDefault="000453B3" w:rsidP="006B4FFD">
      <w:pPr>
        <w:spacing w:before="120" w:after="120" w:line="480" w:lineRule="auto"/>
        <w:jc w:val="center"/>
        <w:rPr>
          <w:b/>
          <w:bCs/>
          <w:sz w:val="32"/>
          <w:szCs w:val="32"/>
        </w:rPr>
      </w:pPr>
    </w:p>
    <w:p w14:paraId="0A52E52B" w14:textId="77777777" w:rsidR="000453B3" w:rsidRDefault="000453B3" w:rsidP="006B4FFD">
      <w:pPr>
        <w:spacing w:before="120" w:after="120" w:line="480" w:lineRule="auto"/>
        <w:jc w:val="center"/>
        <w:rPr>
          <w:b/>
          <w:bCs/>
          <w:sz w:val="32"/>
          <w:szCs w:val="32"/>
        </w:rPr>
      </w:pPr>
    </w:p>
    <w:p w14:paraId="7302BF3B" w14:textId="77777777" w:rsidR="000453B3" w:rsidRDefault="000453B3" w:rsidP="006B4FFD">
      <w:pPr>
        <w:spacing w:before="120" w:after="120" w:line="480" w:lineRule="auto"/>
        <w:jc w:val="center"/>
        <w:rPr>
          <w:b/>
          <w:bCs/>
          <w:sz w:val="32"/>
          <w:szCs w:val="32"/>
        </w:rPr>
      </w:pPr>
    </w:p>
    <w:p w14:paraId="6CD83B9F" w14:textId="77777777" w:rsidR="00EE6A80" w:rsidRDefault="000453B3" w:rsidP="006B4FFD">
      <w:pPr>
        <w:spacing w:before="120" w:after="120" w:line="480" w:lineRule="auto"/>
        <w:jc w:val="center"/>
        <w:rPr>
          <w:b/>
          <w:bCs/>
          <w:sz w:val="32"/>
          <w:szCs w:val="32"/>
        </w:rPr>
      </w:pPr>
      <w:r w:rsidRPr="000453B3">
        <w:rPr>
          <w:b/>
          <w:bCs/>
          <w:sz w:val="32"/>
          <w:szCs w:val="32"/>
        </w:rPr>
        <w:t xml:space="preserve">PLANNING AND DEVELOPMENT OF BERLIN AS A SUSTAINABLE TOURISM DESTINATION </w:t>
      </w:r>
    </w:p>
    <w:p w14:paraId="2ACD6186" w14:textId="77777777" w:rsidR="00EE6A80" w:rsidRDefault="00EE6A80" w:rsidP="006B4FFD">
      <w:pPr>
        <w:spacing w:before="120" w:after="120" w:line="480" w:lineRule="auto"/>
        <w:jc w:val="center"/>
        <w:rPr>
          <w:b/>
          <w:bCs/>
          <w:sz w:val="32"/>
          <w:szCs w:val="32"/>
        </w:rPr>
      </w:pPr>
      <w:r>
        <w:rPr>
          <w:b/>
          <w:bCs/>
          <w:sz w:val="32"/>
          <w:szCs w:val="32"/>
        </w:rPr>
        <w:t>Student Name:</w:t>
      </w:r>
    </w:p>
    <w:p w14:paraId="1F196C76" w14:textId="02DFA5AF" w:rsidR="002148BD" w:rsidRPr="000453B3" w:rsidRDefault="00EE6A80" w:rsidP="006B4FFD">
      <w:pPr>
        <w:spacing w:before="120" w:after="120" w:line="480" w:lineRule="auto"/>
        <w:jc w:val="center"/>
        <w:rPr>
          <w:rFonts w:eastAsiaTheme="majorEastAsia" w:cstheme="majorBidi"/>
          <w:b/>
          <w:bCs/>
          <w:sz w:val="28"/>
          <w:szCs w:val="32"/>
        </w:rPr>
      </w:pPr>
      <w:r>
        <w:rPr>
          <w:b/>
          <w:bCs/>
          <w:sz w:val="32"/>
          <w:szCs w:val="32"/>
        </w:rPr>
        <w:t>Student ID:</w:t>
      </w:r>
      <w:r w:rsidR="002148BD" w:rsidRPr="000453B3">
        <w:rPr>
          <w:b/>
          <w:bCs/>
        </w:rPr>
        <w:br w:type="page"/>
      </w:r>
    </w:p>
    <w:sdt>
      <w:sdtPr>
        <w:rPr>
          <w:rFonts w:ascii="Times New Roman" w:eastAsiaTheme="minorHAnsi" w:hAnsi="Times New Roman" w:cstheme="minorBidi"/>
          <w:color w:val="auto"/>
          <w:kern w:val="2"/>
          <w:sz w:val="24"/>
          <w:szCs w:val="24"/>
          <w14:ligatures w14:val="standardContextual"/>
        </w:rPr>
        <w:id w:val="932628689"/>
        <w:docPartObj>
          <w:docPartGallery w:val="Table of Contents"/>
          <w:docPartUnique/>
        </w:docPartObj>
      </w:sdtPr>
      <w:sdtEndPr>
        <w:rPr>
          <w:b/>
          <w:bCs/>
          <w:noProof/>
        </w:rPr>
      </w:sdtEndPr>
      <w:sdtContent>
        <w:p w14:paraId="114D897C" w14:textId="3A384567" w:rsidR="00EE6A80" w:rsidRPr="006B4FFD" w:rsidRDefault="00EE6A80" w:rsidP="006B4FFD">
          <w:pPr>
            <w:pStyle w:val="TOCHeading"/>
            <w:spacing w:before="120" w:after="120" w:line="480" w:lineRule="auto"/>
            <w:jc w:val="center"/>
            <w:rPr>
              <w:rFonts w:ascii="Times New Roman" w:hAnsi="Times New Roman" w:cs="Times New Roman"/>
              <w:b/>
              <w:bCs/>
              <w:color w:val="000000" w:themeColor="text1"/>
              <w:sz w:val="24"/>
              <w:szCs w:val="24"/>
            </w:rPr>
          </w:pPr>
          <w:r w:rsidRPr="006B4FFD">
            <w:rPr>
              <w:rFonts w:ascii="Times New Roman" w:hAnsi="Times New Roman" w:cs="Times New Roman"/>
              <w:b/>
              <w:bCs/>
              <w:color w:val="000000" w:themeColor="text1"/>
              <w:sz w:val="24"/>
              <w:szCs w:val="24"/>
            </w:rPr>
            <w:t>Table of Contents</w:t>
          </w:r>
        </w:p>
        <w:p w14:paraId="66C3FCCE" w14:textId="4D29B532" w:rsidR="00EE6A80" w:rsidRDefault="00EE6A80" w:rsidP="006B4FFD">
          <w:pPr>
            <w:pStyle w:val="TOC1"/>
            <w:tabs>
              <w:tab w:val="right" w:leader="dot" w:pos="9350"/>
            </w:tabs>
            <w:spacing w:before="120" w:after="120" w:line="480" w:lineRule="auto"/>
            <w:rPr>
              <w:noProof/>
            </w:rPr>
          </w:pPr>
          <w:r>
            <w:fldChar w:fldCharType="begin"/>
          </w:r>
          <w:r>
            <w:instrText xml:space="preserve"> TOC \o "1-3" \h \z \u </w:instrText>
          </w:r>
          <w:r>
            <w:fldChar w:fldCharType="separate"/>
          </w:r>
          <w:hyperlink w:anchor="_Toc209784471" w:history="1">
            <w:r w:rsidRPr="00C23E40">
              <w:rPr>
                <w:rStyle w:val="Hyperlink"/>
                <w:noProof/>
              </w:rPr>
              <w:t>Q1: Destination Plan</w:t>
            </w:r>
            <w:r w:rsidRPr="00C23E40">
              <w:rPr>
                <w:rStyle w:val="Hyperlink"/>
                <w:noProof/>
              </w:rPr>
              <w:t>n</w:t>
            </w:r>
            <w:r w:rsidRPr="00C23E40">
              <w:rPr>
                <w:rStyle w:val="Hyperlink"/>
                <w:noProof/>
              </w:rPr>
              <w:t>ing &amp; Management (Berlin, Germany)</w:t>
            </w:r>
            <w:r>
              <w:rPr>
                <w:noProof/>
                <w:webHidden/>
              </w:rPr>
              <w:tab/>
            </w:r>
            <w:r>
              <w:rPr>
                <w:noProof/>
                <w:webHidden/>
              </w:rPr>
              <w:fldChar w:fldCharType="begin"/>
            </w:r>
            <w:r>
              <w:rPr>
                <w:noProof/>
                <w:webHidden/>
              </w:rPr>
              <w:instrText xml:space="preserve"> PAGEREF _Toc209784471 \h </w:instrText>
            </w:r>
            <w:r>
              <w:rPr>
                <w:noProof/>
                <w:webHidden/>
              </w:rPr>
            </w:r>
            <w:r>
              <w:rPr>
                <w:noProof/>
                <w:webHidden/>
              </w:rPr>
              <w:fldChar w:fldCharType="separate"/>
            </w:r>
            <w:r w:rsidR="00654BE6">
              <w:rPr>
                <w:noProof/>
                <w:webHidden/>
              </w:rPr>
              <w:t>3</w:t>
            </w:r>
            <w:r>
              <w:rPr>
                <w:noProof/>
                <w:webHidden/>
              </w:rPr>
              <w:fldChar w:fldCharType="end"/>
            </w:r>
          </w:hyperlink>
        </w:p>
        <w:p w14:paraId="07C64E58" w14:textId="64F1C9BA" w:rsidR="00EE6A80" w:rsidRDefault="00EE6A80" w:rsidP="006B4FFD">
          <w:pPr>
            <w:pStyle w:val="TOC2"/>
            <w:tabs>
              <w:tab w:val="right" w:leader="dot" w:pos="9350"/>
            </w:tabs>
            <w:spacing w:before="120" w:after="120" w:line="480" w:lineRule="auto"/>
            <w:rPr>
              <w:noProof/>
            </w:rPr>
          </w:pPr>
          <w:hyperlink w:anchor="_Toc209784472" w:history="1">
            <w:r w:rsidRPr="00C23E40">
              <w:rPr>
                <w:rStyle w:val="Hyperlink"/>
                <w:noProof/>
              </w:rPr>
              <w:t>Natural &amp; Cultural Resources</w:t>
            </w:r>
            <w:r>
              <w:rPr>
                <w:noProof/>
                <w:webHidden/>
              </w:rPr>
              <w:tab/>
            </w:r>
            <w:r>
              <w:rPr>
                <w:noProof/>
                <w:webHidden/>
              </w:rPr>
              <w:fldChar w:fldCharType="begin"/>
            </w:r>
            <w:r>
              <w:rPr>
                <w:noProof/>
                <w:webHidden/>
              </w:rPr>
              <w:instrText xml:space="preserve"> PAGEREF _Toc209784472 \h </w:instrText>
            </w:r>
            <w:r>
              <w:rPr>
                <w:noProof/>
                <w:webHidden/>
              </w:rPr>
            </w:r>
            <w:r>
              <w:rPr>
                <w:noProof/>
                <w:webHidden/>
              </w:rPr>
              <w:fldChar w:fldCharType="separate"/>
            </w:r>
            <w:r w:rsidR="00654BE6">
              <w:rPr>
                <w:noProof/>
                <w:webHidden/>
              </w:rPr>
              <w:t>3</w:t>
            </w:r>
            <w:r>
              <w:rPr>
                <w:noProof/>
                <w:webHidden/>
              </w:rPr>
              <w:fldChar w:fldCharType="end"/>
            </w:r>
          </w:hyperlink>
        </w:p>
        <w:p w14:paraId="5DB841D6" w14:textId="426807FA" w:rsidR="00EE6A80" w:rsidRDefault="00EE6A80" w:rsidP="006B4FFD">
          <w:pPr>
            <w:pStyle w:val="TOC2"/>
            <w:tabs>
              <w:tab w:val="right" w:leader="dot" w:pos="9350"/>
            </w:tabs>
            <w:spacing w:before="120" w:after="120" w:line="480" w:lineRule="auto"/>
            <w:rPr>
              <w:noProof/>
            </w:rPr>
          </w:pPr>
          <w:hyperlink w:anchor="_Toc209784473" w:history="1">
            <w:r w:rsidRPr="00C23E40">
              <w:rPr>
                <w:rStyle w:val="Hyperlink"/>
                <w:noProof/>
              </w:rPr>
              <w:t>Planning &amp; Management</w:t>
            </w:r>
            <w:r>
              <w:rPr>
                <w:noProof/>
                <w:webHidden/>
              </w:rPr>
              <w:tab/>
            </w:r>
            <w:r>
              <w:rPr>
                <w:noProof/>
                <w:webHidden/>
              </w:rPr>
              <w:fldChar w:fldCharType="begin"/>
            </w:r>
            <w:r>
              <w:rPr>
                <w:noProof/>
                <w:webHidden/>
              </w:rPr>
              <w:instrText xml:space="preserve"> PAGEREF _Toc209784473 \h </w:instrText>
            </w:r>
            <w:r>
              <w:rPr>
                <w:noProof/>
                <w:webHidden/>
              </w:rPr>
            </w:r>
            <w:r>
              <w:rPr>
                <w:noProof/>
                <w:webHidden/>
              </w:rPr>
              <w:fldChar w:fldCharType="separate"/>
            </w:r>
            <w:r w:rsidR="00654BE6">
              <w:rPr>
                <w:noProof/>
                <w:webHidden/>
              </w:rPr>
              <w:t>4</w:t>
            </w:r>
            <w:r>
              <w:rPr>
                <w:noProof/>
                <w:webHidden/>
              </w:rPr>
              <w:fldChar w:fldCharType="end"/>
            </w:r>
          </w:hyperlink>
        </w:p>
        <w:p w14:paraId="00C28D9B" w14:textId="1BB03064" w:rsidR="00EE6A80" w:rsidRDefault="00EE6A80" w:rsidP="006B4FFD">
          <w:pPr>
            <w:pStyle w:val="TOC2"/>
            <w:tabs>
              <w:tab w:val="right" w:leader="dot" w:pos="9350"/>
            </w:tabs>
            <w:spacing w:before="120" w:after="120" w:line="480" w:lineRule="auto"/>
            <w:rPr>
              <w:noProof/>
            </w:rPr>
          </w:pPr>
          <w:hyperlink w:anchor="_Toc209784474" w:history="1">
            <w:r w:rsidRPr="00C23E40">
              <w:rPr>
                <w:rStyle w:val="Hyperlink"/>
                <w:noProof/>
              </w:rPr>
              <w:t>Strengths &amp; Challenges</w:t>
            </w:r>
            <w:r>
              <w:rPr>
                <w:noProof/>
                <w:webHidden/>
              </w:rPr>
              <w:tab/>
            </w:r>
            <w:r>
              <w:rPr>
                <w:noProof/>
                <w:webHidden/>
              </w:rPr>
              <w:fldChar w:fldCharType="begin"/>
            </w:r>
            <w:r>
              <w:rPr>
                <w:noProof/>
                <w:webHidden/>
              </w:rPr>
              <w:instrText xml:space="preserve"> PAGEREF _Toc209784474 \h </w:instrText>
            </w:r>
            <w:r>
              <w:rPr>
                <w:noProof/>
                <w:webHidden/>
              </w:rPr>
            </w:r>
            <w:r>
              <w:rPr>
                <w:noProof/>
                <w:webHidden/>
              </w:rPr>
              <w:fldChar w:fldCharType="separate"/>
            </w:r>
            <w:r w:rsidR="00654BE6">
              <w:rPr>
                <w:noProof/>
                <w:webHidden/>
              </w:rPr>
              <w:t>5</w:t>
            </w:r>
            <w:r>
              <w:rPr>
                <w:noProof/>
                <w:webHidden/>
              </w:rPr>
              <w:fldChar w:fldCharType="end"/>
            </w:r>
          </w:hyperlink>
        </w:p>
        <w:p w14:paraId="42BF2523" w14:textId="33EDF17F" w:rsidR="00EE6A80" w:rsidRDefault="00EE6A80" w:rsidP="006B4FFD">
          <w:pPr>
            <w:pStyle w:val="TOC2"/>
            <w:tabs>
              <w:tab w:val="right" w:leader="dot" w:pos="9350"/>
            </w:tabs>
            <w:spacing w:before="120" w:after="120" w:line="480" w:lineRule="auto"/>
            <w:rPr>
              <w:noProof/>
            </w:rPr>
          </w:pPr>
          <w:hyperlink w:anchor="_Toc209784475" w:history="1">
            <w:r w:rsidRPr="00C23E40">
              <w:rPr>
                <w:rStyle w:val="Hyperlink"/>
                <w:noProof/>
              </w:rPr>
              <w:t>Recommendations for Improvement</w:t>
            </w:r>
            <w:r>
              <w:rPr>
                <w:noProof/>
                <w:webHidden/>
              </w:rPr>
              <w:tab/>
            </w:r>
            <w:r>
              <w:rPr>
                <w:noProof/>
                <w:webHidden/>
              </w:rPr>
              <w:fldChar w:fldCharType="begin"/>
            </w:r>
            <w:r>
              <w:rPr>
                <w:noProof/>
                <w:webHidden/>
              </w:rPr>
              <w:instrText xml:space="preserve"> PAGEREF _Toc209784475 \h </w:instrText>
            </w:r>
            <w:r>
              <w:rPr>
                <w:noProof/>
                <w:webHidden/>
              </w:rPr>
            </w:r>
            <w:r>
              <w:rPr>
                <w:noProof/>
                <w:webHidden/>
              </w:rPr>
              <w:fldChar w:fldCharType="separate"/>
            </w:r>
            <w:r w:rsidR="00654BE6">
              <w:rPr>
                <w:noProof/>
                <w:webHidden/>
              </w:rPr>
              <w:t>6</w:t>
            </w:r>
            <w:r>
              <w:rPr>
                <w:noProof/>
                <w:webHidden/>
              </w:rPr>
              <w:fldChar w:fldCharType="end"/>
            </w:r>
          </w:hyperlink>
        </w:p>
        <w:p w14:paraId="3A00818A" w14:textId="6F682FF3" w:rsidR="00EE6A80" w:rsidRDefault="00EE6A80" w:rsidP="006B4FFD">
          <w:pPr>
            <w:pStyle w:val="TOC1"/>
            <w:tabs>
              <w:tab w:val="right" w:leader="dot" w:pos="9350"/>
            </w:tabs>
            <w:spacing w:before="120" w:after="120" w:line="480" w:lineRule="auto"/>
            <w:rPr>
              <w:noProof/>
            </w:rPr>
          </w:pPr>
          <w:hyperlink w:anchor="_Toc209784476" w:history="1">
            <w:r w:rsidRPr="00C23E40">
              <w:rPr>
                <w:rStyle w:val="Hyperlink"/>
                <w:noProof/>
              </w:rPr>
              <w:t>Q2: Key Elements of Destination Development (Using Berlin &amp; Examples)</w:t>
            </w:r>
            <w:r>
              <w:rPr>
                <w:noProof/>
                <w:webHidden/>
              </w:rPr>
              <w:tab/>
            </w:r>
            <w:r>
              <w:rPr>
                <w:noProof/>
                <w:webHidden/>
              </w:rPr>
              <w:fldChar w:fldCharType="begin"/>
            </w:r>
            <w:r>
              <w:rPr>
                <w:noProof/>
                <w:webHidden/>
              </w:rPr>
              <w:instrText xml:space="preserve"> PAGEREF _Toc209784476 \h </w:instrText>
            </w:r>
            <w:r>
              <w:rPr>
                <w:noProof/>
                <w:webHidden/>
              </w:rPr>
            </w:r>
            <w:r>
              <w:rPr>
                <w:noProof/>
                <w:webHidden/>
              </w:rPr>
              <w:fldChar w:fldCharType="separate"/>
            </w:r>
            <w:r w:rsidR="00654BE6">
              <w:rPr>
                <w:noProof/>
                <w:webHidden/>
              </w:rPr>
              <w:t>8</w:t>
            </w:r>
            <w:r>
              <w:rPr>
                <w:noProof/>
                <w:webHidden/>
              </w:rPr>
              <w:fldChar w:fldCharType="end"/>
            </w:r>
          </w:hyperlink>
        </w:p>
        <w:p w14:paraId="4076578F" w14:textId="43606B42" w:rsidR="00EE6A80" w:rsidRDefault="00EE6A80" w:rsidP="006B4FFD">
          <w:pPr>
            <w:pStyle w:val="TOC2"/>
            <w:tabs>
              <w:tab w:val="right" w:leader="dot" w:pos="9350"/>
            </w:tabs>
            <w:spacing w:before="120" w:after="120" w:line="480" w:lineRule="auto"/>
            <w:rPr>
              <w:noProof/>
            </w:rPr>
          </w:pPr>
          <w:hyperlink w:anchor="_Toc209784477" w:history="1">
            <w:r w:rsidRPr="00C23E40">
              <w:rPr>
                <w:rStyle w:val="Hyperlink"/>
                <w:noProof/>
              </w:rPr>
              <w:t>1. Attractions</w:t>
            </w:r>
            <w:r>
              <w:rPr>
                <w:noProof/>
                <w:webHidden/>
              </w:rPr>
              <w:tab/>
            </w:r>
            <w:r>
              <w:rPr>
                <w:noProof/>
                <w:webHidden/>
              </w:rPr>
              <w:fldChar w:fldCharType="begin"/>
            </w:r>
            <w:r>
              <w:rPr>
                <w:noProof/>
                <w:webHidden/>
              </w:rPr>
              <w:instrText xml:space="preserve"> PAGEREF _Toc209784477 \h </w:instrText>
            </w:r>
            <w:r>
              <w:rPr>
                <w:noProof/>
                <w:webHidden/>
              </w:rPr>
            </w:r>
            <w:r>
              <w:rPr>
                <w:noProof/>
                <w:webHidden/>
              </w:rPr>
              <w:fldChar w:fldCharType="separate"/>
            </w:r>
            <w:r w:rsidR="00654BE6">
              <w:rPr>
                <w:noProof/>
                <w:webHidden/>
              </w:rPr>
              <w:t>8</w:t>
            </w:r>
            <w:r>
              <w:rPr>
                <w:noProof/>
                <w:webHidden/>
              </w:rPr>
              <w:fldChar w:fldCharType="end"/>
            </w:r>
          </w:hyperlink>
        </w:p>
        <w:p w14:paraId="1709ED48" w14:textId="3F6BD5DD" w:rsidR="00EE6A80" w:rsidRDefault="00EE6A80" w:rsidP="006B4FFD">
          <w:pPr>
            <w:pStyle w:val="TOC2"/>
            <w:tabs>
              <w:tab w:val="right" w:leader="dot" w:pos="9350"/>
            </w:tabs>
            <w:spacing w:before="120" w:after="120" w:line="480" w:lineRule="auto"/>
            <w:rPr>
              <w:noProof/>
            </w:rPr>
          </w:pPr>
          <w:hyperlink w:anchor="_Toc209784478" w:history="1">
            <w:r w:rsidRPr="00C23E40">
              <w:rPr>
                <w:rStyle w:val="Hyperlink"/>
                <w:noProof/>
              </w:rPr>
              <w:t>2. Accessibility</w:t>
            </w:r>
            <w:r>
              <w:rPr>
                <w:noProof/>
                <w:webHidden/>
              </w:rPr>
              <w:tab/>
            </w:r>
            <w:r>
              <w:rPr>
                <w:noProof/>
                <w:webHidden/>
              </w:rPr>
              <w:fldChar w:fldCharType="begin"/>
            </w:r>
            <w:r>
              <w:rPr>
                <w:noProof/>
                <w:webHidden/>
              </w:rPr>
              <w:instrText xml:space="preserve"> PAGEREF _Toc209784478 \h </w:instrText>
            </w:r>
            <w:r>
              <w:rPr>
                <w:noProof/>
                <w:webHidden/>
              </w:rPr>
            </w:r>
            <w:r>
              <w:rPr>
                <w:noProof/>
                <w:webHidden/>
              </w:rPr>
              <w:fldChar w:fldCharType="separate"/>
            </w:r>
            <w:r w:rsidR="00654BE6">
              <w:rPr>
                <w:noProof/>
                <w:webHidden/>
              </w:rPr>
              <w:t>8</w:t>
            </w:r>
            <w:r>
              <w:rPr>
                <w:noProof/>
                <w:webHidden/>
              </w:rPr>
              <w:fldChar w:fldCharType="end"/>
            </w:r>
          </w:hyperlink>
        </w:p>
        <w:p w14:paraId="72E09EF2" w14:textId="1E43EC09" w:rsidR="00EE6A80" w:rsidRDefault="00EE6A80" w:rsidP="006B4FFD">
          <w:pPr>
            <w:pStyle w:val="TOC2"/>
            <w:tabs>
              <w:tab w:val="right" w:leader="dot" w:pos="9350"/>
            </w:tabs>
            <w:spacing w:before="120" w:after="120" w:line="480" w:lineRule="auto"/>
            <w:rPr>
              <w:noProof/>
            </w:rPr>
          </w:pPr>
          <w:hyperlink w:anchor="_Toc209784479" w:history="1">
            <w:r w:rsidRPr="00C23E40">
              <w:rPr>
                <w:rStyle w:val="Hyperlink"/>
                <w:noProof/>
              </w:rPr>
              <w:t>3. Amenities</w:t>
            </w:r>
            <w:r>
              <w:rPr>
                <w:noProof/>
                <w:webHidden/>
              </w:rPr>
              <w:tab/>
            </w:r>
            <w:r>
              <w:rPr>
                <w:noProof/>
                <w:webHidden/>
              </w:rPr>
              <w:fldChar w:fldCharType="begin"/>
            </w:r>
            <w:r>
              <w:rPr>
                <w:noProof/>
                <w:webHidden/>
              </w:rPr>
              <w:instrText xml:space="preserve"> PAGEREF _Toc209784479 \h </w:instrText>
            </w:r>
            <w:r>
              <w:rPr>
                <w:noProof/>
                <w:webHidden/>
              </w:rPr>
            </w:r>
            <w:r>
              <w:rPr>
                <w:noProof/>
                <w:webHidden/>
              </w:rPr>
              <w:fldChar w:fldCharType="separate"/>
            </w:r>
            <w:r w:rsidR="00654BE6">
              <w:rPr>
                <w:noProof/>
                <w:webHidden/>
              </w:rPr>
              <w:t>9</w:t>
            </w:r>
            <w:r>
              <w:rPr>
                <w:noProof/>
                <w:webHidden/>
              </w:rPr>
              <w:fldChar w:fldCharType="end"/>
            </w:r>
          </w:hyperlink>
        </w:p>
        <w:p w14:paraId="2E3EA82B" w14:textId="03B5A0E1" w:rsidR="00EE6A80" w:rsidRDefault="00EE6A80" w:rsidP="006B4FFD">
          <w:pPr>
            <w:pStyle w:val="TOC2"/>
            <w:tabs>
              <w:tab w:val="right" w:leader="dot" w:pos="9350"/>
            </w:tabs>
            <w:spacing w:before="120" w:after="120" w:line="480" w:lineRule="auto"/>
            <w:rPr>
              <w:noProof/>
            </w:rPr>
          </w:pPr>
          <w:hyperlink w:anchor="_Toc209784480" w:history="1">
            <w:r w:rsidRPr="00C23E40">
              <w:rPr>
                <w:rStyle w:val="Hyperlink"/>
                <w:noProof/>
              </w:rPr>
              <w:t>4. Image</w:t>
            </w:r>
            <w:r>
              <w:rPr>
                <w:noProof/>
                <w:webHidden/>
              </w:rPr>
              <w:tab/>
            </w:r>
            <w:r>
              <w:rPr>
                <w:noProof/>
                <w:webHidden/>
              </w:rPr>
              <w:fldChar w:fldCharType="begin"/>
            </w:r>
            <w:r>
              <w:rPr>
                <w:noProof/>
                <w:webHidden/>
              </w:rPr>
              <w:instrText xml:space="preserve"> PAGEREF _Toc209784480 \h </w:instrText>
            </w:r>
            <w:r>
              <w:rPr>
                <w:noProof/>
                <w:webHidden/>
              </w:rPr>
            </w:r>
            <w:r>
              <w:rPr>
                <w:noProof/>
                <w:webHidden/>
              </w:rPr>
              <w:fldChar w:fldCharType="separate"/>
            </w:r>
            <w:r w:rsidR="00654BE6">
              <w:rPr>
                <w:noProof/>
                <w:webHidden/>
              </w:rPr>
              <w:t>10</w:t>
            </w:r>
            <w:r>
              <w:rPr>
                <w:noProof/>
                <w:webHidden/>
              </w:rPr>
              <w:fldChar w:fldCharType="end"/>
            </w:r>
          </w:hyperlink>
        </w:p>
        <w:p w14:paraId="34C65602" w14:textId="3EFBF540" w:rsidR="00EE6A80" w:rsidRDefault="00EE6A80" w:rsidP="006B4FFD">
          <w:pPr>
            <w:pStyle w:val="TOC2"/>
            <w:tabs>
              <w:tab w:val="right" w:leader="dot" w:pos="9350"/>
            </w:tabs>
            <w:spacing w:before="120" w:after="120" w:line="480" w:lineRule="auto"/>
            <w:rPr>
              <w:noProof/>
            </w:rPr>
          </w:pPr>
          <w:hyperlink w:anchor="_Toc209784481" w:history="1">
            <w:r w:rsidRPr="00C23E40">
              <w:rPr>
                <w:rStyle w:val="Hyperlink"/>
                <w:noProof/>
              </w:rPr>
              <w:t>5. Ancillary Services</w:t>
            </w:r>
            <w:r>
              <w:rPr>
                <w:noProof/>
                <w:webHidden/>
              </w:rPr>
              <w:tab/>
            </w:r>
            <w:r>
              <w:rPr>
                <w:noProof/>
                <w:webHidden/>
              </w:rPr>
              <w:fldChar w:fldCharType="begin"/>
            </w:r>
            <w:r>
              <w:rPr>
                <w:noProof/>
                <w:webHidden/>
              </w:rPr>
              <w:instrText xml:space="preserve"> PAGEREF _Toc209784481 \h </w:instrText>
            </w:r>
            <w:r>
              <w:rPr>
                <w:noProof/>
                <w:webHidden/>
              </w:rPr>
            </w:r>
            <w:r>
              <w:rPr>
                <w:noProof/>
                <w:webHidden/>
              </w:rPr>
              <w:fldChar w:fldCharType="separate"/>
            </w:r>
            <w:r w:rsidR="00654BE6">
              <w:rPr>
                <w:noProof/>
                <w:webHidden/>
              </w:rPr>
              <w:t>12</w:t>
            </w:r>
            <w:r>
              <w:rPr>
                <w:noProof/>
                <w:webHidden/>
              </w:rPr>
              <w:fldChar w:fldCharType="end"/>
            </w:r>
          </w:hyperlink>
        </w:p>
        <w:p w14:paraId="37DE6325" w14:textId="06A0F156" w:rsidR="00EE6A80" w:rsidRDefault="00EE6A80" w:rsidP="006B4FFD">
          <w:pPr>
            <w:pStyle w:val="TOC1"/>
            <w:tabs>
              <w:tab w:val="right" w:leader="dot" w:pos="9350"/>
            </w:tabs>
            <w:spacing w:before="120" w:after="120" w:line="480" w:lineRule="auto"/>
            <w:rPr>
              <w:noProof/>
            </w:rPr>
          </w:pPr>
          <w:hyperlink w:anchor="_Toc209784482" w:history="1">
            <w:r w:rsidRPr="00C23E40">
              <w:rPr>
                <w:rStyle w:val="Hyperlink"/>
                <w:noProof/>
              </w:rPr>
              <w:t>References</w:t>
            </w:r>
            <w:r>
              <w:rPr>
                <w:noProof/>
                <w:webHidden/>
              </w:rPr>
              <w:tab/>
            </w:r>
            <w:r>
              <w:rPr>
                <w:noProof/>
                <w:webHidden/>
              </w:rPr>
              <w:fldChar w:fldCharType="begin"/>
            </w:r>
            <w:r>
              <w:rPr>
                <w:noProof/>
                <w:webHidden/>
              </w:rPr>
              <w:instrText xml:space="preserve"> PAGEREF _Toc209784482 \h </w:instrText>
            </w:r>
            <w:r>
              <w:rPr>
                <w:noProof/>
                <w:webHidden/>
              </w:rPr>
            </w:r>
            <w:r>
              <w:rPr>
                <w:noProof/>
                <w:webHidden/>
              </w:rPr>
              <w:fldChar w:fldCharType="separate"/>
            </w:r>
            <w:r w:rsidR="00654BE6">
              <w:rPr>
                <w:noProof/>
                <w:webHidden/>
              </w:rPr>
              <w:t>14</w:t>
            </w:r>
            <w:r>
              <w:rPr>
                <w:noProof/>
                <w:webHidden/>
              </w:rPr>
              <w:fldChar w:fldCharType="end"/>
            </w:r>
          </w:hyperlink>
        </w:p>
        <w:p w14:paraId="66A00E1F" w14:textId="55B9211D" w:rsidR="00EE6A80" w:rsidRDefault="00EE6A80" w:rsidP="006B4FFD">
          <w:pPr>
            <w:spacing w:before="120" w:after="120" w:line="480" w:lineRule="auto"/>
          </w:pPr>
          <w:r>
            <w:rPr>
              <w:b/>
              <w:bCs/>
              <w:noProof/>
            </w:rPr>
            <w:fldChar w:fldCharType="end"/>
          </w:r>
        </w:p>
      </w:sdtContent>
    </w:sdt>
    <w:p w14:paraId="3D21D377" w14:textId="77777777" w:rsidR="002148BD" w:rsidRDefault="002148BD" w:rsidP="006B4FFD">
      <w:pPr>
        <w:spacing w:before="120" w:after="120" w:line="480" w:lineRule="auto"/>
        <w:jc w:val="left"/>
        <w:rPr>
          <w:rFonts w:eastAsiaTheme="majorEastAsia" w:cstheme="majorBidi"/>
          <w:b/>
          <w:sz w:val="28"/>
          <w:szCs w:val="32"/>
        </w:rPr>
      </w:pPr>
      <w:r>
        <w:br w:type="page"/>
      </w:r>
    </w:p>
    <w:p w14:paraId="61DA69C8" w14:textId="2D62AA08" w:rsidR="00F939AC" w:rsidRPr="00AC6A0C" w:rsidRDefault="00F939AC" w:rsidP="006B4FFD">
      <w:pPr>
        <w:pStyle w:val="Heading1"/>
        <w:spacing w:before="120" w:after="120"/>
      </w:pPr>
      <w:bookmarkStart w:id="0" w:name="_Toc209784471"/>
      <w:r w:rsidRPr="00AC6A0C">
        <w:lastRenderedPageBreak/>
        <w:t>Q1</w:t>
      </w:r>
      <w:r>
        <w:t>:</w:t>
      </w:r>
      <w:r w:rsidRPr="00AC6A0C">
        <w:t xml:space="preserve"> Destination Planning &amp; Management (Berlin, Germany)</w:t>
      </w:r>
      <w:bookmarkEnd w:id="0"/>
    </w:p>
    <w:p w14:paraId="48CBA443" w14:textId="77777777" w:rsidR="002A51CC" w:rsidRDefault="00F939AC" w:rsidP="006B4FFD">
      <w:pPr>
        <w:spacing w:before="120" w:after="120" w:line="480" w:lineRule="auto"/>
        <w:ind w:firstLine="720"/>
        <w:jc w:val="left"/>
      </w:pPr>
      <w:r w:rsidRPr="00F939AC">
        <w:t xml:space="preserve">Berlin, the capital of Germany, is recognised as a major European tourism hub with a strong cultural identity and extensive green spaces. Its appeal combines historical depth, cultural diversity and accessible natural areas, making it a top urban destination in Europe. In 2023, Berlin received approximately </w:t>
      </w:r>
      <w:r w:rsidRPr="00F939AC">
        <w:rPr>
          <w:b/>
          <w:bCs/>
        </w:rPr>
        <w:t>12.1 million visitors</w:t>
      </w:r>
      <w:r w:rsidRPr="00F939AC">
        <w:t xml:space="preserve">, generating nearly </w:t>
      </w:r>
      <w:r w:rsidRPr="00F939AC">
        <w:rPr>
          <w:b/>
          <w:bCs/>
        </w:rPr>
        <w:t>30 million overnight stays</w:t>
      </w:r>
      <w:r w:rsidRPr="00F939AC">
        <w:t xml:space="preserve">, a 12 % increase from the previous year (VisitBerlin, 2024). </w:t>
      </w:r>
    </w:p>
    <w:p w14:paraId="57F41A60" w14:textId="77777777" w:rsidR="002A51CC" w:rsidRDefault="002A51CC" w:rsidP="006B4FFD">
      <w:pPr>
        <w:spacing w:before="120" w:after="120" w:line="480" w:lineRule="auto"/>
        <w:jc w:val="center"/>
      </w:pPr>
      <w:r w:rsidRPr="008D6529">
        <w:rPr>
          <w:noProof/>
        </w:rPr>
        <w:drawing>
          <wp:inline distT="0" distB="0" distL="0" distR="0" wp14:anchorId="54027177" wp14:editId="7CC7CC2D">
            <wp:extent cx="5534025" cy="1492295"/>
            <wp:effectExtent l="0" t="0" r="0" b="0"/>
            <wp:docPr id="1339459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459205" name=""/>
                    <pic:cNvPicPr/>
                  </pic:nvPicPr>
                  <pic:blipFill>
                    <a:blip r:embed="rId9"/>
                    <a:stretch>
                      <a:fillRect/>
                    </a:stretch>
                  </pic:blipFill>
                  <pic:spPr>
                    <a:xfrm>
                      <a:off x="0" y="0"/>
                      <a:ext cx="5539306" cy="1493719"/>
                    </a:xfrm>
                    <a:prstGeom prst="rect">
                      <a:avLst/>
                    </a:prstGeom>
                  </pic:spPr>
                </pic:pic>
              </a:graphicData>
            </a:graphic>
          </wp:inline>
        </w:drawing>
      </w:r>
    </w:p>
    <w:p w14:paraId="4AA4B442" w14:textId="2E4386CF" w:rsidR="002A51CC" w:rsidRDefault="002A51CC" w:rsidP="006B4FFD">
      <w:pPr>
        <w:pStyle w:val="Heading4"/>
        <w:spacing w:before="120" w:after="120" w:line="480" w:lineRule="auto"/>
      </w:pPr>
      <w:r>
        <w:t xml:space="preserve">Figure 1: </w:t>
      </w:r>
      <w:r w:rsidR="00955040" w:rsidRPr="00955040">
        <w:t>Annual Visitors and Overnight Stays in Berlin (2019–2024)</w:t>
      </w:r>
    </w:p>
    <w:p w14:paraId="326B42F2" w14:textId="67EE021F" w:rsidR="002A51CC" w:rsidRDefault="002A51CC" w:rsidP="006B4FFD">
      <w:pPr>
        <w:spacing w:before="120" w:after="120" w:line="480" w:lineRule="auto"/>
        <w:jc w:val="center"/>
      </w:pPr>
      <w:r>
        <w:t xml:space="preserve">(Source: </w:t>
      </w:r>
      <w:r w:rsidRPr="00F939AC">
        <w:t>VisitBerlin, 2024)</w:t>
      </w:r>
    </w:p>
    <w:p w14:paraId="4EFD5E94" w14:textId="306CDEE7" w:rsidR="00F939AC" w:rsidRPr="00F939AC" w:rsidRDefault="00F939AC" w:rsidP="006B4FFD">
      <w:pPr>
        <w:spacing w:before="120" w:after="120" w:line="480" w:lineRule="auto"/>
        <w:ind w:firstLine="720"/>
        <w:jc w:val="left"/>
      </w:pPr>
      <w:r w:rsidRPr="00F939AC">
        <w:t xml:space="preserve">Tourism contributed about </w:t>
      </w:r>
      <w:r w:rsidRPr="00F939AC">
        <w:rPr>
          <w:b/>
          <w:bCs/>
        </w:rPr>
        <w:t>€15.1 billion</w:t>
      </w:r>
      <w:r w:rsidRPr="00F939AC">
        <w:t xml:space="preserve"> in consumption and supported around </w:t>
      </w:r>
      <w:r w:rsidRPr="00F939AC">
        <w:rPr>
          <w:b/>
          <w:bCs/>
        </w:rPr>
        <w:t>224,800 jobs</w:t>
      </w:r>
      <w:r w:rsidRPr="00F939AC">
        <w:t>, which highlights the sector’s economic importance for the city (</w:t>
      </w:r>
      <w:bookmarkStart w:id="1" w:name="_Hlk209783766"/>
      <w:r w:rsidRPr="00F939AC">
        <w:t xml:space="preserve">VisitBerlin, 2024). </w:t>
      </w:r>
      <w:bookmarkEnd w:id="1"/>
      <w:r w:rsidR="00CC1F8D">
        <w:t>T</w:t>
      </w:r>
      <w:r w:rsidRPr="00F939AC">
        <w:t>he need for structured planning and effective management to protect natural and cultural resources while maintaining Berlin’s position as a competitive and sustainable destination.</w:t>
      </w:r>
    </w:p>
    <w:p w14:paraId="69224069" w14:textId="788321EC" w:rsidR="00F939AC" w:rsidRPr="00F939AC" w:rsidRDefault="00F939AC" w:rsidP="006B4FFD">
      <w:pPr>
        <w:pStyle w:val="Heading2"/>
        <w:spacing w:before="120" w:after="120" w:line="480" w:lineRule="auto"/>
        <w:jc w:val="left"/>
      </w:pPr>
      <w:bookmarkStart w:id="2" w:name="_Toc209784472"/>
      <w:r w:rsidRPr="00F939AC">
        <w:t>Natural &amp; Cultural Resources</w:t>
      </w:r>
      <w:bookmarkEnd w:id="2"/>
    </w:p>
    <w:p w14:paraId="620DE485" w14:textId="77777777" w:rsidR="00F939AC" w:rsidRPr="00F939AC" w:rsidRDefault="00F939AC" w:rsidP="006B4FFD">
      <w:pPr>
        <w:spacing w:before="120" w:after="120" w:line="480" w:lineRule="auto"/>
        <w:jc w:val="left"/>
        <w:rPr>
          <w:b/>
          <w:bCs/>
        </w:rPr>
      </w:pPr>
      <w:r w:rsidRPr="00F939AC">
        <w:rPr>
          <w:b/>
          <w:bCs/>
        </w:rPr>
        <w:t>Natural Resources</w:t>
      </w:r>
    </w:p>
    <w:p w14:paraId="4A049D21" w14:textId="29CE6BD1" w:rsidR="00F939AC" w:rsidRPr="00F939AC" w:rsidRDefault="00F939AC" w:rsidP="006B4FFD">
      <w:pPr>
        <w:spacing w:before="120" w:after="120" w:line="480" w:lineRule="auto"/>
        <w:ind w:firstLine="720"/>
        <w:jc w:val="left"/>
      </w:pPr>
      <w:r w:rsidRPr="00F939AC">
        <w:t xml:space="preserve">Berlin is notable for its abundant green infrastructure and waterways, which contribute to the city’s liveability and tourism potential. The </w:t>
      </w:r>
      <w:r w:rsidRPr="00F939AC">
        <w:rPr>
          <w:b/>
          <w:bCs/>
        </w:rPr>
        <w:t>Großer Tiergarten</w:t>
      </w:r>
      <w:r w:rsidRPr="00F939AC">
        <w:t xml:space="preserve">, covering around </w:t>
      </w:r>
      <w:r w:rsidRPr="00F939AC">
        <w:rPr>
          <w:b/>
          <w:bCs/>
        </w:rPr>
        <w:t>210 hectares</w:t>
      </w:r>
      <w:r w:rsidRPr="00F939AC">
        <w:t xml:space="preserve">, is one of Europe’s largest urban parks and provides opportunities for leisure, cycling </w:t>
      </w:r>
      <w:r w:rsidRPr="00F939AC">
        <w:lastRenderedPageBreak/>
        <w:t xml:space="preserve">and cultural events. The </w:t>
      </w:r>
      <w:r w:rsidRPr="00F939AC">
        <w:rPr>
          <w:b/>
          <w:bCs/>
        </w:rPr>
        <w:t>Spree River</w:t>
      </w:r>
      <w:r w:rsidRPr="00F939AC">
        <w:t xml:space="preserve"> flows through the city centre, supporting river cruises that attract a significant proportion of domestic and international visitors. Lakes such as </w:t>
      </w:r>
      <w:r w:rsidRPr="00F939AC">
        <w:rPr>
          <w:b/>
          <w:bCs/>
        </w:rPr>
        <w:t>Wannsee</w:t>
      </w:r>
      <w:r w:rsidRPr="00F939AC">
        <w:t xml:space="preserve"> and surrounding forested areas act as important recreational zones during </w:t>
      </w:r>
      <w:r w:rsidR="00A52034">
        <w:t xml:space="preserve">the </w:t>
      </w:r>
      <w:r w:rsidRPr="00F939AC">
        <w:t>summer months</w:t>
      </w:r>
      <w:r w:rsidR="00B45950">
        <w:t xml:space="preserve"> </w:t>
      </w:r>
      <w:r w:rsidRPr="00F939AC">
        <w:t>(Baloch et al., 2023).</w:t>
      </w:r>
    </w:p>
    <w:p w14:paraId="2E0CDA86" w14:textId="77777777" w:rsidR="00F939AC" w:rsidRPr="00F939AC" w:rsidRDefault="00F939AC" w:rsidP="006B4FFD">
      <w:pPr>
        <w:spacing w:before="120" w:after="120" w:line="480" w:lineRule="auto"/>
        <w:jc w:val="left"/>
        <w:rPr>
          <w:b/>
          <w:bCs/>
        </w:rPr>
      </w:pPr>
      <w:r w:rsidRPr="00F939AC">
        <w:rPr>
          <w:b/>
          <w:bCs/>
        </w:rPr>
        <w:t>Cultural Resources</w:t>
      </w:r>
    </w:p>
    <w:p w14:paraId="221B9B05" w14:textId="62927182" w:rsidR="00F939AC" w:rsidRPr="00F939AC" w:rsidRDefault="00BC2816" w:rsidP="006B4FFD">
      <w:pPr>
        <w:spacing w:before="120" w:after="120" w:line="480" w:lineRule="auto"/>
        <w:ind w:firstLine="720"/>
        <w:jc w:val="left"/>
      </w:pPr>
      <w:r w:rsidRPr="00BC2816">
        <w:t xml:space="preserve">The other good strength Berlin possesses is </w:t>
      </w:r>
      <w:r w:rsidR="00A52034">
        <w:t xml:space="preserve">its </w:t>
      </w:r>
      <w:r w:rsidRPr="00BC2816">
        <w:t xml:space="preserve">cultural landscape. The Museumsinsel is </w:t>
      </w:r>
      <w:r w:rsidR="00A52034">
        <w:t>a UNESCO World Heritage location and is the residence of five museums that are referred to as the custodians of world heritage, i.e., the Pergamon Museum</w:t>
      </w:r>
      <w:r w:rsidRPr="00BC2816">
        <w:t xml:space="preserve"> and the Neues Museum. </w:t>
      </w:r>
      <w:r w:rsidR="00A52034">
        <w:t>The East Side Gallery, Berlin Wall Memorial, and Brandenburg Gate represent</w:t>
      </w:r>
      <w:r w:rsidRPr="00BC2816">
        <w:t xml:space="preserve"> a collection of history and reunification of the rocky history of Berlin. There is an addition of more than 180 museums, an extremely diverse range of theatres, and </w:t>
      </w:r>
      <w:r w:rsidR="00A52034">
        <w:t>an internationally recognised</w:t>
      </w:r>
      <w:r w:rsidRPr="00BC2816">
        <w:t xml:space="preserve"> arts scene of the city (Kagermeier et al., 2021). The other high-profile events that are held in Berlin every year are </w:t>
      </w:r>
      <w:r w:rsidR="00A52034">
        <w:t>the Berlin International Film Festival and the Carnival of Others, which draw</w:t>
      </w:r>
      <w:r w:rsidRPr="00BC2816">
        <w:t xml:space="preserve"> hundreds of thousands of people </w:t>
      </w:r>
      <w:r w:rsidR="00A52034" w:rsidRPr="00BC2816">
        <w:t>and</w:t>
      </w:r>
      <w:r w:rsidRPr="00BC2816">
        <w:t xml:space="preserve"> provide Berlin with a good image</w:t>
      </w:r>
      <w:r w:rsidR="00F939AC" w:rsidRPr="00F939AC">
        <w:t>.</w:t>
      </w:r>
    </w:p>
    <w:p w14:paraId="1816D327" w14:textId="393FD15B" w:rsidR="00F939AC" w:rsidRPr="00F939AC" w:rsidRDefault="00F939AC" w:rsidP="006B4FFD">
      <w:pPr>
        <w:pStyle w:val="Heading2"/>
        <w:spacing w:before="120" w:after="120" w:line="480" w:lineRule="auto"/>
        <w:jc w:val="left"/>
      </w:pPr>
      <w:bookmarkStart w:id="3" w:name="_Toc209784473"/>
      <w:r w:rsidRPr="00F939AC">
        <w:t>Planning &amp; Management</w:t>
      </w:r>
      <w:bookmarkEnd w:id="3"/>
    </w:p>
    <w:p w14:paraId="3EAF4BD2" w14:textId="77777777" w:rsidR="00F939AC" w:rsidRPr="00F939AC" w:rsidRDefault="00F939AC" w:rsidP="006B4FFD">
      <w:pPr>
        <w:spacing w:before="120" w:after="120" w:line="480" w:lineRule="auto"/>
        <w:jc w:val="left"/>
        <w:rPr>
          <w:b/>
          <w:bCs/>
        </w:rPr>
      </w:pPr>
      <w:r w:rsidRPr="00F939AC">
        <w:rPr>
          <w:b/>
          <w:bCs/>
        </w:rPr>
        <w:t>Berlin Tourism Strategy: Tourism Plan 2018+</w:t>
      </w:r>
    </w:p>
    <w:p w14:paraId="65FC8A28" w14:textId="4D31464B" w:rsidR="00F939AC" w:rsidRPr="00F939AC" w:rsidRDefault="00BC2816" w:rsidP="006B4FFD">
      <w:pPr>
        <w:spacing w:before="120" w:after="120" w:line="480" w:lineRule="auto"/>
        <w:ind w:firstLine="720"/>
        <w:jc w:val="left"/>
      </w:pPr>
      <w:r w:rsidRPr="00BC2816">
        <w:t xml:space="preserve">The Berlin Tourism Plan 2018+ is a detailed overview of how to control the growth of </w:t>
      </w:r>
      <w:r w:rsidR="00A52034">
        <w:t xml:space="preserve">tourism within a framework which is agreeable with </w:t>
      </w:r>
      <w:r w:rsidRPr="00BC2816">
        <w:t xml:space="preserve">urban life. It puts more emphasis on the qualitative advancement of tourism, </w:t>
      </w:r>
      <w:r w:rsidR="00A52034">
        <w:t>emphasising harmonising</w:t>
      </w:r>
      <w:r w:rsidRPr="00BC2816">
        <w:t xml:space="preserve"> the interests of visitors and lawmakers (Kalandides </w:t>
      </w:r>
      <w:r w:rsidR="00A52034">
        <w:t>&amp;</w:t>
      </w:r>
      <w:r w:rsidRPr="00BC2816">
        <w:t xml:space="preserve"> Grésillon, 2021). The plan fosters redistribution of visitors over all the districts of a city</w:t>
      </w:r>
      <w:r w:rsidR="00A52034">
        <w:t>,</w:t>
      </w:r>
      <w:r w:rsidRPr="00BC2816">
        <w:t xml:space="preserve"> thereby minimising centralisation of visitors in the more central districts and therefore, fosters more sustainable means of transport and sustainable visitor behaviour</w:t>
      </w:r>
      <w:r w:rsidR="00F939AC" w:rsidRPr="00F939AC">
        <w:t>.</w:t>
      </w:r>
    </w:p>
    <w:p w14:paraId="244D1CB0" w14:textId="77777777" w:rsidR="00F939AC" w:rsidRPr="00F939AC" w:rsidRDefault="00F939AC" w:rsidP="006B4FFD">
      <w:pPr>
        <w:spacing w:before="120" w:after="120" w:line="480" w:lineRule="auto"/>
        <w:jc w:val="left"/>
        <w:rPr>
          <w:b/>
          <w:bCs/>
        </w:rPr>
      </w:pPr>
      <w:r w:rsidRPr="00F939AC">
        <w:rPr>
          <w:b/>
          <w:bCs/>
        </w:rPr>
        <w:lastRenderedPageBreak/>
        <w:t>Sustainable Tourism Practices</w:t>
      </w:r>
    </w:p>
    <w:p w14:paraId="3D5264F4" w14:textId="77777777" w:rsidR="00F939AC" w:rsidRPr="00F939AC" w:rsidRDefault="00F939AC" w:rsidP="006B4FFD">
      <w:pPr>
        <w:spacing w:before="120" w:after="120" w:line="480" w:lineRule="auto"/>
        <w:ind w:firstLine="720"/>
        <w:jc w:val="left"/>
      </w:pPr>
      <w:r w:rsidRPr="00F939AC">
        <w:t>Sustainability principles underpin many of Berlin’s tourism management efforts. The city promotes eco-friendly mobility through an extensive public transport network and cycling infrastructure. Visitor pressure is mitigated by encouraging exploration of outer districts such as Köpenick and Spandau, which hold cultural and natural attractions of their own (Aschenbrand, 2022). The regulation of short-term holiday rentals limits the impact on the housing market and prevents over-commercialisation of residential areas. Environmental education campaigns and collaborations with local businesses aim to reduce waste and resource consumption, aligning with broader climate and biodiversity goals (Baloch et al., 2023).</w:t>
      </w:r>
    </w:p>
    <w:p w14:paraId="1CF7B664" w14:textId="77777777" w:rsidR="00F939AC" w:rsidRPr="00F939AC" w:rsidRDefault="00F939AC" w:rsidP="006B4FFD">
      <w:pPr>
        <w:spacing w:before="120" w:after="120" w:line="480" w:lineRule="auto"/>
        <w:jc w:val="left"/>
        <w:rPr>
          <w:b/>
          <w:bCs/>
        </w:rPr>
      </w:pPr>
      <w:r w:rsidRPr="00F939AC">
        <w:rPr>
          <w:b/>
          <w:bCs/>
        </w:rPr>
        <w:t>Governance and Institutional Role</w:t>
      </w:r>
    </w:p>
    <w:p w14:paraId="661CD452" w14:textId="770EC3FD" w:rsidR="00F939AC" w:rsidRPr="00F939AC" w:rsidRDefault="00F939AC" w:rsidP="006B4FFD">
      <w:pPr>
        <w:spacing w:before="120" w:after="120" w:line="480" w:lineRule="auto"/>
        <w:ind w:firstLine="720"/>
        <w:jc w:val="left"/>
      </w:pPr>
      <w:r w:rsidRPr="00F939AC">
        <w:t xml:space="preserve">The destination management organisation </w:t>
      </w:r>
      <w:r w:rsidR="00A52034">
        <w:rPr>
          <w:b/>
          <w:bCs/>
        </w:rPr>
        <w:t>VisitBerlin</w:t>
      </w:r>
      <w:r w:rsidRPr="00F939AC">
        <w:t xml:space="preserve"> works closely with the Berlin Senate and borough administrations to implement the tourism plan. This governance structure enables coordination across sectors such as transport, housing and environment. Tourism data collection, visitor segmentation and sustainability certification programmes are handled under this framework, ensuring evidence-based decision-making and alignment with international sustainability standards (Stolz &amp; Megerle, 2022).</w:t>
      </w:r>
    </w:p>
    <w:p w14:paraId="5303361A" w14:textId="6E3CE00A" w:rsidR="00F939AC" w:rsidRPr="00F939AC" w:rsidRDefault="00F939AC" w:rsidP="006B4FFD">
      <w:pPr>
        <w:pStyle w:val="Heading2"/>
        <w:spacing w:before="120" w:after="120" w:line="480" w:lineRule="auto"/>
        <w:jc w:val="left"/>
      </w:pPr>
      <w:bookmarkStart w:id="4" w:name="_Toc209784474"/>
      <w:r w:rsidRPr="00F939AC">
        <w:t>Strengths &amp; Challenges</w:t>
      </w:r>
      <w:bookmarkEnd w:id="4"/>
    </w:p>
    <w:p w14:paraId="3D3F7244" w14:textId="77777777" w:rsidR="00F939AC" w:rsidRPr="00F939AC" w:rsidRDefault="00F939AC" w:rsidP="006B4FFD">
      <w:pPr>
        <w:spacing w:before="120" w:after="120" w:line="480" w:lineRule="auto"/>
        <w:jc w:val="left"/>
        <w:rPr>
          <w:b/>
          <w:bCs/>
        </w:rPr>
      </w:pPr>
      <w:r w:rsidRPr="00F939AC">
        <w:rPr>
          <w:b/>
          <w:bCs/>
        </w:rPr>
        <w:t>Strengths</w:t>
      </w:r>
    </w:p>
    <w:p w14:paraId="460F66FB" w14:textId="77777777" w:rsidR="00F939AC" w:rsidRPr="00F939AC" w:rsidRDefault="00F939AC" w:rsidP="006B4FFD">
      <w:pPr>
        <w:spacing w:before="120" w:after="120" w:line="480" w:lineRule="auto"/>
        <w:ind w:firstLine="720"/>
        <w:jc w:val="left"/>
      </w:pPr>
      <w:r w:rsidRPr="00F939AC">
        <w:t xml:space="preserve">Berlin’s tourism sector benefits from several competitive advantages. The city’s multimodal transport system (U-Bahn, S-Bahn, buses, trams) allows seamless connectivity, and the Berlin Brandenburg Airport provides international accessibility. The diversity of attractions allows Berlin to cater to different visitor segments, including cultural tourists, event participants </w:t>
      </w:r>
      <w:r w:rsidRPr="00F939AC">
        <w:lastRenderedPageBreak/>
        <w:t>and leisure travellers (Kagermeier et al., 2021). Its strong governance framework, strategic planning and sustainability programmes provide a robust institutional base for managing growth (Kalandides &amp; Grésillon, 2021).</w:t>
      </w:r>
    </w:p>
    <w:p w14:paraId="57EE8193" w14:textId="77777777" w:rsidR="00F939AC" w:rsidRPr="00F939AC" w:rsidRDefault="00F939AC" w:rsidP="006B4FFD">
      <w:pPr>
        <w:spacing w:before="120" w:after="120" w:line="480" w:lineRule="auto"/>
        <w:jc w:val="left"/>
        <w:rPr>
          <w:b/>
          <w:bCs/>
        </w:rPr>
      </w:pPr>
      <w:r w:rsidRPr="00F939AC">
        <w:rPr>
          <w:b/>
          <w:bCs/>
        </w:rPr>
        <w:t>Challenges</w:t>
      </w:r>
    </w:p>
    <w:p w14:paraId="73EDCECC" w14:textId="39E20D43" w:rsidR="00F939AC" w:rsidRPr="00F939AC" w:rsidRDefault="00406272" w:rsidP="006B4FFD">
      <w:pPr>
        <w:spacing w:before="120" w:after="120" w:line="480" w:lineRule="auto"/>
        <w:ind w:firstLine="720"/>
        <w:jc w:val="left"/>
      </w:pPr>
      <w:r w:rsidRPr="00406272">
        <w:t>As much as Berlin has received recognition due to its strengths</w:t>
      </w:r>
      <w:r w:rsidR="00A52034">
        <w:t>,</w:t>
      </w:r>
      <w:r w:rsidRPr="00406272">
        <w:t xml:space="preserve"> there are problems associated with over-tourism and its related problems. Mitte is a central place that has numerous visitors and heavy centralisation in all the central districts of the city</w:t>
      </w:r>
      <w:r w:rsidR="00A52034">
        <w:t>, where overcrowding, burden on the transport system and noise pollution increase</w:t>
      </w:r>
      <w:r w:rsidRPr="00406272">
        <w:t xml:space="preserve">. Short-term rental systems have also led to housing scarcity and </w:t>
      </w:r>
      <w:r w:rsidR="00A52034">
        <w:t>higher rent, where, as of 2023,</w:t>
      </w:r>
      <w:r w:rsidRPr="00406272">
        <w:t xml:space="preserve"> around </w:t>
      </w:r>
      <w:r w:rsidRPr="00406272">
        <w:rPr>
          <w:b/>
          <w:bCs/>
        </w:rPr>
        <w:t>7,000 short-term places have been registered</w:t>
      </w:r>
      <w:r w:rsidRPr="00406272">
        <w:t xml:space="preserve"> (Aschenbrand, 2022). Tourism </w:t>
      </w:r>
      <w:r w:rsidR="00A52034">
        <w:t>operations have sometimes led to local instability because of implications for</w:t>
      </w:r>
      <w:r w:rsidRPr="00406272">
        <w:t xml:space="preserve"> local character and quality of life (Kagermeier et al., 2021). Management must juggle between the social acceptance of the environment and </w:t>
      </w:r>
      <w:r w:rsidR="00654BE6" w:rsidRPr="00406272">
        <w:t>economic</w:t>
      </w:r>
      <w:r w:rsidRPr="00406272">
        <w:t xml:space="preserve"> growth, as well as environmental </w:t>
      </w:r>
      <w:r w:rsidR="00A52034" w:rsidRPr="00406272">
        <w:t>protection.</w:t>
      </w:r>
    </w:p>
    <w:p w14:paraId="39FE1B77" w14:textId="6B0332DA" w:rsidR="00F939AC" w:rsidRPr="00F939AC" w:rsidRDefault="00F939AC" w:rsidP="006B4FFD">
      <w:pPr>
        <w:pStyle w:val="Heading2"/>
        <w:spacing w:before="120" w:after="120" w:line="480" w:lineRule="auto"/>
        <w:jc w:val="left"/>
      </w:pPr>
      <w:bookmarkStart w:id="5" w:name="_Toc209784475"/>
      <w:r w:rsidRPr="00F939AC">
        <w:t>Recommendations for Improvement</w:t>
      </w:r>
      <w:bookmarkEnd w:id="5"/>
    </w:p>
    <w:p w14:paraId="64707F7E" w14:textId="3B97C15F" w:rsidR="00F939AC" w:rsidRPr="00F939AC" w:rsidRDefault="00F939AC" w:rsidP="006B4FFD">
      <w:pPr>
        <w:spacing w:before="120" w:after="120" w:line="480" w:lineRule="auto"/>
        <w:jc w:val="left"/>
        <w:rPr>
          <w:b/>
          <w:bCs/>
        </w:rPr>
      </w:pPr>
      <w:r w:rsidRPr="00F939AC">
        <w:rPr>
          <w:b/>
          <w:bCs/>
        </w:rPr>
        <w:t>Promote Decentralised Tourism</w:t>
      </w:r>
    </w:p>
    <w:p w14:paraId="4AD7E7C1" w14:textId="609407EB" w:rsidR="00F939AC" w:rsidRPr="00F939AC" w:rsidRDefault="009F137E" w:rsidP="006B4FFD">
      <w:pPr>
        <w:spacing w:before="120" w:after="120" w:line="480" w:lineRule="auto"/>
        <w:ind w:firstLine="720"/>
        <w:jc w:val="left"/>
      </w:pPr>
      <w:r w:rsidRPr="009F137E">
        <w:t>The focus of marketing approaches must be on the districts that receive fewer visitors, and by doing this</w:t>
      </w:r>
      <w:r w:rsidR="00A52034">
        <w:t xml:space="preserve">, </w:t>
      </w:r>
      <w:r w:rsidR="00654BE6">
        <w:t>tourism</w:t>
      </w:r>
      <w:r w:rsidR="00A52034">
        <w:t xml:space="preserve"> will be more distributed, and the central areas will have fewer</w:t>
      </w:r>
      <w:r w:rsidRPr="009F137E">
        <w:t xml:space="preserve"> peaks. This might involve the </w:t>
      </w:r>
      <w:r w:rsidR="00A52034">
        <w:t>synchronisation</w:t>
      </w:r>
      <w:r w:rsidRPr="009F137E">
        <w:t xml:space="preserve"> of thematic cultural routes and the greater encouragement of activities in the neighbourhoods in the periphery (Stolz &amp; Megerle, 2022)</w:t>
      </w:r>
      <w:r w:rsidR="00F939AC" w:rsidRPr="00F939AC">
        <w:t>.</w:t>
      </w:r>
    </w:p>
    <w:p w14:paraId="57E2AEEE" w14:textId="47E221F8" w:rsidR="00F939AC" w:rsidRPr="00F939AC" w:rsidRDefault="00F939AC" w:rsidP="006B4FFD">
      <w:pPr>
        <w:spacing w:before="120" w:after="120" w:line="480" w:lineRule="auto"/>
        <w:jc w:val="left"/>
        <w:rPr>
          <w:b/>
          <w:bCs/>
        </w:rPr>
      </w:pPr>
      <w:r w:rsidRPr="00F939AC">
        <w:rPr>
          <w:b/>
          <w:bCs/>
        </w:rPr>
        <w:t>Strengthen Waste Management and Green Infrastructure</w:t>
      </w:r>
    </w:p>
    <w:p w14:paraId="2E5DB5CE" w14:textId="1CB071BA" w:rsidR="00F939AC" w:rsidRPr="00F939AC" w:rsidRDefault="009F137E" w:rsidP="006B4FFD">
      <w:pPr>
        <w:spacing w:before="120" w:after="120" w:line="480" w:lineRule="auto"/>
        <w:ind w:firstLine="720"/>
        <w:jc w:val="left"/>
      </w:pPr>
      <w:r w:rsidRPr="009F137E">
        <w:t xml:space="preserve">Visitors could be mitigated on building projects </w:t>
      </w:r>
      <w:r w:rsidR="00A52034">
        <w:t xml:space="preserve">through the investment in smart waste collection systems, increased recycling number facilities, and broadening the </w:t>
      </w:r>
      <w:r w:rsidRPr="009F137E">
        <w:t xml:space="preserve">requirements of </w:t>
      </w:r>
      <w:r w:rsidRPr="009F137E">
        <w:lastRenderedPageBreak/>
        <w:t>green roofing. The green corridors might also be expanded by providing better biodiversity and creating resilient recreational areas (Baloch et al., 2023)</w:t>
      </w:r>
      <w:r w:rsidR="00F939AC" w:rsidRPr="00F939AC">
        <w:t>.</w:t>
      </w:r>
    </w:p>
    <w:p w14:paraId="5C147567" w14:textId="493DF35F" w:rsidR="00F939AC" w:rsidRPr="00F939AC" w:rsidRDefault="00F939AC" w:rsidP="006B4FFD">
      <w:pPr>
        <w:spacing w:before="120" w:after="120" w:line="480" w:lineRule="auto"/>
        <w:jc w:val="left"/>
        <w:rPr>
          <w:b/>
          <w:bCs/>
        </w:rPr>
      </w:pPr>
      <w:r w:rsidRPr="00F939AC">
        <w:rPr>
          <w:b/>
          <w:bCs/>
        </w:rPr>
        <w:t>Enhance Sustainable Mobility</w:t>
      </w:r>
    </w:p>
    <w:p w14:paraId="17E8DAE5" w14:textId="74E8901D" w:rsidR="00F939AC" w:rsidRPr="00F939AC" w:rsidRDefault="006E001D" w:rsidP="006B4FFD">
      <w:pPr>
        <w:spacing w:before="120" w:after="120" w:line="480" w:lineRule="auto"/>
        <w:ind w:firstLine="720"/>
        <w:jc w:val="left"/>
      </w:pPr>
      <w:r w:rsidRPr="006E001D">
        <w:t xml:space="preserve">The frequency of </w:t>
      </w:r>
      <w:r w:rsidR="00A52034">
        <w:t xml:space="preserve">public transportation needs to be increased during the time of </w:t>
      </w:r>
      <w:r w:rsidR="00654BE6">
        <w:t>many</w:t>
      </w:r>
      <w:r w:rsidRPr="006E001D">
        <w:t xml:space="preserve"> tourists, and the framework of cycling facilities must be enlarged to promote the use of less harmful forms of transportation. Restricting the access of cars to high-density parts of the city on weekends and festivals may also aid in regulating the congestion (Aschenbrand, 2022)</w:t>
      </w:r>
      <w:r w:rsidR="00F939AC" w:rsidRPr="00F939AC">
        <w:t>.</w:t>
      </w:r>
    </w:p>
    <w:p w14:paraId="5B223AF0" w14:textId="68AE59E7" w:rsidR="00F939AC" w:rsidRPr="00F939AC" w:rsidRDefault="00F939AC" w:rsidP="006B4FFD">
      <w:pPr>
        <w:spacing w:before="120" w:after="120" w:line="480" w:lineRule="auto"/>
        <w:jc w:val="left"/>
        <w:rPr>
          <w:b/>
          <w:bCs/>
        </w:rPr>
      </w:pPr>
      <w:r w:rsidRPr="00F939AC">
        <w:rPr>
          <w:b/>
          <w:bCs/>
        </w:rPr>
        <w:t>Regulate Short-term Rentals and Protect Housing</w:t>
      </w:r>
    </w:p>
    <w:p w14:paraId="4B3BE86C" w14:textId="77777777" w:rsidR="00F939AC" w:rsidRPr="00F939AC" w:rsidRDefault="00F939AC" w:rsidP="006B4FFD">
      <w:pPr>
        <w:spacing w:before="120" w:after="120" w:line="480" w:lineRule="auto"/>
        <w:ind w:firstLine="720"/>
        <w:jc w:val="left"/>
      </w:pPr>
      <w:r w:rsidRPr="00F939AC">
        <w:t>Tighter enforcement of rental regulations, caps on maximum rental days and increased fines for illegal listings could safeguard housing availability for residents. Revenue from tourist taxes and rental fees could be reinvested into community projects (Kagermeier et al., 2021).</w:t>
      </w:r>
    </w:p>
    <w:p w14:paraId="54504BE7" w14:textId="03BBDD52" w:rsidR="00F939AC" w:rsidRPr="00F939AC" w:rsidRDefault="00F939AC" w:rsidP="006B4FFD">
      <w:pPr>
        <w:spacing w:before="120" w:after="120" w:line="480" w:lineRule="auto"/>
        <w:jc w:val="left"/>
        <w:rPr>
          <w:b/>
          <w:bCs/>
        </w:rPr>
      </w:pPr>
      <w:r w:rsidRPr="00F939AC">
        <w:rPr>
          <w:b/>
          <w:bCs/>
        </w:rPr>
        <w:t>Expand Community Participation</w:t>
      </w:r>
    </w:p>
    <w:p w14:paraId="277CC080" w14:textId="77777777" w:rsidR="00F939AC" w:rsidRPr="00F939AC" w:rsidRDefault="00F939AC" w:rsidP="006B4FFD">
      <w:pPr>
        <w:spacing w:before="120" w:after="120" w:line="480" w:lineRule="auto"/>
        <w:ind w:firstLine="720"/>
        <w:jc w:val="left"/>
      </w:pPr>
      <w:r w:rsidRPr="00F939AC">
        <w:t>The establishment of district-level tourism councils would allow residents and local businesses to participate in decision-making. Such collaborative approaches can enhance acceptance of tourism and ensure that benefits are distributed equitably (Kalandides &amp; Grésillon, 2021).</w:t>
      </w:r>
    </w:p>
    <w:p w14:paraId="77F1B155" w14:textId="59264391" w:rsidR="00F939AC" w:rsidRPr="00F939AC" w:rsidRDefault="00F939AC" w:rsidP="006B4FFD">
      <w:pPr>
        <w:spacing w:before="120" w:after="120" w:line="480" w:lineRule="auto"/>
        <w:jc w:val="left"/>
        <w:rPr>
          <w:b/>
          <w:bCs/>
        </w:rPr>
      </w:pPr>
      <w:r w:rsidRPr="00F939AC">
        <w:rPr>
          <w:b/>
          <w:bCs/>
        </w:rPr>
        <w:t>Secure Cultural Funding</w:t>
      </w:r>
    </w:p>
    <w:p w14:paraId="0E2D0AFC" w14:textId="77777777" w:rsidR="00F939AC" w:rsidRDefault="00F939AC" w:rsidP="006B4FFD">
      <w:pPr>
        <w:spacing w:before="120" w:after="120" w:line="480" w:lineRule="auto"/>
        <w:ind w:firstLine="720"/>
        <w:jc w:val="left"/>
      </w:pPr>
      <w:r w:rsidRPr="00F939AC">
        <w:t>Stable funding for museums, theatres and arts institutions is essential to maintain Berlin’s cultural edge. Partnerships between public authorities and private stakeholders could ensure that cultural programmes remain resilient during economic downturns (Stolz &amp; Megerle, 2022).</w:t>
      </w:r>
    </w:p>
    <w:p w14:paraId="1C0AC2E2" w14:textId="3B3BC48E" w:rsidR="00CC1F8D" w:rsidRPr="00AC6A0C" w:rsidRDefault="00CC1F8D" w:rsidP="006B4FFD">
      <w:pPr>
        <w:pStyle w:val="Heading1"/>
        <w:spacing w:before="120" w:after="120"/>
      </w:pPr>
      <w:bookmarkStart w:id="6" w:name="_Toc209784476"/>
      <w:r w:rsidRPr="00AC6A0C">
        <w:lastRenderedPageBreak/>
        <w:t>Q2</w:t>
      </w:r>
      <w:r>
        <w:t>:</w:t>
      </w:r>
      <w:r w:rsidRPr="00AC6A0C">
        <w:t xml:space="preserve"> Key Elements of Destination Development (Using Berlin &amp; Examples)</w:t>
      </w:r>
      <w:bookmarkEnd w:id="6"/>
    </w:p>
    <w:p w14:paraId="0CD0AF87" w14:textId="77777777" w:rsidR="0020044A" w:rsidRPr="0020044A" w:rsidRDefault="0020044A" w:rsidP="006B4FFD">
      <w:pPr>
        <w:pStyle w:val="Heading2"/>
        <w:spacing w:before="120" w:after="120" w:line="480" w:lineRule="auto"/>
      </w:pPr>
      <w:bookmarkStart w:id="7" w:name="_Toc209784477"/>
      <w:r w:rsidRPr="0020044A">
        <w:t>1. Attractions</w:t>
      </w:r>
      <w:bookmarkEnd w:id="7"/>
    </w:p>
    <w:p w14:paraId="3CEA924E" w14:textId="21831F69" w:rsidR="0020044A" w:rsidRPr="0020044A" w:rsidRDefault="0020044A" w:rsidP="006B4FFD">
      <w:pPr>
        <w:spacing w:before="120" w:after="120" w:line="480" w:lineRule="auto"/>
        <w:ind w:firstLine="720"/>
        <w:jc w:val="left"/>
      </w:pPr>
      <w:r w:rsidRPr="0020044A">
        <w:t>Attractions represent the primary draw of a destination and set the framework for visitor expectations. In Berlin, the Museumsinsel stands as a focal point: five major museums in one place create a concentrated cultural core. The Berlin Wall Memorial, East Side Gallery, and Brandenburg Gate provide historic narratives that resonate globally. Berlin’s nightlife, arts scenes and street art complement traditional heritage, offering variety for different tourist types</w:t>
      </w:r>
      <w:r w:rsidR="00A52034">
        <w:t xml:space="preserve">: history enthusiasts, youth travellers, art lovers, and </w:t>
      </w:r>
      <w:r w:rsidRPr="0020044A">
        <w:t>culture seekers. Thematic walking tours (e.g. of Cold War sites, architecture, street art) extend such appeal (Original Berlin Walks is an example of a thematic tour provider).</w:t>
      </w:r>
    </w:p>
    <w:p w14:paraId="046B16D0" w14:textId="4D36C0F4" w:rsidR="0020044A" w:rsidRPr="0020044A" w:rsidRDefault="0020044A" w:rsidP="006B4FFD">
      <w:pPr>
        <w:spacing w:before="120" w:after="120" w:line="480" w:lineRule="auto"/>
        <w:ind w:firstLine="720"/>
        <w:jc w:val="left"/>
      </w:pPr>
      <w:r w:rsidRPr="0020044A">
        <w:t xml:space="preserve">Such variety broadens the market base: some visitors are drawn to heritage and museums, others to music, festivals or urban lifestyle. This versatility helps Berlin maintain visitation through various seasons and across visitor segments (Kagermeier et al., 2021). In </w:t>
      </w:r>
      <w:r w:rsidR="00A52034">
        <w:t xml:space="preserve">a </w:t>
      </w:r>
      <w:r w:rsidRPr="0020044A">
        <w:t>broader context, cities such as Barcelona (Gaudí, beaches, festivals) and Kyoto (temples, gardens, traditional culture) illustrate how combining natural, cultural and experiential attractions helps sustain long-term competitiveness (Szubert et al., 2021).</w:t>
      </w:r>
    </w:p>
    <w:p w14:paraId="1B56D89F" w14:textId="77777777" w:rsidR="0020044A" w:rsidRPr="0020044A" w:rsidRDefault="0020044A" w:rsidP="006B4FFD">
      <w:pPr>
        <w:pStyle w:val="Heading2"/>
        <w:spacing w:before="120" w:after="120" w:line="480" w:lineRule="auto"/>
      </w:pPr>
      <w:bookmarkStart w:id="8" w:name="_Toc209784478"/>
      <w:r w:rsidRPr="0020044A">
        <w:t>2. Accessibility</w:t>
      </w:r>
      <w:bookmarkEnd w:id="8"/>
    </w:p>
    <w:p w14:paraId="6DC101EF" w14:textId="62E839F5" w:rsidR="0020044A" w:rsidRPr="0020044A" w:rsidRDefault="0020044A" w:rsidP="006B4FFD">
      <w:pPr>
        <w:spacing w:before="120" w:after="120" w:line="480" w:lineRule="auto"/>
        <w:ind w:firstLine="720"/>
        <w:jc w:val="left"/>
      </w:pPr>
      <w:r w:rsidRPr="0020044A">
        <w:t xml:space="preserve">Accessibility determines how easily a destination can be reached and navigated. In Berlin, the </w:t>
      </w:r>
      <w:r w:rsidRPr="0020044A">
        <w:rPr>
          <w:b/>
          <w:bCs/>
        </w:rPr>
        <w:t>S-bahn, U-bahn, tram and bus</w:t>
      </w:r>
      <w:r w:rsidRPr="0020044A">
        <w:t xml:space="preserve"> networks enable extensive intra-city mobility, making attractions accessible without private car reliance. Berlin Brandenburg Airport (BER) connects the city internationally; in 2024</w:t>
      </w:r>
      <w:r w:rsidR="00A52034">
        <w:t xml:space="preserve">, Berlin recorded roughly 13 million visitors and over </w:t>
      </w:r>
      <w:r w:rsidR="00A52034">
        <w:lastRenderedPageBreak/>
        <w:t>30 million overnight stays, of which about 42 % were international (Business Location Centre</w:t>
      </w:r>
      <w:r w:rsidRPr="0020044A">
        <w:t>, 2024).</w:t>
      </w:r>
    </w:p>
    <w:p w14:paraId="2036E0FC" w14:textId="0F85121E" w:rsidR="0020044A" w:rsidRPr="0020044A" w:rsidRDefault="0020044A" w:rsidP="006B4FFD">
      <w:pPr>
        <w:spacing w:before="120" w:after="120" w:line="480" w:lineRule="auto"/>
        <w:ind w:firstLine="720"/>
        <w:jc w:val="left"/>
      </w:pPr>
      <w:r w:rsidRPr="0020044A">
        <w:t xml:space="preserve">Equally important is </w:t>
      </w:r>
      <w:r w:rsidRPr="0020044A">
        <w:rPr>
          <w:b/>
          <w:bCs/>
        </w:rPr>
        <w:t>inclusive accessibility</w:t>
      </w:r>
      <w:r w:rsidR="00CC1F8D">
        <w:t xml:space="preserve"> </w:t>
      </w:r>
      <w:r w:rsidRPr="0020044A">
        <w:t xml:space="preserve">for people with limited mobility, older </w:t>
      </w:r>
      <w:r w:rsidR="00A52034">
        <w:t>travellers</w:t>
      </w:r>
      <w:r w:rsidRPr="0020044A">
        <w:t xml:space="preserve"> or families. Berlin has been certified under national schemes aiming for “Tourism for All,” and many venues now provide barrier-free access (Accessible Tourism Berlin) (visitBerlin, 2024). Such inclusive design enhances usability and extends market reach. The integration of digital wayfinding systems and real-time transit information further supports visitor ease (Ferri &amp; Popp, 2023).</w:t>
      </w:r>
    </w:p>
    <w:p w14:paraId="7461E6D4" w14:textId="77777777" w:rsidR="0020044A" w:rsidRPr="0020044A" w:rsidRDefault="0020044A" w:rsidP="006B4FFD">
      <w:pPr>
        <w:pStyle w:val="Heading2"/>
        <w:spacing w:before="120" w:after="120" w:line="480" w:lineRule="auto"/>
      </w:pPr>
      <w:bookmarkStart w:id="9" w:name="_Toc209784479"/>
      <w:r w:rsidRPr="0020044A">
        <w:t>3. Amenities</w:t>
      </w:r>
      <w:bookmarkEnd w:id="9"/>
    </w:p>
    <w:p w14:paraId="6AE15790" w14:textId="6492176A" w:rsidR="0020044A" w:rsidRDefault="0020044A" w:rsidP="006B4FFD">
      <w:pPr>
        <w:spacing w:before="120" w:after="120" w:line="480" w:lineRule="auto"/>
        <w:ind w:firstLine="720"/>
        <w:jc w:val="left"/>
      </w:pPr>
      <w:r w:rsidRPr="0020044A">
        <w:t xml:space="preserve">Amenities encompass the facilities that support </w:t>
      </w:r>
      <w:r w:rsidR="00654BE6" w:rsidRPr="0020044A">
        <w:t>visitors’</w:t>
      </w:r>
      <w:r w:rsidRPr="0020044A">
        <w:t xml:space="preserve"> comfort and </w:t>
      </w:r>
      <w:r w:rsidR="00A52034">
        <w:t>quality of stay</w:t>
      </w:r>
      <w:r w:rsidRPr="0020044A">
        <w:t xml:space="preserve">. Berlin’s accommodation landscape spans budget hostels, mid-range hotels, boutique lodgings and luxury hotels. In the first quarter of 2023, Berlin’s accommodation providers recorded </w:t>
      </w:r>
      <w:r w:rsidRPr="0020044A">
        <w:rPr>
          <w:b/>
          <w:bCs/>
        </w:rPr>
        <w:t>2.4 million guests</w:t>
      </w:r>
      <w:r w:rsidRPr="0020044A">
        <w:t xml:space="preserve"> and </w:t>
      </w:r>
      <w:r w:rsidRPr="0020044A">
        <w:rPr>
          <w:b/>
          <w:bCs/>
        </w:rPr>
        <w:t>5.8 million overnight stays</w:t>
      </w:r>
      <w:r w:rsidRPr="0020044A">
        <w:t>, with occupancy of guest beds at ~ 45.3 % (Berlin Senate, 2023). Restaurants, cafés, shopping centres, markets and tourist information centres are distributed throughout the city, catering to diverse tastes and budgets.</w:t>
      </w:r>
    </w:p>
    <w:p w14:paraId="10F3B266" w14:textId="0BC28427" w:rsidR="00CC0734" w:rsidRDefault="00CC0734" w:rsidP="006B4FFD">
      <w:pPr>
        <w:spacing w:before="120" w:after="120" w:line="480" w:lineRule="auto"/>
        <w:jc w:val="center"/>
      </w:pPr>
      <w:r w:rsidRPr="00CC0734">
        <w:rPr>
          <w:noProof/>
        </w:rPr>
        <w:lastRenderedPageBreak/>
        <w:drawing>
          <wp:inline distT="0" distB="0" distL="0" distR="0" wp14:anchorId="40548F87" wp14:editId="4D1791A1">
            <wp:extent cx="5943600" cy="2687955"/>
            <wp:effectExtent l="0" t="0" r="0" b="0"/>
            <wp:docPr id="1477547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547766" name=""/>
                    <pic:cNvPicPr/>
                  </pic:nvPicPr>
                  <pic:blipFill rotWithShape="1">
                    <a:blip r:embed="rId10"/>
                    <a:srcRect t="9026"/>
                    <a:stretch>
                      <a:fillRect/>
                    </a:stretch>
                  </pic:blipFill>
                  <pic:spPr bwMode="auto">
                    <a:xfrm>
                      <a:off x="0" y="0"/>
                      <a:ext cx="5943600" cy="2687955"/>
                    </a:xfrm>
                    <a:prstGeom prst="rect">
                      <a:avLst/>
                    </a:prstGeom>
                    <a:ln>
                      <a:noFill/>
                    </a:ln>
                    <a:extLst>
                      <a:ext uri="{53640926-AAD7-44D8-BBD7-CCE9431645EC}">
                        <a14:shadowObscured xmlns:a14="http://schemas.microsoft.com/office/drawing/2010/main"/>
                      </a:ext>
                    </a:extLst>
                  </pic:spPr>
                </pic:pic>
              </a:graphicData>
            </a:graphic>
          </wp:inline>
        </w:drawing>
      </w:r>
    </w:p>
    <w:p w14:paraId="74994021" w14:textId="316172E8" w:rsidR="00CC0734" w:rsidRDefault="00CC0734" w:rsidP="006B4FFD">
      <w:pPr>
        <w:pStyle w:val="Heading4"/>
        <w:spacing w:before="120" w:after="120" w:line="480" w:lineRule="auto"/>
      </w:pPr>
      <w:r>
        <w:t>Figure 2:</w:t>
      </w:r>
      <w:r w:rsidR="00955040" w:rsidRPr="00955040">
        <w:t xml:space="preserve"> </w:t>
      </w:r>
      <w:r w:rsidR="00955040" w:rsidRPr="00D25525">
        <w:t xml:space="preserve">International Tourist Arrivals </w:t>
      </w:r>
      <w:r w:rsidR="00955040">
        <w:t>i</w:t>
      </w:r>
      <w:r w:rsidR="00955040" w:rsidRPr="00D25525">
        <w:t>n Berlin</w:t>
      </w:r>
    </w:p>
    <w:p w14:paraId="772F9EBC" w14:textId="1549D862" w:rsidR="00CC0734" w:rsidRPr="0020044A" w:rsidRDefault="00CC0734" w:rsidP="006B4FFD">
      <w:pPr>
        <w:spacing w:before="120" w:after="120" w:line="480" w:lineRule="auto"/>
        <w:jc w:val="center"/>
      </w:pPr>
      <w:r>
        <w:t xml:space="preserve">(Source: </w:t>
      </w:r>
      <w:r w:rsidRPr="00DF128F">
        <w:t>Road Genius,</w:t>
      </w:r>
      <w:r>
        <w:t xml:space="preserve"> 2025)</w:t>
      </w:r>
    </w:p>
    <w:p w14:paraId="45EE1972" w14:textId="6BED3136" w:rsidR="0020044A" w:rsidRPr="0020044A" w:rsidRDefault="00C472C2" w:rsidP="006B4FFD">
      <w:pPr>
        <w:spacing w:before="120" w:after="120" w:line="480" w:lineRule="auto"/>
        <w:ind w:firstLine="720"/>
        <w:jc w:val="left"/>
      </w:pPr>
      <w:r w:rsidRPr="00C472C2">
        <w:t>International tourist arrivals in Berlin rose sharply after pandemic lows, reaching 4.72 million in 2024, reflecting strong recovery trends and renewed global confidence in Berlin’s tourism sector</w:t>
      </w:r>
      <w:r>
        <w:t xml:space="preserve"> </w:t>
      </w:r>
      <w:r w:rsidR="00D25525">
        <w:t>(</w:t>
      </w:r>
      <w:r w:rsidR="00D25525" w:rsidRPr="00DF128F">
        <w:t>Road Genius,</w:t>
      </w:r>
      <w:r w:rsidR="00D25525">
        <w:t xml:space="preserve"> 2025). </w:t>
      </w:r>
      <w:r w:rsidR="0020044A" w:rsidRPr="0020044A">
        <w:t>Supplementary amenities include guided tours, visitor centres, signage, rest areas, toilets, and multilingual support. Technology also plays a role: digital apps, city maps, augmented reality guides</w:t>
      </w:r>
      <w:r w:rsidR="00A52034">
        <w:t>,</w:t>
      </w:r>
      <w:r w:rsidR="0020044A" w:rsidRPr="0020044A">
        <w:t xml:space="preserve"> and online booking platforms enhance convenience (Fazio et al., 2023). The availability of such supportive infrastructure can significantly influence visitor satisfaction and length of stay.</w:t>
      </w:r>
    </w:p>
    <w:p w14:paraId="5A531137" w14:textId="77777777" w:rsidR="0020044A" w:rsidRPr="0020044A" w:rsidRDefault="0020044A" w:rsidP="006B4FFD">
      <w:pPr>
        <w:pStyle w:val="Heading2"/>
        <w:spacing w:before="120" w:after="120" w:line="480" w:lineRule="auto"/>
      </w:pPr>
      <w:bookmarkStart w:id="10" w:name="_Toc209784480"/>
      <w:r w:rsidRPr="0020044A">
        <w:t>4. Image</w:t>
      </w:r>
      <w:bookmarkEnd w:id="10"/>
    </w:p>
    <w:p w14:paraId="29441AB3" w14:textId="0A4D52D3" w:rsidR="00994614" w:rsidRDefault="00C6103C" w:rsidP="006B4FFD">
      <w:pPr>
        <w:spacing w:before="120" w:after="120" w:line="480" w:lineRule="auto"/>
        <w:ind w:firstLine="720"/>
        <w:jc w:val="left"/>
      </w:pPr>
      <w:r>
        <w:t xml:space="preserve">Destination image/brand </w:t>
      </w:r>
      <w:r w:rsidR="00A52034">
        <w:t>is</w:t>
      </w:r>
      <w:r>
        <w:t xml:space="preserve"> </w:t>
      </w:r>
      <w:r w:rsidR="00A52034">
        <w:t xml:space="preserve">a crucial factor within the global tourism markets, differently influencing the perception of the destination and expectations, as well as determining the position of the </w:t>
      </w:r>
      <w:r>
        <w:t xml:space="preserve">destination within the tourism markets. The image will help distinguish </w:t>
      </w:r>
      <w:r w:rsidR="00A52034">
        <w:t>the</w:t>
      </w:r>
      <w:r>
        <w:t xml:space="preserve"> image among competitors in an effective way, as well as bring in the target population. Berlin has </w:t>
      </w:r>
      <w:r>
        <w:lastRenderedPageBreak/>
        <w:t xml:space="preserve">developed its unique brand vision based on liberty, imaginative thinking, openness and cultural diversity. Such positioning is very appealing to the international and domestic tourists who are looking </w:t>
      </w:r>
      <w:r w:rsidR="00A52034">
        <w:t>for</w:t>
      </w:r>
      <w:r>
        <w:t xml:space="preserve"> destinations that have focused urban features. The communication of this identity to the outside world is facilitated through the destination marketing organisation </w:t>
      </w:r>
      <w:r w:rsidRPr="000F55E7">
        <w:rPr>
          <w:b/>
          <w:bCs/>
        </w:rPr>
        <w:t>visitBerlin</w:t>
      </w:r>
      <w:r>
        <w:t xml:space="preserve">. </w:t>
      </w:r>
      <w:r w:rsidR="00994614">
        <w:t xml:space="preserve">It attempts to indicate that Berlin is a year-round city in its campaigns such as </w:t>
      </w:r>
      <w:r w:rsidR="00994614" w:rsidRPr="00654BE6">
        <w:rPr>
          <w:b/>
          <w:bCs/>
        </w:rPr>
        <w:t>Berlin 365/24,</w:t>
      </w:r>
      <w:r w:rsidR="00994614">
        <w:t xml:space="preserve"> which means that it does not depend on the time of the year; rather</w:t>
      </w:r>
      <w:r w:rsidR="00A52034">
        <w:t>,</w:t>
      </w:r>
      <w:r w:rsidR="00994614">
        <w:t xml:space="preserve"> it concentrates on what can be done throughout the year, owing to its cultural events and shows, its </w:t>
      </w:r>
      <w:r w:rsidR="00A52034">
        <w:t>nightlife</w:t>
      </w:r>
      <w:r w:rsidR="00994614">
        <w:t xml:space="preserve"> and urban experiences.</w:t>
      </w:r>
    </w:p>
    <w:p w14:paraId="5AD87853" w14:textId="07695E38" w:rsidR="00462D78" w:rsidRPr="0020044A" w:rsidRDefault="00994614" w:rsidP="006B4FFD">
      <w:pPr>
        <w:spacing w:before="120" w:after="120" w:line="480" w:lineRule="auto"/>
        <w:ind w:firstLine="720"/>
        <w:jc w:val="left"/>
      </w:pPr>
      <w:r>
        <w:t xml:space="preserve">An intensive exercise that helped redesign the official tourism brand of Berlin in 2010 </w:t>
      </w:r>
      <w:r w:rsidR="00A52034">
        <w:t xml:space="preserve">involved the fact that the new approach had been changed into a captivating emotional appeal and modernised to imply the thrill of novelty and a </w:t>
      </w:r>
      <w:r>
        <w:t xml:space="preserve">new lifestyle that was about to be offered by Berlin. Distributing the image is facilitated with the help of digital tools such as top </w:t>
      </w:r>
      <w:r w:rsidR="00A52034">
        <w:t xml:space="preserve">hashtags, using the trendy hashtags, </w:t>
      </w:r>
      <w:r w:rsidR="00654BE6">
        <w:t xml:space="preserve">numbers, </w:t>
      </w:r>
      <w:r w:rsidR="00654BE6" w:rsidRPr="00654BE6">
        <w:rPr>
          <w:b/>
          <w:bCs/>
        </w:rPr>
        <w:t>visitBerlin</w:t>
      </w:r>
      <w:r w:rsidR="00A52034">
        <w:t xml:space="preserve"> and storytelling in social media and interactive Internet sources, linking younger experience-oriented travellers,</w:t>
      </w:r>
      <w:r>
        <w:t xml:space="preserve"> which is more concentrated</w:t>
      </w:r>
      <w:r w:rsidR="00B82AF9" w:rsidRPr="00B82AF9">
        <w:t>. Through the digital outreach</w:t>
      </w:r>
      <w:r w:rsidR="00654BE6" w:rsidRPr="00B82AF9">
        <w:t>,</w:t>
      </w:r>
      <w:r w:rsidR="00B82AF9" w:rsidRPr="00B82AF9">
        <w:t xml:space="preserve"> Berlin will ensure that the brand is topical and competitive within the continuously </w:t>
      </w:r>
      <w:r w:rsidR="00A52034">
        <w:t>evolving</w:t>
      </w:r>
      <w:r w:rsidR="00B82AF9" w:rsidRPr="00B82AF9">
        <w:t xml:space="preserve"> setting of tourism. Similarly, sustainability, bike-focused integration, and liveability also find a thematic representation in the brands of the given destinations</w:t>
      </w:r>
      <w:r w:rsidR="00A52034">
        <w:t>, such as Copenhagen and Amsterdam, which, in turn, align with the values of the travellers and capture</w:t>
      </w:r>
      <w:r w:rsidR="00B82AF9" w:rsidRPr="00B82AF9">
        <w:t xml:space="preserve"> market segments according to their eco-awareness (Szubert, Warcholik &amp; Żemela, 2021). On the one hand, Berlin is undergoing an improved branding process that will improve the image of an ambidextrous and multi-ethnic European capital</w:t>
      </w:r>
      <w:r w:rsidR="00462D78" w:rsidRPr="00462D78">
        <w:t>.</w:t>
      </w:r>
    </w:p>
    <w:p w14:paraId="459FEEFF" w14:textId="77777777" w:rsidR="0020044A" w:rsidRPr="0020044A" w:rsidRDefault="0020044A" w:rsidP="006B4FFD">
      <w:pPr>
        <w:pStyle w:val="Heading2"/>
        <w:spacing w:before="120" w:after="120" w:line="480" w:lineRule="auto"/>
      </w:pPr>
      <w:bookmarkStart w:id="11" w:name="_Toc209784481"/>
      <w:r w:rsidRPr="0020044A">
        <w:lastRenderedPageBreak/>
        <w:t>5. Ancillary Services</w:t>
      </w:r>
      <w:bookmarkEnd w:id="11"/>
    </w:p>
    <w:p w14:paraId="23A0959D" w14:textId="77777777" w:rsidR="0020044A" w:rsidRPr="0020044A" w:rsidRDefault="0020044A" w:rsidP="006B4FFD">
      <w:pPr>
        <w:spacing w:before="120" w:after="120" w:line="480" w:lineRule="auto"/>
        <w:ind w:firstLine="720"/>
        <w:jc w:val="left"/>
      </w:pPr>
      <w:r w:rsidRPr="0020044A">
        <w:t xml:space="preserve">Ancillary services refer to supportive functions that do not directly attract but are essential for tourism operations. In Berlin, such services include </w:t>
      </w:r>
      <w:r w:rsidRPr="0020044A">
        <w:rPr>
          <w:b/>
          <w:bCs/>
        </w:rPr>
        <w:t>medical facilities</w:t>
      </w:r>
      <w:r w:rsidRPr="0020044A">
        <w:t xml:space="preserve">, pharmacies, </w:t>
      </w:r>
      <w:r w:rsidRPr="0020044A">
        <w:rPr>
          <w:b/>
          <w:bCs/>
        </w:rPr>
        <w:t>ATMs</w:t>
      </w:r>
      <w:r w:rsidRPr="0020044A">
        <w:t xml:space="preserve">, currency exchange outlets, </w:t>
      </w:r>
      <w:r w:rsidRPr="0020044A">
        <w:rPr>
          <w:b/>
          <w:bCs/>
        </w:rPr>
        <w:t>tourist safety infrastructure</w:t>
      </w:r>
      <w:r w:rsidRPr="0020044A">
        <w:t>, guiding services, translation and interpretation, lost-and-found services, baggage storage, and travel logistics support.</w:t>
      </w:r>
    </w:p>
    <w:p w14:paraId="62987C41" w14:textId="666D8366" w:rsidR="0020044A" w:rsidRPr="0020044A" w:rsidRDefault="0020044A" w:rsidP="006B4FFD">
      <w:pPr>
        <w:spacing w:before="120" w:after="120" w:line="480" w:lineRule="auto"/>
        <w:ind w:firstLine="720"/>
        <w:jc w:val="left"/>
      </w:pPr>
      <w:r w:rsidRPr="0020044A">
        <w:t>Guided tours</w:t>
      </w:r>
      <w:r w:rsidR="00A52034">
        <w:t>, both private and group,</w:t>
      </w:r>
      <w:r w:rsidR="00D86611">
        <w:t xml:space="preserve"> </w:t>
      </w:r>
      <w:r w:rsidRPr="0020044A">
        <w:t>serve as a bridge between attractions and visitor understanding. Original Berlin Walks, for example, offers thematic tours around history, street art and city development. Their services, often available in multiple languages, enhance the interpretive value of the attractions and improve visitor engagement.</w:t>
      </w:r>
    </w:p>
    <w:p w14:paraId="4EF3DFF3" w14:textId="200314B0" w:rsidR="0020044A" w:rsidRPr="0020044A" w:rsidRDefault="0020044A" w:rsidP="006B4FFD">
      <w:pPr>
        <w:spacing w:before="120" w:after="120" w:line="480" w:lineRule="auto"/>
        <w:ind w:firstLine="720"/>
        <w:jc w:val="left"/>
      </w:pPr>
      <w:r w:rsidRPr="0020044A">
        <w:t xml:space="preserve">MICE (meetings, incentives, conferences, exhibitions) services are also important. Berlin’s Convention Office (BCO) has supported growth in business tourism: in one period, event numbers increased </w:t>
      </w:r>
      <w:r w:rsidR="00A52034">
        <w:t xml:space="preserve">by ~ 51 %, participants by 176 % and associated overnight stays by </w:t>
      </w:r>
      <w:r w:rsidRPr="0020044A">
        <w:t>239 % (UNWTO, 2019). The ability to host large events, with full ancillary support (venue hire, AV, logistics, catering, technical services), strengthens Berlin’s profile across tourism segments.</w:t>
      </w:r>
    </w:p>
    <w:p w14:paraId="35F85DE6" w14:textId="353E9205" w:rsidR="0020044A" w:rsidRPr="0020044A" w:rsidRDefault="0020044A" w:rsidP="006B4FFD">
      <w:pPr>
        <w:spacing w:before="120" w:after="120" w:line="480" w:lineRule="auto"/>
        <w:ind w:firstLine="720"/>
        <w:jc w:val="left"/>
      </w:pPr>
      <w:r w:rsidRPr="0020044A">
        <w:t>The five elements</w:t>
      </w:r>
      <w:r w:rsidR="00A52034">
        <w:t xml:space="preserve">, </w:t>
      </w:r>
      <w:r w:rsidR="00A52034" w:rsidRPr="00A52034">
        <w:rPr>
          <w:b/>
          <w:bCs/>
        </w:rPr>
        <w:t>Attractions, Accessibility, Amenities, Image and Ancillary Services,</w:t>
      </w:r>
      <w:r>
        <w:t xml:space="preserve"> </w:t>
      </w:r>
      <w:r w:rsidRPr="0020044A">
        <w:t>interlock to form a cohesive tourism system. In Berlin, diversified attractions appeal to multiple visitor types; strong connectivity ensures that those attractions are reachable; amenities and support infrastructure enable comfort and longer stays; the destination’s brand shapes perceptions and draws target segments; and ancillary services underpin operations and visitor support.</w:t>
      </w:r>
    </w:p>
    <w:p w14:paraId="31142B60" w14:textId="6AABC4EF" w:rsidR="00654BE6" w:rsidRDefault="0020044A" w:rsidP="00654BE6">
      <w:pPr>
        <w:spacing w:before="120" w:after="120" w:line="480" w:lineRule="auto"/>
        <w:ind w:firstLine="720"/>
        <w:jc w:val="left"/>
      </w:pPr>
      <w:r w:rsidRPr="0020044A">
        <w:t xml:space="preserve">To enhance Berlin’s competitiveness further, minor improvements could include expanding services for accessible tourism, investing in smart mobility and wayfinding, </w:t>
      </w:r>
      <w:r w:rsidRPr="0020044A">
        <w:lastRenderedPageBreak/>
        <w:t xml:space="preserve">strengthening linked tourism in outer districts to reduce pressure on central zones, and leveraging sustainable branding further to attract eco-minded travellers. By reinforcing each of the 5 </w:t>
      </w:r>
      <w:proofErr w:type="gramStart"/>
      <w:r w:rsidRPr="0020044A">
        <w:t>A’s</w:t>
      </w:r>
      <w:proofErr w:type="gramEnd"/>
      <w:r w:rsidRPr="0020044A">
        <w:t xml:space="preserve"> in a balanced and integrated way, Berlin can continue evolving as a robust, resilient, visitor-friendly and sustainable destination.</w:t>
      </w:r>
    </w:p>
    <w:p w14:paraId="4FEDA3A5" w14:textId="05302870" w:rsidR="001F2CDC" w:rsidRDefault="00654BE6" w:rsidP="00654BE6">
      <w:pPr>
        <w:spacing w:line="278" w:lineRule="auto"/>
        <w:jc w:val="left"/>
      </w:pPr>
      <w:r>
        <w:br w:type="page"/>
      </w:r>
    </w:p>
    <w:p w14:paraId="13FFD87E" w14:textId="77777777" w:rsidR="00004DEF" w:rsidRDefault="00004DEF" w:rsidP="006B4FFD">
      <w:pPr>
        <w:pStyle w:val="Heading1"/>
        <w:spacing w:before="120" w:after="120"/>
        <w:ind w:left="720" w:hanging="720"/>
      </w:pPr>
      <w:bookmarkStart w:id="12" w:name="_Toc209784482"/>
      <w:r>
        <w:lastRenderedPageBreak/>
        <w:t>References</w:t>
      </w:r>
      <w:bookmarkEnd w:id="12"/>
    </w:p>
    <w:p w14:paraId="6FDB537C" w14:textId="6E45FE6D" w:rsidR="001F2CDC" w:rsidRDefault="001F2CDC" w:rsidP="006B4FFD">
      <w:pPr>
        <w:spacing w:before="120" w:after="120" w:line="480" w:lineRule="auto"/>
        <w:ind w:left="720" w:hanging="720"/>
        <w:jc w:val="left"/>
      </w:pPr>
      <w:r w:rsidRPr="00AC6A0C">
        <w:t xml:space="preserve">Aschenbrand, E. (2022). How can we promote sustainable regional development and biodiversity conservation in regions with demographic decline? The case of </w:t>
      </w:r>
      <w:r w:rsidR="00A52034">
        <w:t>the UNESCO biosphere reserve Elbe River Landscape, Brandenburg</w:t>
      </w:r>
      <w:r w:rsidRPr="00AC6A0C">
        <w:t>, Germany. </w:t>
      </w:r>
      <w:r w:rsidRPr="00AC6A0C">
        <w:rPr>
          <w:i/>
          <w:iCs/>
        </w:rPr>
        <w:t>Land</w:t>
      </w:r>
      <w:r w:rsidRPr="00AC6A0C">
        <w:t>, </w:t>
      </w:r>
      <w:r w:rsidRPr="00AC6A0C">
        <w:rPr>
          <w:i/>
          <w:iCs/>
        </w:rPr>
        <w:t>11</w:t>
      </w:r>
      <w:r w:rsidRPr="00AC6A0C">
        <w:t>(10), 1623.</w:t>
      </w:r>
      <w:r w:rsidRPr="00DC57F2">
        <w:t xml:space="preserve"> </w:t>
      </w:r>
      <w:hyperlink r:id="rId11" w:history="1">
        <w:r w:rsidRPr="00D31B48">
          <w:rPr>
            <w:rStyle w:val="Hyperlink"/>
          </w:rPr>
          <w:t>https://doi.org/10.3390/land11101623</w:t>
        </w:r>
      </w:hyperlink>
      <w:r>
        <w:t xml:space="preserve"> </w:t>
      </w:r>
    </w:p>
    <w:p w14:paraId="4C1EC23E" w14:textId="77777777" w:rsidR="001F2CDC" w:rsidRDefault="001F2CDC" w:rsidP="006B4FFD">
      <w:pPr>
        <w:spacing w:before="120" w:after="120" w:line="480" w:lineRule="auto"/>
        <w:ind w:left="720" w:hanging="720"/>
        <w:jc w:val="left"/>
      </w:pPr>
      <w:r w:rsidRPr="00AC6A0C">
        <w:t>Baloch, Q. B., Shah, S. N., Iqbal, N., Sheeraz, M., Asadullah, M., Mahar, S., &amp; Khan, A. U. (2023). Impact of tourism development upon environmental sustainability: a suggested framework for sustainable ecotourism. </w:t>
      </w:r>
      <w:r w:rsidRPr="00AC6A0C">
        <w:rPr>
          <w:i/>
          <w:iCs/>
        </w:rPr>
        <w:t>Environmental Science and Pollution Research</w:t>
      </w:r>
      <w:r w:rsidRPr="00AC6A0C">
        <w:t>, </w:t>
      </w:r>
      <w:r w:rsidRPr="00AC6A0C">
        <w:rPr>
          <w:i/>
          <w:iCs/>
        </w:rPr>
        <w:t>30</w:t>
      </w:r>
      <w:r w:rsidRPr="00AC6A0C">
        <w:t>(3), 5917-5930.</w:t>
      </w:r>
      <w:r w:rsidRPr="00DC57F2">
        <w:rPr>
          <w:rFonts w:ascii="Merriweather Sans" w:eastAsia="Times New Roman" w:hAnsi="Merriweather Sans" w:cs="Times New Roman"/>
          <w:color w:val="222222"/>
          <w:kern w:val="0"/>
          <w:sz w:val="27"/>
          <w:szCs w:val="27"/>
          <w14:ligatures w14:val="none"/>
        </w:rPr>
        <w:t xml:space="preserve"> </w:t>
      </w:r>
      <w:hyperlink r:id="rId12" w:history="1">
        <w:r w:rsidRPr="00D31B48">
          <w:rPr>
            <w:rStyle w:val="Hyperlink"/>
          </w:rPr>
          <w:t>https://doi.org/10.1007/s11356-022-22496-w</w:t>
        </w:r>
      </w:hyperlink>
      <w:r>
        <w:t xml:space="preserve"> </w:t>
      </w:r>
    </w:p>
    <w:p w14:paraId="530EAAA6" w14:textId="77777777" w:rsidR="001F2CDC" w:rsidRDefault="001F2CDC" w:rsidP="006B4FFD">
      <w:pPr>
        <w:spacing w:before="120" w:after="120" w:line="480" w:lineRule="auto"/>
        <w:ind w:left="720" w:hanging="720"/>
        <w:jc w:val="left"/>
      </w:pPr>
      <w:r w:rsidRPr="00AD433B">
        <w:t>Fazio, G., Fricano, S., Iannolino, S., &amp; Pirrone, C. (2023). Metaverse and tourism development: issues and opportunities in stakeholders’ perception. </w:t>
      </w:r>
      <w:r w:rsidRPr="00AD433B">
        <w:rPr>
          <w:i/>
          <w:iCs/>
        </w:rPr>
        <w:t>Information Technology &amp; Tourism</w:t>
      </w:r>
      <w:r w:rsidRPr="00AD433B">
        <w:t>, </w:t>
      </w:r>
      <w:r w:rsidRPr="00AD433B">
        <w:rPr>
          <w:i/>
          <w:iCs/>
        </w:rPr>
        <w:t>25</w:t>
      </w:r>
      <w:r w:rsidRPr="00AD433B">
        <w:t>(4), 507-528.</w:t>
      </w:r>
      <w:r w:rsidRPr="0013556C">
        <w:t xml:space="preserve"> </w:t>
      </w:r>
      <w:hyperlink r:id="rId13" w:history="1">
        <w:r w:rsidRPr="00D31B48">
          <w:rPr>
            <w:rStyle w:val="Hyperlink"/>
          </w:rPr>
          <w:t>https://doi.org/10.1007/s40558-023-00268-7</w:t>
        </w:r>
      </w:hyperlink>
      <w:r>
        <w:t xml:space="preserve"> </w:t>
      </w:r>
    </w:p>
    <w:p w14:paraId="74B5923F" w14:textId="77777777" w:rsidR="001F2CDC" w:rsidRDefault="001F2CDC" w:rsidP="006B4FFD">
      <w:pPr>
        <w:spacing w:before="120" w:after="120" w:line="480" w:lineRule="auto"/>
        <w:ind w:left="720" w:hanging="720"/>
        <w:jc w:val="left"/>
      </w:pPr>
      <w:r w:rsidRPr="0013556C">
        <w:t>Ferri, A., &amp; Popp, M. (2022). ‘Wayfeeling’: Navigating through emotional and sensorial responses in public transit. </w:t>
      </w:r>
      <w:r w:rsidRPr="0013556C">
        <w:rPr>
          <w:i/>
          <w:iCs/>
        </w:rPr>
        <w:t>Wellbeing, Space and Society</w:t>
      </w:r>
      <w:r w:rsidRPr="0013556C">
        <w:t>, </w:t>
      </w:r>
      <w:r w:rsidRPr="0013556C">
        <w:rPr>
          <w:i/>
          <w:iCs/>
        </w:rPr>
        <w:t>3</w:t>
      </w:r>
      <w:r w:rsidRPr="0013556C">
        <w:t>, 100104.</w:t>
      </w:r>
      <w:r w:rsidRPr="00703EDF">
        <w:t xml:space="preserve"> </w:t>
      </w:r>
      <w:hyperlink r:id="rId14" w:history="1">
        <w:r w:rsidRPr="00D31B48">
          <w:rPr>
            <w:rStyle w:val="Hyperlink"/>
          </w:rPr>
          <w:t>https://doi.org/10.1016/j.wss.2022.100104</w:t>
        </w:r>
      </w:hyperlink>
      <w:r>
        <w:t xml:space="preserve"> </w:t>
      </w:r>
    </w:p>
    <w:p w14:paraId="74B862F6" w14:textId="77777777" w:rsidR="001F2CDC" w:rsidRDefault="001F2CDC" w:rsidP="006B4FFD">
      <w:pPr>
        <w:spacing w:before="120" w:after="120" w:line="480" w:lineRule="auto"/>
        <w:ind w:left="720" w:hanging="720"/>
        <w:jc w:val="left"/>
      </w:pPr>
      <w:r w:rsidRPr="0013556C">
        <w:t>Ferri, A., &amp; Popp, M. (2023). Mind the gap: navigating the space between digital and physical wayfinding in public transit. </w:t>
      </w:r>
      <w:r w:rsidRPr="0013556C">
        <w:rPr>
          <w:i/>
          <w:iCs/>
        </w:rPr>
        <w:t>European Journal of Transport and Infrastructure Research</w:t>
      </w:r>
      <w:r w:rsidRPr="0013556C">
        <w:t>, </w:t>
      </w:r>
      <w:r w:rsidRPr="0013556C">
        <w:rPr>
          <w:i/>
          <w:iCs/>
        </w:rPr>
        <w:t>23</w:t>
      </w:r>
      <w:r w:rsidRPr="0013556C">
        <w:t xml:space="preserve">(1), 63-84. </w:t>
      </w:r>
      <w:hyperlink r:id="rId15" w:history="1">
        <w:r w:rsidRPr="00D31B48">
          <w:rPr>
            <w:rStyle w:val="Hyperlink"/>
          </w:rPr>
          <w:t>https://doi.org/10.59490/ejtir.2023.23.1.6261</w:t>
        </w:r>
      </w:hyperlink>
      <w:r>
        <w:t xml:space="preserve"> </w:t>
      </w:r>
    </w:p>
    <w:p w14:paraId="60B95CBE" w14:textId="77777777" w:rsidR="001F2CDC" w:rsidRDefault="001F2CDC" w:rsidP="006B4FFD">
      <w:pPr>
        <w:spacing w:before="120" w:after="120" w:line="480" w:lineRule="auto"/>
        <w:ind w:left="720" w:hanging="720"/>
        <w:jc w:val="left"/>
      </w:pPr>
      <w:r w:rsidRPr="00AC6A0C">
        <w:t>Kagermeier, A., Stors, N., &amp; Erdmenger, E. (2021). Erlebnisorientierung im New Urban Tourism–Spurensuche am Beispiel Berlin. </w:t>
      </w:r>
      <w:r w:rsidRPr="00AC6A0C">
        <w:rPr>
          <w:i/>
          <w:iCs/>
        </w:rPr>
        <w:t>Erlebnisse und Tourismus: Ergebnisse der</w:t>
      </w:r>
      <w:r w:rsidRPr="00AC6A0C">
        <w:t>, </w:t>
      </w:r>
      <w:r w:rsidRPr="00AC6A0C">
        <w:rPr>
          <w:i/>
          <w:iCs/>
        </w:rPr>
        <w:t>4</w:t>
      </w:r>
      <w:r w:rsidRPr="00AC6A0C">
        <w:t>, 57-84.</w:t>
      </w:r>
      <w:r w:rsidRPr="00AD433B">
        <w:t xml:space="preserve"> </w:t>
      </w:r>
      <w:hyperlink r:id="rId16" w:history="1">
        <w:r w:rsidRPr="00D31B48">
          <w:rPr>
            <w:rStyle w:val="Hyperlink"/>
          </w:rPr>
          <w:t>https://wordpress.kagermeier.de/wp-content/uploads/2019/12/Kagermeier-et-al_Erlebnis-NUT_2019-12-17_web.pdf</w:t>
        </w:r>
      </w:hyperlink>
      <w:r>
        <w:t xml:space="preserve"> </w:t>
      </w:r>
    </w:p>
    <w:p w14:paraId="4227DC16" w14:textId="77777777" w:rsidR="001F2CDC" w:rsidRPr="00AC6A0C" w:rsidRDefault="001F2CDC" w:rsidP="006B4FFD">
      <w:pPr>
        <w:spacing w:before="120" w:after="120" w:line="480" w:lineRule="auto"/>
        <w:ind w:left="720" w:hanging="720"/>
        <w:jc w:val="left"/>
      </w:pPr>
      <w:r w:rsidRPr="002A2C6F">
        <w:lastRenderedPageBreak/>
        <w:t>Kalandides, A., &amp; Grésillon, B. (2021). The ambiguities of “sustainable” Berlin. </w:t>
      </w:r>
      <w:r w:rsidRPr="002A2C6F">
        <w:rPr>
          <w:i/>
          <w:iCs/>
        </w:rPr>
        <w:t>Sustainability</w:t>
      </w:r>
      <w:r w:rsidRPr="002A2C6F">
        <w:t>, </w:t>
      </w:r>
      <w:r w:rsidRPr="002A2C6F">
        <w:rPr>
          <w:i/>
          <w:iCs/>
        </w:rPr>
        <w:t>13</w:t>
      </w:r>
      <w:r w:rsidRPr="002A2C6F">
        <w:t>(4), 1666.</w:t>
      </w:r>
      <w:r w:rsidRPr="00DC57F2">
        <w:t xml:space="preserve"> </w:t>
      </w:r>
      <w:hyperlink r:id="rId17" w:history="1">
        <w:r w:rsidRPr="00D31B48">
          <w:rPr>
            <w:rStyle w:val="Hyperlink"/>
          </w:rPr>
          <w:t>https://doi.org/10.3390/su13041666</w:t>
        </w:r>
      </w:hyperlink>
      <w:r>
        <w:t xml:space="preserve"> </w:t>
      </w:r>
    </w:p>
    <w:p w14:paraId="0E330386" w14:textId="77777777" w:rsidR="001F2CDC" w:rsidRDefault="001F2CDC" w:rsidP="006B4FFD">
      <w:pPr>
        <w:spacing w:before="120" w:after="120" w:line="480" w:lineRule="auto"/>
        <w:ind w:left="720" w:hanging="720"/>
        <w:jc w:val="left"/>
      </w:pPr>
      <w:r w:rsidRPr="00AD433B">
        <w:t>Martin-Rojo, I., &amp; Gaspar-González, A. I. (2025). The impact of social changes on MICE tourism management in the age of digitalization: a bibliometric review. </w:t>
      </w:r>
      <w:r w:rsidRPr="00AD433B">
        <w:rPr>
          <w:i/>
          <w:iCs/>
        </w:rPr>
        <w:t>Review of Managerial Science</w:t>
      </w:r>
      <w:r w:rsidRPr="00AD433B">
        <w:t>, </w:t>
      </w:r>
      <w:r w:rsidRPr="00AD433B">
        <w:rPr>
          <w:i/>
          <w:iCs/>
        </w:rPr>
        <w:t>19</w:t>
      </w:r>
      <w:r w:rsidRPr="00AD433B">
        <w:t>(7), 2211-2234.</w:t>
      </w:r>
      <w:r w:rsidRPr="00703EDF">
        <w:t xml:space="preserve"> </w:t>
      </w:r>
      <w:hyperlink r:id="rId18" w:history="1">
        <w:r w:rsidRPr="00D31B48">
          <w:rPr>
            <w:rStyle w:val="Hyperlink"/>
          </w:rPr>
          <w:t>https://doi.org/10.1007/s11846-024-00751-3</w:t>
        </w:r>
      </w:hyperlink>
      <w:r>
        <w:t xml:space="preserve"> </w:t>
      </w:r>
    </w:p>
    <w:p w14:paraId="6079CCFE" w14:textId="77777777" w:rsidR="001F2CDC" w:rsidRPr="00DF128F" w:rsidRDefault="001F2CDC" w:rsidP="006B4FFD">
      <w:pPr>
        <w:spacing w:before="120" w:after="120" w:line="480" w:lineRule="auto"/>
        <w:ind w:left="720" w:hanging="720"/>
        <w:jc w:val="left"/>
        <w:rPr>
          <w:i/>
        </w:rPr>
      </w:pPr>
      <w:bookmarkStart w:id="13" w:name="_Hlk209784237"/>
      <w:bookmarkStart w:id="14" w:name="_Hlk193709300"/>
      <w:bookmarkStart w:id="15" w:name="_Hlk204420277"/>
      <w:r w:rsidRPr="00DF128F">
        <w:t xml:space="preserve">Road Genius, </w:t>
      </w:r>
      <w:bookmarkEnd w:id="13"/>
      <w:r w:rsidRPr="00DF128F">
        <w:t xml:space="preserve">(2025). </w:t>
      </w:r>
      <w:bookmarkEnd w:id="14"/>
      <w:r w:rsidRPr="00DF128F">
        <w:t>‘</w:t>
      </w:r>
      <w:r w:rsidRPr="00DF128F">
        <w:rPr>
          <w:i/>
          <w:szCs w:val="22"/>
        </w:rPr>
        <w:t>Berlin Tourism Statistic</w:t>
      </w:r>
      <w:r w:rsidRPr="00DF128F">
        <w:rPr>
          <w:i/>
        </w:rPr>
        <w:t>’.</w:t>
      </w:r>
      <w:r w:rsidRPr="00DF128F">
        <w:rPr>
          <w:i/>
          <w:iCs/>
        </w:rPr>
        <w:t xml:space="preserve"> </w:t>
      </w:r>
      <w:r w:rsidRPr="00DF128F">
        <w:t xml:space="preserve">Retrieved from: </w:t>
      </w:r>
      <w:bookmarkStart w:id="16" w:name="_Hlk197773876"/>
      <w:bookmarkStart w:id="17" w:name="_Hlk202350463"/>
      <w:bookmarkStart w:id="18" w:name="_Hlk202442667"/>
      <w:bookmarkStart w:id="19" w:name="_Hlk203476088"/>
      <w:bookmarkEnd w:id="15"/>
      <w:r w:rsidRPr="00DF128F">
        <w:fldChar w:fldCharType="begin"/>
      </w:r>
      <w:r w:rsidRPr="00DF128F">
        <w:instrText>HYPERLINK "https://roadgenius.com/statistics/tourism/germany/berlin/"</w:instrText>
      </w:r>
      <w:r w:rsidRPr="00DF128F">
        <w:fldChar w:fldCharType="separate"/>
      </w:r>
      <w:r w:rsidRPr="00DF128F">
        <w:rPr>
          <w:rStyle w:val="Hyperlink"/>
        </w:rPr>
        <w:t>https://roadgenius.com/statistics/tourism/germany/berlin/</w:t>
      </w:r>
      <w:r w:rsidRPr="00DF128F">
        <w:fldChar w:fldCharType="end"/>
      </w:r>
      <w:r w:rsidRPr="00DF128F">
        <w:t xml:space="preserve"> [Retrieved on: </w:t>
      </w:r>
      <w:bookmarkEnd w:id="16"/>
      <w:bookmarkEnd w:id="17"/>
      <w:bookmarkEnd w:id="18"/>
      <w:bookmarkEnd w:id="19"/>
      <w:r w:rsidRPr="00DF128F">
        <w:t>26</w:t>
      </w:r>
      <w:r w:rsidRPr="00DF128F">
        <w:rPr>
          <w:vertAlign w:val="superscript"/>
        </w:rPr>
        <w:t>th</w:t>
      </w:r>
      <w:r w:rsidRPr="00DF128F">
        <w:t xml:space="preserve"> </w:t>
      </w:r>
      <w:proofErr w:type="gramStart"/>
      <w:r w:rsidRPr="00DF128F">
        <w:t>September,</w:t>
      </w:r>
      <w:proofErr w:type="gramEnd"/>
      <w:r w:rsidRPr="00DF128F">
        <w:t xml:space="preserve"> 2025]</w:t>
      </w:r>
    </w:p>
    <w:p w14:paraId="3BBA2608" w14:textId="77777777" w:rsidR="001F2CDC" w:rsidRDefault="001F2CDC" w:rsidP="006B4FFD">
      <w:pPr>
        <w:spacing w:before="120" w:after="120" w:line="480" w:lineRule="auto"/>
        <w:ind w:left="720" w:hanging="720"/>
        <w:jc w:val="left"/>
      </w:pPr>
      <w:r w:rsidRPr="00AC6A0C">
        <w:t>Stolz, J., &amp; Megerle, H. E. (2022). Geotrails as a medium for education and geotourism: Recommendations for quality improvement based on the results of a research project in the Swabian Alb UNESCO Global Geopark. </w:t>
      </w:r>
      <w:r w:rsidRPr="00AC6A0C">
        <w:rPr>
          <w:i/>
          <w:iCs/>
        </w:rPr>
        <w:t>Land</w:t>
      </w:r>
      <w:r w:rsidRPr="00AC6A0C">
        <w:t>, </w:t>
      </w:r>
      <w:r w:rsidRPr="00AC6A0C">
        <w:rPr>
          <w:i/>
          <w:iCs/>
        </w:rPr>
        <w:t>11</w:t>
      </w:r>
      <w:r w:rsidRPr="00AC6A0C">
        <w:t>(9), 1422.</w:t>
      </w:r>
      <w:r w:rsidRPr="00DC57F2">
        <w:t xml:space="preserve"> </w:t>
      </w:r>
      <w:hyperlink r:id="rId19" w:history="1">
        <w:r w:rsidRPr="00D31B48">
          <w:rPr>
            <w:rStyle w:val="Hyperlink"/>
          </w:rPr>
          <w:t>https://doi.org/10.3390/land11091422</w:t>
        </w:r>
      </w:hyperlink>
      <w:r>
        <w:t xml:space="preserve"> </w:t>
      </w:r>
    </w:p>
    <w:p w14:paraId="6F51E11D" w14:textId="77777777" w:rsidR="001F2CDC" w:rsidRDefault="001F2CDC" w:rsidP="006B4FFD">
      <w:pPr>
        <w:spacing w:before="120" w:after="120" w:line="480" w:lineRule="auto"/>
        <w:ind w:left="720" w:hanging="720"/>
        <w:jc w:val="left"/>
      </w:pPr>
      <w:r w:rsidRPr="00DC57F2">
        <w:t>Szubert, M., Warcholik, W., &amp; Żemła, M. (2021). The influence of elements of cultural heritage on the image of destinations, using four polish cities as an example. </w:t>
      </w:r>
      <w:r w:rsidRPr="00DC57F2">
        <w:rPr>
          <w:i/>
          <w:iCs/>
        </w:rPr>
        <w:t>Land</w:t>
      </w:r>
      <w:r w:rsidRPr="00DC57F2">
        <w:t>, </w:t>
      </w:r>
      <w:r w:rsidRPr="00DC57F2">
        <w:rPr>
          <w:i/>
          <w:iCs/>
        </w:rPr>
        <w:t>10</w:t>
      </w:r>
      <w:r w:rsidRPr="00DC57F2">
        <w:t>(7), 671.</w:t>
      </w:r>
      <w:r w:rsidRPr="00AD433B">
        <w:t xml:space="preserve"> </w:t>
      </w:r>
      <w:hyperlink r:id="rId20" w:history="1">
        <w:r w:rsidRPr="00D31B48">
          <w:rPr>
            <w:rStyle w:val="Hyperlink"/>
          </w:rPr>
          <w:t>https://doi.org/10.3390/land10070671</w:t>
        </w:r>
      </w:hyperlink>
      <w:r>
        <w:t xml:space="preserve"> </w:t>
      </w:r>
    </w:p>
    <w:p w14:paraId="3335F811" w14:textId="77777777" w:rsidR="001F2CDC" w:rsidRPr="00DF128F" w:rsidRDefault="001F2CDC" w:rsidP="006B4FFD">
      <w:pPr>
        <w:spacing w:before="120" w:after="120" w:line="480" w:lineRule="auto"/>
        <w:ind w:left="720" w:hanging="720"/>
        <w:jc w:val="left"/>
        <w:rPr>
          <w:i/>
        </w:rPr>
      </w:pPr>
      <w:bookmarkStart w:id="20" w:name="_Hlk202872021"/>
      <w:bookmarkStart w:id="21" w:name="_Hlk204598645"/>
      <w:bookmarkStart w:id="22" w:name="_Hlk209629536"/>
      <w:r w:rsidRPr="00F939AC">
        <w:t>VisitBerlin</w:t>
      </w:r>
      <w:r w:rsidRPr="00DF128F">
        <w:t xml:space="preserve">, (2024). </w:t>
      </w:r>
      <w:bookmarkEnd w:id="20"/>
      <w:r w:rsidRPr="00DF128F">
        <w:t>‘</w:t>
      </w:r>
      <w:r w:rsidRPr="00DF128F">
        <w:rPr>
          <w:i/>
        </w:rPr>
        <w:t>Berlin hosts the world’.</w:t>
      </w:r>
      <w:r w:rsidRPr="00DF128F">
        <w:rPr>
          <w:i/>
          <w:iCs/>
        </w:rPr>
        <w:t xml:space="preserve"> </w:t>
      </w:r>
      <w:bookmarkStart w:id="23" w:name="_Hlk202892883"/>
      <w:r w:rsidRPr="00DF128F">
        <w:t xml:space="preserve">Retrieved from: </w:t>
      </w:r>
      <w:bookmarkStart w:id="24" w:name="_Hlk203150600"/>
      <w:bookmarkEnd w:id="21"/>
      <w:bookmarkEnd w:id="23"/>
      <w:r w:rsidRPr="00DF128F">
        <w:fldChar w:fldCharType="begin"/>
      </w:r>
      <w:r w:rsidRPr="00DF128F">
        <w:instrText>HYPERLINK "https://about.visitberlin.de/en/current-figures"</w:instrText>
      </w:r>
      <w:r w:rsidRPr="00DF128F">
        <w:fldChar w:fldCharType="separate"/>
      </w:r>
      <w:r w:rsidRPr="00DF128F">
        <w:rPr>
          <w:rStyle w:val="Hyperlink"/>
        </w:rPr>
        <w:t>https://about.visitberlin.de/en/current-figures</w:t>
      </w:r>
      <w:r w:rsidRPr="00DF128F">
        <w:fldChar w:fldCharType="end"/>
      </w:r>
      <w:r w:rsidRPr="00DF128F">
        <w:t xml:space="preserve"> [</w:t>
      </w:r>
      <w:bookmarkStart w:id="25" w:name="_Hlk202892866"/>
      <w:r w:rsidRPr="00DF128F">
        <w:t xml:space="preserve">Retrieved on: </w:t>
      </w:r>
      <w:bookmarkEnd w:id="24"/>
      <w:bookmarkEnd w:id="25"/>
      <w:r w:rsidRPr="00DF128F">
        <w:t>26</w:t>
      </w:r>
      <w:r w:rsidRPr="00DF128F">
        <w:rPr>
          <w:vertAlign w:val="superscript"/>
        </w:rPr>
        <w:t>th</w:t>
      </w:r>
      <w:r w:rsidRPr="00DF128F">
        <w:t xml:space="preserve"> </w:t>
      </w:r>
      <w:proofErr w:type="gramStart"/>
      <w:r w:rsidRPr="00DF128F">
        <w:t>September,</w:t>
      </w:r>
      <w:proofErr w:type="gramEnd"/>
      <w:r w:rsidRPr="00DF128F">
        <w:t xml:space="preserve"> 2025]</w:t>
      </w:r>
    </w:p>
    <w:bookmarkEnd w:id="22"/>
    <w:p w14:paraId="78E28824" w14:textId="77777777" w:rsidR="001F2CDC" w:rsidRPr="001F2CDC" w:rsidRDefault="001F2CDC" w:rsidP="006B4FFD">
      <w:pPr>
        <w:spacing w:before="120" w:after="120" w:line="480" w:lineRule="auto"/>
        <w:jc w:val="left"/>
      </w:pPr>
    </w:p>
    <w:p w14:paraId="474445A7" w14:textId="77777777" w:rsidR="00046F49" w:rsidRPr="00F939AC" w:rsidRDefault="00046F49" w:rsidP="006B4FFD">
      <w:pPr>
        <w:spacing w:before="120" w:after="120" w:line="480" w:lineRule="auto"/>
        <w:ind w:firstLine="720"/>
        <w:jc w:val="left"/>
      </w:pPr>
    </w:p>
    <w:p w14:paraId="0AB36D98" w14:textId="77777777" w:rsidR="00564017" w:rsidRDefault="00564017" w:rsidP="006B4FFD">
      <w:pPr>
        <w:spacing w:before="120" w:after="120" w:line="480" w:lineRule="auto"/>
        <w:jc w:val="left"/>
      </w:pPr>
    </w:p>
    <w:sectPr w:rsidR="00564017" w:rsidSect="00864DE3">
      <w:head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5EFC3" w14:textId="77777777" w:rsidR="00F404B9" w:rsidRDefault="00F404B9" w:rsidP="00864DE3">
      <w:pPr>
        <w:spacing w:after="0" w:line="240" w:lineRule="auto"/>
      </w:pPr>
      <w:r>
        <w:separator/>
      </w:r>
    </w:p>
  </w:endnote>
  <w:endnote w:type="continuationSeparator" w:id="0">
    <w:p w14:paraId="4E2B3B21" w14:textId="77777777" w:rsidR="00F404B9" w:rsidRDefault="00F404B9" w:rsidP="00864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erriweather Sans">
    <w:altName w:val="Times New Roman"/>
    <w:charset w:val="00"/>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D2873" w14:textId="77777777" w:rsidR="00F404B9" w:rsidRDefault="00F404B9" w:rsidP="00864DE3">
      <w:pPr>
        <w:spacing w:after="0" w:line="240" w:lineRule="auto"/>
      </w:pPr>
      <w:r>
        <w:separator/>
      </w:r>
    </w:p>
  </w:footnote>
  <w:footnote w:type="continuationSeparator" w:id="0">
    <w:p w14:paraId="173F67F2" w14:textId="77777777" w:rsidR="00F404B9" w:rsidRDefault="00F404B9" w:rsidP="00864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614412"/>
      <w:docPartObj>
        <w:docPartGallery w:val="Page Numbers (Top of Page)"/>
        <w:docPartUnique/>
      </w:docPartObj>
    </w:sdtPr>
    <w:sdtEndPr>
      <w:rPr>
        <w:noProof/>
        <w:sz w:val="20"/>
        <w:szCs w:val="20"/>
      </w:rPr>
    </w:sdtEndPr>
    <w:sdtContent>
      <w:p w14:paraId="187C0D8B" w14:textId="39B9AC6C" w:rsidR="00864DE3" w:rsidRPr="00864DE3" w:rsidRDefault="00864DE3">
        <w:pPr>
          <w:pStyle w:val="Header"/>
          <w:jc w:val="right"/>
          <w:rPr>
            <w:sz w:val="20"/>
            <w:szCs w:val="20"/>
          </w:rPr>
        </w:pPr>
        <w:r w:rsidRPr="00864DE3">
          <w:rPr>
            <w:sz w:val="20"/>
            <w:szCs w:val="20"/>
          </w:rPr>
          <w:fldChar w:fldCharType="begin"/>
        </w:r>
        <w:r w:rsidRPr="00864DE3">
          <w:rPr>
            <w:sz w:val="20"/>
            <w:szCs w:val="20"/>
          </w:rPr>
          <w:instrText xml:space="preserve"> PAGE   \* MERGEFORMAT </w:instrText>
        </w:r>
        <w:r w:rsidRPr="00864DE3">
          <w:rPr>
            <w:sz w:val="20"/>
            <w:szCs w:val="20"/>
          </w:rPr>
          <w:fldChar w:fldCharType="separate"/>
        </w:r>
        <w:r w:rsidRPr="00864DE3">
          <w:rPr>
            <w:noProof/>
            <w:sz w:val="20"/>
            <w:szCs w:val="20"/>
          </w:rPr>
          <w:t>2</w:t>
        </w:r>
        <w:r w:rsidRPr="00864DE3">
          <w:rPr>
            <w:noProof/>
            <w:sz w:val="20"/>
            <w:szCs w:val="20"/>
          </w:rPr>
          <w:fldChar w:fldCharType="end"/>
        </w:r>
      </w:p>
    </w:sdtContent>
  </w:sdt>
  <w:p w14:paraId="0C336E1A" w14:textId="77777777" w:rsidR="00864DE3" w:rsidRDefault="00864D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82D97"/>
    <w:multiLevelType w:val="multilevel"/>
    <w:tmpl w:val="87E83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2278C"/>
    <w:multiLevelType w:val="multilevel"/>
    <w:tmpl w:val="E26248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E36DF"/>
    <w:multiLevelType w:val="multilevel"/>
    <w:tmpl w:val="6A0CC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27CE0"/>
    <w:multiLevelType w:val="multilevel"/>
    <w:tmpl w:val="C75C93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604420"/>
    <w:multiLevelType w:val="multilevel"/>
    <w:tmpl w:val="8D7669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F23097"/>
    <w:multiLevelType w:val="multilevel"/>
    <w:tmpl w:val="BEC2C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0C2C8A"/>
    <w:multiLevelType w:val="multilevel"/>
    <w:tmpl w:val="B3AA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B702B"/>
    <w:multiLevelType w:val="multilevel"/>
    <w:tmpl w:val="BDDC37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547857"/>
    <w:multiLevelType w:val="multilevel"/>
    <w:tmpl w:val="F98A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960FE7"/>
    <w:multiLevelType w:val="multilevel"/>
    <w:tmpl w:val="9E16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701AD0"/>
    <w:multiLevelType w:val="multilevel"/>
    <w:tmpl w:val="C1544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4E295F"/>
    <w:multiLevelType w:val="multilevel"/>
    <w:tmpl w:val="AB8CB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BA6869"/>
    <w:multiLevelType w:val="multilevel"/>
    <w:tmpl w:val="A0A0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484053"/>
    <w:multiLevelType w:val="multilevel"/>
    <w:tmpl w:val="F6EC8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7A6C93"/>
    <w:multiLevelType w:val="multilevel"/>
    <w:tmpl w:val="11FA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6D58A4"/>
    <w:multiLevelType w:val="multilevel"/>
    <w:tmpl w:val="9DF8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FD14A7"/>
    <w:multiLevelType w:val="multilevel"/>
    <w:tmpl w:val="05141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185706"/>
    <w:multiLevelType w:val="multilevel"/>
    <w:tmpl w:val="857A38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684719">
    <w:abstractNumId w:val="5"/>
  </w:num>
  <w:num w:numId="2" w16cid:durableId="337661279">
    <w:abstractNumId w:val="0"/>
  </w:num>
  <w:num w:numId="3" w16cid:durableId="1011027716">
    <w:abstractNumId w:val="12"/>
  </w:num>
  <w:num w:numId="4" w16cid:durableId="580993601">
    <w:abstractNumId w:val="9"/>
  </w:num>
  <w:num w:numId="5" w16cid:durableId="416679406">
    <w:abstractNumId w:val="16"/>
  </w:num>
  <w:num w:numId="6" w16cid:durableId="187455060">
    <w:abstractNumId w:val="8"/>
  </w:num>
  <w:num w:numId="7" w16cid:durableId="1205171904">
    <w:abstractNumId w:val="2"/>
  </w:num>
  <w:num w:numId="8" w16cid:durableId="1936089223">
    <w:abstractNumId w:val="17"/>
  </w:num>
  <w:num w:numId="9" w16cid:durableId="549197264">
    <w:abstractNumId w:val="11"/>
  </w:num>
  <w:num w:numId="10" w16cid:durableId="1677726875">
    <w:abstractNumId w:val="1"/>
  </w:num>
  <w:num w:numId="11" w16cid:durableId="1702776566">
    <w:abstractNumId w:val="6"/>
  </w:num>
  <w:num w:numId="12" w16cid:durableId="1332441439">
    <w:abstractNumId w:val="13"/>
  </w:num>
  <w:num w:numId="13" w16cid:durableId="1924028844">
    <w:abstractNumId w:val="7"/>
  </w:num>
  <w:num w:numId="14" w16cid:durableId="1310095654">
    <w:abstractNumId w:val="15"/>
  </w:num>
  <w:num w:numId="15" w16cid:durableId="99492200">
    <w:abstractNumId w:val="14"/>
  </w:num>
  <w:num w:numId="16" w16cid:durableId="1195191671">
    <w:abstractNumId w:val="10"/>
  </w:num>
  <w:num w:numId="17" w16cid:durableId="1911307144">
    <w:abstractNumId w:val="4"/>
  </w:num>
  <w:num w:numId="18" w16cid:durableId="961308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470"/>
    <w:rsid w:val="00004DEF"/>
    <w:rsid w:val="00012A3E"/>
    <w:rsid w:val="00027A14"/>
    <w:rsid w:val="000453B3"/>
    <w:rsid w:val="00046F49"/>
    <w:rsid w:val="00054570"/>
    <w:rsid w:val="00055979"/>
    <w:rsid w:val="000904E8"/>
    <w:rsid w:val="000A75D0"/>
    <w:rsid w:val="000D5CE5"/>
    <w:rsid w:val="000F55E7"/>
    <w:rsid w:val="001177E5"/>
    <w:rsid w:val="00125B3A"/>
    <w:rsid w:val="00172223"/>
    <w:rsid w:val="00177859"/>
    <w:rsid w:val="00195D84"/>
    <w:rsid w:val="001A3773"/>
    <w:rsid w:val="001D21C7"/>
    <w:rsid w:val="001F2A4B"/>
    <w:rsid w:val="001F2CDC"/>
    <w:rsid w:val="0020044A"/>
    <w:rsid w:val="002148BD"/>
    <w:rsid w:val="00262C1B"/>
    <w:rsid w:val="00272787"/>
    <w:rsid w:val="00290319"/>
    <w:rsid w:val="002A51CC"/>
    <w:rsid w:val="002B5C5A"/>
    <w:rsid w:val="002D1FDD"/>
    <w:rsid w:val="002F210E"/>
    <w:rsid w:val="002F27E1"/>
    <w:rsid w:val="002F6C44"/>
    <w:rsid w:val="00312771"/>
    <w:rsid w:val="0033670F"/>
    <w:rsid w:val="003776FA"/>
    <w:rsid w:val="003A4C01"/>
    <w:rsid w:val="003E09BE"/>
    <w:rsid w:val="00406272"/>
    <w:rsid w:val="00447971"/>
    <w:rsid w:val="00462D78"/>
    <w:rsid w:val="004C4B05"/>
    <w:rsid w:val="004C6013"/>
    <w:rsid w:val="004D2A31"/>
    <w:rsid w:val="005079EF"/>
    <w:rsid w:val="0053133F"/>
    <w:rsid w:val="00551CDC"/>
    <w:rsid w:val="00552E5D"/>
    <w:rsid w:val="00564017"/>
    <w:rsid w:val="00575E38"/>
    <w:rsid w:val="00597DEA"/>
    <w:rsid w:val="005A39C4"/>
    <w:rsid w:val="005B471C"/>
    <w:rsid w:val="005C048D"/>
    <w:rsid w:val="005C1F81"/>
    <w:rsid w:val="005C3B61"/>
    <w:rsid w:val="005C6E10"/>
    <w:rsid w:val="005D2CD1"/>
    <w:rsid w:val="005D2D67"/>
    <w:rsid w:val="005D74E5"/>
    <w:rsid w:val="005E7BB1"/>
    <w:rsid w:val="00637616"/>
    <w:rsid w:val="006447C0"/>
    <w:rsid w:val="00653FE5"/>
    <w:rsid w:val="00654BE6"/>
    <w:rsid w:val="00662F16"/>
    <w:rsid w:val="006B3F48"/>
    <w:rsid w:val="006B4FFD"/>
    <w:rsid w:val="006E001D"/>
    <w:rsid w:val="00706540"/>
    <w:rsid w:val="00713981"/>
    <w:rsid w:val="0072421D"/>
    <w:rsid w:val="00757183"/>
    <w:rsid w:val="0078213B"/>
    <w:rsid w:val="00793C54"/>
    <w:rsid w:val="007A6C96"/>
    <w:rsid w:val="007A729C"/>
    <w:rsid w:val="007B7409"/>
    <w:rsid w:val="007E755C"/>
    <w:rsid w:val="008005CF"/>
    <w:rsid w:val="00821734"/>
    <w:rsid w:val="00864DE3"/>
    <w:rsid w:val="008657A0"/>
    <w:rsid w:val="00871316"/>
    <w:rsid w:val="008905C7"/>
    <w:rsid w:val="00896C5F"/>
    <w:rsid w:val="008B69A0"/>
    <w:rsid w:val="008C185B"/>
    <w:rsid w:val="008C600D"/>
    <w:rsid w:val="008D0F00"/>
    <w:rsid w:val="008D6529"/>
    <w:rsid w:val="00930657"/>
    <w:rsid w:val="00955040"/>
    <w:rsid w:val="00972361"/>
    <w:rsid w:val="009760E0"/>
    <w:rsid w:val="0098426D"/>
    <w:rsid w:val="00994614"/>
    <w:rsid w:val="009978DA"/>
    <w:rsid w:val="009F137E"/>
    <w:rsid w:val="00A32E3D"/>
    <w:rsid w:val="00A52034"/>
    <w:rsid w:val="00A61470"/>
    <w:rsid w:val="00A63634"/>
    <w:rsid w:val="00A71C90"/>
    <w:rsid w:val="00B024EF"/>
    <w:rsid w:val="00B25E96"/>
    <w:rsid w:val="00B45950"/>
    <w:rsid w:val="00B5589C"/>
    <w:rsid w:val="00B72FD8"/>
    <w:rsid w:val="00B82AF9"/>
    <w:rsid w:val="00B921C4"/>
    <w:rsid w:val="00BB0C4D"/>
    <w:rsid w:val="00BC2816"/>
    <w:rsid w:val="00BE2980"/>
    <w:rsid w:val="00C147B9"/>
    <w:rsid w:val="00C15EA2"/>
    <w:rsid w:val="00C234F9"/>
    <w:rsid w:val="00C472C2"/>
    <w:rsid w:val="00C6103C"/>
    <w:rsid w:val="00C72430"/>
    <w:rsid w:val="00C924C8"/>
    <w:rsid w:val="00CB5871"/>
    <w:rsid w:val="00CB5D38"/>
    <w:rsid w:val="00CC0734"/>
    <w:rsid w:val="00CC1F8D"/>
    <w:rsid w:val="00CD4067"/>
    <w:rsid w:val="00CE3435"/>
    <w:rsid w:val="00D00E95"/>
    <w:rsid w:val="00D17A75"/>
    <w:rsid w:val="00D22953"/>
    <w:rsid w:val="00D25525"/>
    <w:rsid w:val="00D44AC1"/>
    <w:rsid w:val="00D45954"/>
    <w:rsid w:val="00D75FFB"/>
    <w:rsid w:val="00D76D79"/>
    <w:rsid w:val="00D86611"/>
    <w:rsid w:val="00DA5C09"/>
    <w:rsid w:val="00DC2C60"/>
    <w:rsid w:val="00DD308E"/>
    <w:rsid w:val="00DD4E14"/>
    <w:rsid w:val="00E472BD"/>
    <w:rsid w:val="00E6209C"/>
    <w:rsid w:val="00EE6A80"/>
    <w:rsid w:val="00EF1779"/>
    <w:rsid w:val="00EF480C"/>
    <w:rsid w:val="00F00AD3"/>
    <w:rsid w:val="00F153D9"/>
    <w:rsid w:val="00F404B9"/>
    <w:rsid w:val="00F52425"/>
    <w:rsid w:val="00F70E24"/>
    <w:rsid w:val="00F86289"/>
    <w:rsid w:val="00F87A53"/>
    <w:rsid w:val="00F939AC"/>
    <w:rsid w:val="00FA2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E0934B"/>
  <w15:chartTrackingRefBased/>
  <w15:docId w15:val="{7D3C75E8-BFBC-49BD-B2B5-27BE3A543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80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046F49"/>
    <w:pPr>
      <w:keepNext/>
      <w:keepLines/>
      <w:spacing w:before="61" w:line="480" w:lineRule="auto"/>
      <w:ind w:right="52"/>
      <w:jc w:val="center"/>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00AD3"/>
    <w:pPr>
      <w:keepNext/>
      <w:keepLines/>
      <w:spacing w:before="40" w:after="240" w:line="259" w:lineRule="auto"/>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D76D7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autoRedefine/>
    <w:uiPriority w:val="9"/>
    <w:unhideWhenUsed/>
    <w:qFormat/>
    <w:rsid w:val="00D17A75"/>
    <w:pPr>
      <w:keepNext/>
      <w:keepLines/>
      <w:spacing w:before="40"/>
      <w:jc w:val="center"/>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2F210E"/>
    <w:pPr>
      <w:keepNext/>
      <w:keepLines/>
      <w:spacing w:before="80" w:after="40"/>
      <w:jc w:val="center"/>
      <w:outlineLvl w:val="4"/>
    </w:pPr>
    <w:rPr>
      <w:rFonts w:eastAsiaTheme="majorEastAsia" w:cstheme="majorBidi"/>
      <w:b/>
    </w:rPr>
  </w:style>
  <w:style w:type="paragraph" w:styleId="Heading6">
    <w:name w:val="heading 6"/>
    <w:basedOn w:val="Normal"/>
    <w:next w:val="Normal"/>
    <w:link w:val="Heading6Char"/>
    <w:uiPriority w:val="9"/>
    <w:semiHidden/>
    <w:unhideWhenUsed/>
    <w:qFormat/>
    <w:rsid w:val="00A6147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6147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6147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6147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F4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00AD3"/>
    <w:rPr>
      <w:rFonts w:ascii="Times New Roman" w:eastAsiaTheme="majorEastAsia" w:hAnsi="Times New Roman" w:cstheme="majorBidi"/>
      <w:b/>
      <w:szCs w:val="26"/>
    </w:rPr>
  </w:style>
  <w:style w:type="character" w:customStyle="1" w:styleId="Heading4Char">
    <w:name w:val="Heading 4 Char"/>
    <w:basedOn w:val="DefaultParagraphFont"/>
    <w:link w:val="Heading4"/>
    <w:uiPriority w:val="9"/>
    <w:rsid w:val="00D17A75"/>
    <w:rPr>
      <w:rFonts w:ascii="Times New Roman" w:eastAsiaTheme="majorEastAsia" w:hAnsi="Times New Roman" w:cstheme="majorBidi"/>
      <w:b/>
      <w:iCs/>
    </w:rPr>
  </w:style>
  <w:style w:type="character" w:customStyle="1" w:styleId="Heading3Char">
    <w:name w:val="Heading 3 Char"/>
    <w:basedOn w:val="DefaultParagraphFont"/>
    <w:link w:val="Heading3"/>
    <w:uiPriority w:val="9"/>
    <w:rsid w:val="00D76D79"/>
    <w:rPr>
      <w:rFonts w:ascii="Times New Roman" w:eastAsiaTheme="majorEastAsia" w:hAnsi="Times New Roman" w:cstheme="majorBidi"/>
      <w:b/>
      <w:szCs w:val="28"/>
    </w:rPr>
  </w:style>
  <w:style w:type="character" w:customStyle="1" w:styleId="Heading5Char">
    <w:name w:val="Heading 5 Char"/>
    <w:basedOn w:val="DefaultParagraphFont"/>
    <w:link w:val="Heading5"/>
    <w:uiPriority w:val="9"/>
    <w:rsid w:val="002F210E"/>
    <w:rPr>
      <w:rFonts w:ascii="Times New Roman" w:eastAsiaTheme="majorEastAsia" w:hAnsi="Times New Roman" w:cstheme="majorBidi"/>
      <w:b/>
    </w:rPr>
  </w:style>
  <w:style w:type="paragraph" w:styleId="BodyText">
    <w:name w:val="Body Text"/>
    <w:basedOn w:val="Normal"/>
    <w:link w:val="BodyTextChar"/>
    <w:uiPriority w:val="99"/>
    <w:semiHidden/>
    <w:unhideWhenUsed/>
    <w:rsid w:val="006B3F48"/>
  </w:style>
  <w:style w:type="character" w:customStyle="1" w:styleId="BodyTextChar">
    <w:name w:val="Body Text Char"/>
    <w:basedOn w:val="DefaultParagraphFont"/>
    <w:link w:val="BodyText"/>
    <w:uiPriority w:val="99"/>
    <w:semiHidden/>
    <w:rsid w:val="006B3F48"/>
    <w:rPr>
      <w:rFonts w:ascii="Times New Roman" w:hAnsi="Times New Roman" w:cs="Times New Roman"/>
      <w:kern w:val="0"/>
      <w:szCs w:val="20"/>
      <w:lang w:val="en-AU"/>
      <w14:ligatures w14:val="none"/>
    </w:rPr>
  </w:style>
  <w:style w:type="character" w:customStyle="1" w:styleId="Heading6Char">
    <w:name w:val="Heading 6 Char"/>
    <w:basedOn w:val="DefaultParagraphFont"/>
    <w:link w:val="Heading6"/>
    <w:uiPriority w:val="9"/>
    <w:semiHidden/>
    <w:rsid w:val="00A614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4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4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470"/>
    <w:rPr>
      <w:rFonts w:eastAsiaTheme="majorEastAsia" w:cstheme="majorBidi"/>
      <w:color w:val="272727" w:themeColor="text1" w:themeTint="D8"/>
    </w:rPr>
  </w:style>
  <w:style w:type="paragraph" w:styleId="Title">
    <w:name w:val="Title"/>
    <w:basedOn w:val="Normal"/>
    <w:next w:val="Normal"/>
    <w:link w:val="TitleChar"/>
    <w:uiPriority w:val="10"/>
    <w:qFormat/>
    <w:rsid w:val="00A614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4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47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4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470"/>
    <w:pPr>
      <w:spacing w:before="160"/>
      <w:jc w:val="center"/>
    </w:pPr>
    <w:rPr>
      <w:i/>
      <w:iCs/>
      <w:color w:val="404040" w:themeColor="text1" w:themeTint="BF"/>
    </w:rPr>
  </w:style>
  <w:style w:type="character" w:customStyle="1" w:styleId="QuoteChar">
    <w:name w:val="Quote Char"/>
    <w:basedOn w:val="DefaultParagraphFont"/>
    <w:link w:val="Quote"/>
    <w:uiPriority w:val="29"/>
    <w:rsid w:val="00A61470"/>
    <w:rPr>
      <w:rFonts w:ascii="Times New Roman" w:hAnsi="Times New Roman"/>
      <w:i/>
      <w:iCs/>
      <w:color w:val="404040" w:themeColor="text1" w:themeTint="BF"/>
    </w:rPr>
  </w:style>
  <w:style w:type="paragraph" w:styleId="ListParagraph">
    <w:name w:val="List Paragraph"/>
    <w:basedOn w:val="Normal"/>
    <w:uiPriority w:val="34"/>
    <w:qFormat/>
    <w:rsid w:val="00A61470"/>
    <w:pPr>
      <w:ind w:left="720"/>
      <w:contextualSpacing/>
    </w:pPr>
  </w:style>
  <w:style w:type="character" w:styleId="IntenseEmphasis">
    <w:name w:val="Intense Emphasis"/>
    <w:basedOn w:val="DefaultParagraphFont"/>
    <w:uiPriority w:val="21"/>
    <w:qFormat/>
    <w:rsid w:val="00A61470"/>
    <w:rPr>
      <w:i/>
      <w:iCs/>
      <w:color w:val="2F5496" w:themeColor="accent1" w:themeShade="BF"/>
    </w:rPr>
  </w:style>
  <w:style w:type="paragraph" w:styleId="IntenseQuote">
    <w:name w:val="Intense Quote"/>
    <w:basedOn w:val="Normal"/>
    <w:next w:val="Normal"/>
    <w:link w:val="IntenseQuoteChar"/>
    <w:uiPriority w:val="30"/>
    <w:qFormat/>
    <w:rsid w:val="00A614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1470"/>
    <w:rPr>
      <w:rFonts w:ascii="Times New Roman" w:hAnsi="Times New Roman"/>
      <w:i/>
      <w:iCs/>
      <w:color w:val="2F5496" w:themeColor="accent1" w:themeShade="BF"/>
    </w:rPr>
  </w:style>
  <w:style w:type="character" w:styleId="IntenseReference">
    <w:name w:val="Intense Reference"/>
    <w:basedOn w:val="DefaultParagraphFont"/>
    <w:uiPriority w:val="32"/>
    <w:qFormat/>
    <w:rsid w:val="00A61470"/>
    <w:rPr>
      <w:b/>
      <w:bCs/>
      <w:smallCaps/>
      <w:color w:val="2F5496" w:themeColor="accent1" w:themeShade="BF"/>
      <w:spacing w:val="5"/>
    </w:rPr>
  </w:style>
  <w:style w:type="character" w:styleId="Hyperlink">
    <w:name w:val="Hyperlink"/>
    <w:basedOn w:val="DefaultParagraphFont"/>
    <w:uiPriority w:val="99"/>
    <w:unhideWhenUsed/>
    <w:rsid w:val="002B5C5A"/>
    <w:rPr>
      <w:color w:val="0563C1" w:themeColor="hyperlink"/>
      <w:u w:val="single"/>
    </w:rPr>
  </w:style>
  <w:style w:type="character" w:styleId="UnresolvedMention">
    <w:name w:val="Unresolved Mention"/>
    <w:basedOn w:val="DefaultParagraphFont"/>
    <w:uiPriority w:val="99"/>
    <w:semiHidden/>
    <w:unhideWhenUsed/>
    <w:rsid w:val="002B5C5A"/>
    <w:rPr>
      <w:color w:val="605E5C"/>
      <w:shd w:val="clear" w:color="auto" w:fill="E1DFDD"/>
    </w:rPr>
  </w:style>
  <w:style w:type="paragraph" w:styleId="Header">
    <w:name w:val="header"/>
    <w:basedOn w:val="Normal"/>
    <w:link w:val="HeaderChar"/>
    <w:uiPriority w:val="99"/>
    <w:unhideWhenUsed/>
    <w:rsid w:val="00864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DE3"/>
    <w:rPr>
      <w:rFonts w:ascii="Times New Roman" w:hAnsi="Times New Roman"/>
    </w:rPr>
  </w:style>
  <w:style w:type="paragraph" w:styleId="Footer">
    <w:name w:val="footer"/>
    <w:basedOn w:val="Normal"/>
    <w:link w:val="FooterChar"/>
    <w:uiPriority w:val="99"/>
    <w:unhideWhenUsed/>
    <w:rsid w:val="00864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DE3"/>
    <w:rPr>
      <w:rFonts w:ascii="Times New Roman" w:hAnsi="Times New Roman"/>
    </w:rPr>
  </w:style>
  <w:style w:type="paragraph" w:styleId="TOCHeading">
    <w:name w:val="TOC Heading"/>
    <w:basedOn w:val="Heading1"/>
    <w:next w:val="Normal"/>
    <w:uiPriority w:val="39"/>
    <w:unhideWhenUsed/>
    <w:qFormat/>
    <w:rsid w:val="00EE6A80"/>
    <w:pPr>
      <w:spacing w:before="240" w:after="0" w:line="259" w:lineRule="auto"/>
      <w:ind w:right="0"/>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EE6A80"/>
    <w:pPr>
      <w:spacing w:after="100"/>
    </w:pPr>
  </w:style>
  <w:style w:type="paragraph" w:styleId="TOC2">
    <w:name w:val="toc 2"/>
    <w:basedOn w:val="Normal"/>
    <w:next w:val="Normal"/>
    <w:autoRedefine/>
    <w:uiPriority w:val="39"/>
    <w:unhideWhenUsed/>
    <w:rsid w:val="00EE6A8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40558-023-00268-7" TargetMode="External"/><Relationship Id="rId18" Type="http://schemas.openxmlformats.org/officeDocument/2006/relationships/hyperlink" Target="https://doi.org/10.1007/s11846-024-00751-3"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007/s11356-022-22496-w" TargetMode="External"/><Relationship Id="rId17" Type="http://schemas.openxmlformats.org/officeDocument/2006/relationships/hyperlink" Target="https://doi.org/10.3390/su13041666" TargetMode="External"/><Relationship Id="rId2" Type="http://schemas.openxmlformats.org/officeDocument/2006/relationships/numbering" Target="numbering.xml"/><Relationship Id="rId16" Type="http://schemas.openxmlformats.org/officeDocument/2006/relationships/hyperlink" Target="https://wordpress.kagermeier.de/wp-content/uploads/2019/12/Kagermeier-et-al_Erlebnis-NUT_2019-12-17_web.pdf" TargetMode="External"/><Relationship Id="rId20" Type="http://schemas.openxmlformats.org/officeDocument/2006/relationships/hyperlink" Target="https://doi.org/10.3390/land100706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land11101623" TargetMode="External"/><Relationship Id="rId5" Type="http://schemas.openxmlformats.org/officeDocument/2006/relationships/webSettings" Target="webSettings.xml"/><Relationship Id="rId15" Type="http://schemas.openxmlformats.org/officeDocument/2006/relationships/hyperlink" Target="https://doi.org/10.59490/ejtir.2023.23.1.6261"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3390/land110914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wss.2022.10010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4ECAE1-1CEA-4633-BADD-3E4EE2D44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2824</Words>
  <Characters>17798</Characters>
  <Application>Microsoft Office Word</Application>
  <DocSecurity>0</DocSecurity>
  <Lines>291</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2025-09-26T06:05:00Z</dcterms:created>
  <dcterms:modified xsi:type="dcterms:W3CDTF">2025-09-26T08:34:00Z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73a32472-919a-46fc-a479-b49c6c6ffc47</vt:lpwstr>
  </property>
</Properties>
</file>