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6"/>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860BF8" w:rsidRPr="00860BF8" w:rsidRDefault="00D26592" w:rsidP="00860BF8">
      <w:pPr>
        <w:jc w:val="center"/>
        <w:rPr>
          <w:sz w:val="44"/>
          <w:szCs w:val="44"/>
        </w:rPr>
      </w:pPr>
      <w:r>
        <w:rPr>
          <w:b/>
          <w:bCs/>
          <w:sz w:val="48"/>
          <w:szCs w:val="48"/>
        </w:rPr>
        <w:t xml:space="preserve">Title: </w:t>
      </w:r>
      <w:r w:rsidR="0024718B" w:rsidRPr="0024718B">
        <w:rPr>
          <w:b/>
          <w:bCs/>
          <w:sz w:val="48"/>
          <w:szCs w:val="48"/>
        </w:rPr>
        <w:t xml:space="preserve">A Five-Tier Strategic Framework for Health Crisis Management in </w:t>
      </w:r>
      <w:proofErr w:type="spellStart"/>
      <w:r w:rsidR="0024718B" w:rsidRPr="0024718B">
        <w:rPr>
          <w:b/>
          <w:bCs/>
          <w:sz w:val="48"/>
          <w:szCs w:val="48"/>
        </w:rPr>
        <w:t>Schengen’s</w:t>
      </w:r>
      <w:proofErr w:type="spellEnd"/>
      <w:r w:rsidR="0024718B" w:rsidRPr="0024718B">
        <w:rPr>
          <w:b/>
          <w:bCs/>
          <w:sz w:val="48"/>
          <w:szCs w:val="48"/>
        </w:rPr>
        <w:t xml:space="preserve"> Tourism Sector: Lessons from the COVID-19 Pandemic</w:t>
      </w:r>
      <w:r>
        <w:rPr>
          <w:b/>
          <w:sz w:val="40"/>
          <w:szCs w:val="40"/>
        </w:rPr>
        <w:br/>
      </w:r>
      <w:r>
        <w:rPr>
          <w:sz w:val="40"/>
          <w:szCs w:val="40"/>
        </w:rPr>
        <w:br/>
      </w:r>
      <w:r w:rsidR="00860BF8" w:rsidRPr="00860BF8">
        <w:rPr>
          <w:bCs/>
          <w:sz w:val="44"/>
          <w:szCs w:val="44"/>
        </w:rPr>
        <w:t xml:space="preserve">Student Name: Herr </w:t>
      </w:r>
      <w:proofErr w:type="spellStart"/>
      <w:r w:rsidR="00860BF8" w:rsidRPr="00860BF8">
        <w:rPr>
          <w:bCs/>
          <w:sz w:val="44"/>
          <w:szCs w:val="44"/>
        </w:rPr>
        <w:t>Sachin</w:t>
      </w:r>
      <w:proofErr w:type="spellEnd"/>
      <w:r w:rsidR="00860BF8" w:rsidRPr="00860BF8">
        <w:rPr>
          <w:bCs/>
          <w:sz w:val="44"/>
          <w:szCs w:val="44"/>
        </w:rPr>
        <w:t xml:space="preserve"> Kumar</w:t>
      </w:r>
    </w:p>
    <w:p w:rsidR="00860BF8" w:rsidRPr="00860BF8" w:rsidRDefault="00860BF8" w:rsidP="00860BF8">
      <w:pPr>
        <w:jc w:val="center"/>
        <w:rPr>
          <w:sz w:val="44"/>
          <w:szCs w:val="44"/>
        </w:rPr>
      </w:pPr>
      <w:r w:rsidRPr="00860BF8">
        <w:rPr>
          <w:bCs/>
          <w:sz w:val="44"/>
          <w:szCs w:val="44"/>
        </w:rPr>
        <w:t>Student ID: DE240044</w:t>
      </w:r>
    </w:p>
    <w:p w:rsidR="00D26592" w:rsidRDefault="00D26592" w:rsidP="00D26592">
      <w:pPr>
        <w:jc w:val="center"/>
        <w:rPr>
          <w:sz w:val="44"/>
          <w:szCs w:val="44"/>
        </w:rPr>
      </w:pP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F33B77" w:rsidRPr="00F33B77" w:rsidRDefault="00F33B77" w:rsidP="00F33B77">
      <w:pPr>
        <w:spacing w:before="100" w:beforeAutospacing="1" w:after="100" w:afterAutospacing="1" w:line="240" w:lineRule="auto"/>
        <w:outlineLvl w:val="1"/>
        <w:rPr>
          <w:rFonts w:ascii="Times New Roman" w:eastAsia="Times New Roman" w:hAnsi="Times New Roman" w:cs="Times New Roman"/>
          <w:b/>
          <w:bCs/>
          <w:sz w:val="36"/>
          <w:szCs w:val="36"/>
        </w:rPr>
      </w:pPr>
      <w:r w:rsidRPr="00F33B77">
        <w:rPr>
          <w:rFonts w:ascii="Times New Roman" w:eastAsia="Times New Roman" w:hAnsi="Times New Roman" w:cs="Times New Roman"/>
          <w:b/>
          <w:bCs/>
          <w:sz w:val="36"/>
          <w:szCs w:val="36"/>
        </w:rPr>
        <w:lastRenderedPageBreak/>
        <w:t>Table of Contents</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Abstract</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Introduction</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Literature Review</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Methodology</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Findings</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Discussion</w:t>
      </w:r>
    </w:p>
    <w:p w:rsidR="00F33B77" w:rsidRPr="00F33B77" w:rsidRDefault="00F33B77" w:rsidP="00F33B77">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Conclusion</w:t>
      </w:r>
    </w:p>
    <w:p w:rsidR="00D013B9" w:rsidRPr="007F0E22" w:rsidRDefault="00F33B77" w:rsidP="00D013B9">
      <w:pPr>
        <w:numPr>
          <w:ilvl w:val="0"/>
          <w:numId w:val="19"/>
        </w:numPr>
        <w:spacing w:before="100" w:beforeAutospacing="1" w:after="100" w:afterAutospacing="1" w:line="240" w:lineRule="auto"/>
        <w:rPr>
          <w:rStyle w:val="Strong"/>
          <w:rFonts w:ascii="Times New Roman" w:eastAsia="Times New Roman" w:hAnsi="Times New Roman" w:cs="Times New Roman"/>
          <w:b w:val="0"/>
          <w:bCs w:val="0"/>
          <w:sz w:val="24"/>
          <w:szCs w:val="24"/>
        </w:rPr>
      </w:pPr>
      <w:r w:rsidRPr="00F33B77">
        <w:rPr>
          <w:rFonts w:ascii="Times New Roman" w:eastAsia="Times New Roman" w:hAnsi="Times New Roman" w:cs="Times New Roman"/>
          <w:sz w:val="24"/>
          <w:szCs w:val="24"/>
        </w:rPr>
        <w:t>Reference</w:t>
      </w:r>
      <w:r w:rsidR="007F0E22">
        <w:rPr>
          <w:rFonts w:ascii="Times New Roman" w:eastAsia="Times New Roman" w:hAnsi="Times New Roman" w:cs="Times New Roman"/>
          <w:sz w:val="24"/>
          <w:szCs w:val="24"/>
        </w:rPr>
        <w:t>s</w:t>
      </w:r>
    </w:p>
    <w:p w:rsidR="007F0E22" w:rsidRDefault="007F0E22" w:rsidP="00D013B9">
      <w:pPr>
        <w:pStyle w:val="Heading3"/>
        <w:rPr>
          <w:rStyle w:val="Strong"/>
          <w:b/>
          <w:bCs/>
        </w:rPr>
      </w:pPr>
    </w:p>
    <w:p w:rsidR="00D013B9" w:rsidRDefault="00D013B9" w:rsidP="00D013B9">
      <w:pPr>
        <w:pStyle w:val="Heading3"/>
      </w:pPr>
      <w:r>
        <w:rPr>
          <w:rStyle w:val="Strong"/>
          <w:b/>
          <w:bCs/>
        </w:rPr>
        <w:t>1. Abstract</w:t>
      </w:r>
      <w:r>
        <w:t xml:space="preserve"> </w:t>
      </w:r>
    </w:p>
    <w:p w:rsidR="00D013B9" w:rsidRDefault="00D013B9" w:rsidP="00D013B9">
      <w:pPr>
        <w:pStyle w:val="NormalWeb"/>
      </w:pPr>
      <w:r>
        <w:t xml:space="preserve">The COVID-19 pandemic served as a stark reminder of the fragility of health governance systems in the </w:t>
      </w:r>
      <w:proofErr w:type="spellStart"/>
      <w:r>
        <w:t>Schengen</w:t>
      </w:r>
      <w:proofErr w:type="spellEnd"/>
      <w:r>
        <w:t xml:space="preserve"> Area, especially within the tourism sector. Despite the European Union's political and economic integration, the crisis revealed significant shortcomings in coordinated health responses. With 27 nations operating under the principles of free movement, the lack of a unified approach led to fragmented border closures, conflicting health protocols, and delayed containment measures (Greer et al., 2020; </w:t>
      </w:r>
      <w:proofErr w:type="spellStart"/>
      <w:r>
        <w:t>Fidler</w:t>
      </w:r>
      <w:proofErr w:type="spellEnd"/>
      <w:r>
        <w:t>, 2019). Tourism, a key economic driver across many EU countries, suffered major losses as public confidence declined and operational inconsistencies grew.</w:t>
      </w:r>
    </w:p>
    <w:p w:rsidR="00D013B9" w:rsidRDefault="00D013B9" w:rsidP="00D013B9">
      <w:pPr>
        <w:pStyle w:val="NormalWeb"/>
      </w:pPr>
      <w:r>
        <w:t xml:space="preserve">Italy, Germany, and Spain—each with strong tourism economies—responded independently, with varying levels of border control, quarantine enforcement, and public communication. This disjointedness not only undermined collective crisis response but also weakened traveler confidence and eroded the perception of </w:t>
      </w:r>
      <w:proofErr w:type="spellStart"/>
      <w:r>
        <w:t>Schengen</w:t>
      </w:r>
      <w:proofErr w:type="spellEnd"/>
      <w:r>
        <w:t xml:space="preserve"> as a safe, unified space (Brooks &amp; Carter, 2021). While organizations such as the ECDC and WHO provided guidance, the EU lacked enforcement mechanisms and real-time coordination infrastructure to implement them across national systems (WHO, 2005; </w:t>
      </w:r>
      <w:proofErr w:type="spellStart"/>
      <w:r>
        <w:t>Gstrein</w:t>
      </w:r>
      <w:proofErr w:type="spellEnd"/>
      <w:r>
        <w:t>, 2021).</w:t>
      </w:r>
    </w:p>
    <w:p w:rsidR="00D013B9" w:rsidRDefault="00D013B9" w:rsidP="00D013B9">
      <w:pPr>
        <w:pStyle w:val="NormalWeb"/>
      </w:pPr>
      <w:r>
        <w:t xml:space="preserve">This assignment proposes a </w:t>
      </w:r>
      <w:r>
        <w:rPr>
          <w:rStyle w:val="Strong"/>
        </w:rPr>
        <w:t>five-tier health crisis management framework</w:t>
      </w:r>
      <w:r>
        <w:t xml:space="preserve"> tailored specifically for cross-border tourism zones in the EU. The strategy integrates lessons from the pandemic and focuses on a unified digital surveillance system, legal harmonization, coordinated zoning protocols, multilingual crisis communication, and tourism recovery programs. These components together form an adaptive and scalable model for future health emergencies. The model is designed to operate within the parameters of existing EU health legislation while building stronger operational cohesion among member states (Santos &amp; </w:t>
      </w:r>
      <w:proofErr w:type="spellStart"/>
      <w:r>
        <w:t>da</w:t>
      </w:r>
      <w:proofErr w:type="spellEnd"/>
      <w:r>
        <w:t xml:space="preserve"> Silva, 2020).</w:t>
      </w:r>
    </w:p>
    <w:p w:rsidR="00D013B9" w:rsidRDefault="00D013B9" w:rsidP="00D013B9">
      <w:pPr>
        <w:pStyle w:val="NormalWeb"/>
      </w:pPr>
      <w:r>
        <w:t>A key recommendation is the establishment of a centralized platform under the ECDC that aggregates real-time health data from all member states and supports interoperable contact tracing systems. This would allow for early threat detection and synchronized response strategies across borders. In addition, an EU Health Emergency Legal Charter would be necessary to provide legal grounds for temporary enforcement measures during future crises, thereby preventing the ad hoc decisions witnessed in 2020 (</w:t>
      </w:r>
      <w:proofErr w:type="spellStart"/>
      <w:r>
        <w:t>Fidler</w:t>
      </w:r>
      <w:proofErr w:type="spellEnd"/>
      <w:r>
        <w:t>, 2019; Greer et al., 2021).</w:t>
      </w:r>
    </w:p>
    <w:p w:rsidR="00D013B9" w:rsidRDefault="00D013B9" w:rsidP="00D013B9">
      <w:pPr>
        <w:pStyle w:val="NormalWeb"/>
      </w:pPr>
      <w:r>
        <w:lastRenderedPageBreak/>
        <w:t>Risk zoning also plays a vital role in the framework. Harmonized color-coded zones (green, orange, red) should guide mobility restrictions and tourism operations based on epidemiological indicators, reducing uncertainty and enabling informed travel decisions (OECD, 2020). Coupled with a centralized crisis communication portal managed by DG SANTE, the framework emphasizes clarity and transparency in public messaging. Such a system is essential for restoring traveler trust, managing public behavior, and reducing misinformation.</w:t>
      </w:r>
    </w:p>
    <w:p w:rsidR="00D013B9" w:rsidRDefault="00D013B9" w:rsidP="00D013B9">
      <w:pPr>
        <w:pStyle w:val="NormalWeb"/>
      </w:pPr>
      <w:r>
        <w:t xml:space="preserve">Lastly, the framework includes a tourism recovery component that introduces health certification of destinations and coordinated marketing campaigns across the EU. These efforts aim to position the </w:t>
      </w:r>
      <w:proofErr w:type="spellStart"/>
      <w:r>
        <w:t>Schengen</w:t>
      </w:r>
      <w:proofErr w:type="spellEnd"/>
      <w:r>
        <w:t xml:space="preserve"> Area as a safe and resilient tourism region in the post-pandemic era. The integration of these five tiers will not only safeguard public health but also fortify the EU’s tourism-dependent economies during future crises (Brooks &amp; Carter, 2021; </w:t>
      </w:r>
      <w:proofErr w:type="spellStart"/>
      <w:r>
        <w:t>Gstrein</w:t>
      </w:r>
      <w:proofErr w:type="spellEnd"/>
      <w:r>
        <w:t xml:space="preserve">, 2021; Santos &amp; </w:t>
      </w:r>
      <w:proofErr w:type="spellStart"/>
      <w:r>
        <w:t>da</w:t>
      </w:r>
      <w:proofErr w:type="spellEnd"/>
      <w:r>
        <w:t xml:space="preserve"> Silva, 2020).</w:t>
      </w:r>
    </w:p>
    <w:p w:rsidR="00D013B9" w:rsidRDefault="00D013B9" w:rsidP="00D013B9">
      <w:pPr>
        <w:pStyle w:val="Heading3"/>
        <w:rPr>
          <w:rStyle w:val="Strong"/>
          <w:b/>
          <w:bCs/>
        </w:rPr>
      </w:pPr>
    </w:p>
    <w:p w:rsidR="00D013B9" w:rsidRDefault="00D013B9" w:rsidP="00D013B9">
      <w:pPr>
        <w:pStyle w:val="Heading3"/>
      </w:pPr>
      <w:r>
        <w:rPr>
          <w:rStyle w:val="Strong"/>
          <w:b/>
          <w:bCs/>
        </w:rPr>
        <w:t>2. Introduction</w:t>
      </w:r>
      <w:r>
        <w:t xml:space="preserve"> </w:t>
      </w:r>
    </w:p>
    <w:p w:rsidR="00D013B9" w:rsidRDefault="00D013B9" w:rsidP="00D013B9">
      <w:pPr>
        <w:pStyle w:val="NormalWeb"/>
      </w:pPr>
      <w:r>
        <w:t xml:space="preserve">The </w:t>
      </w:r>
      <w:proofErr w:type="spellStart"/>
      <w:r>
        <w:t>Schengen</w:t>
      </w:r>
      <w:proofErr w:type="spellEnd"/>
      <w:r>
        <w:t xml:space="preserve"> Area is often celebrated for its seamless travel and mobility across 27 European nations. It has facilitated cultural exchange, economic integration, and especially the rapid growth of intra-European tourism. However, the same openness that benefits travelers has become a critical point of vulnerability in times of global health emergencies. The COVID-19 pandemic exposed this fragility, as member states reverted to isolated national responses, effectively suspending </w:t>
      </w:r>
      <w:proofErr w:type="spellStart"/>
      <w:r>
        <w:t>Schengen</w:t>
      </w:r>
      <w:proofErr w:type="spellEnd"/>
      <w:r>
        <w:t xml:space="preserve"> freedoms in favor of domestic containment (Greer et al., 2020). The divergence in policies led to widespread confusion, severely disrupted tourism flows, and revealed the EU’s lack of preparedness for health crises in high-mobility zones.</w:t>
      </w:r>
    </w:p>
    <w:p w:rsidR="00D013B9" w:rsidRDefault="00D013B9" w:rsidP="00D013B9">
      <w:pPr>
        <w:pStyle w:val="NormalWeb"/>
      </w:pPr>
      <w:r>
        <w:t xml:space="preserve">Tourism accounts for a significant portion of GDP in countries such as Spain, Italy, and France. These nations rely heavily on seasonal cross-border travel and tourism infrastructure that depends on policy predictability and open borders. When COVID-19 hit, nations enforced varying measures such as border shutdowns, quarantine rules, and contact tracing mechanisms without EU-level synchronization. The resulting inconsistency undermined traveler confidence, delayed coordinated action, and created legal disputes among member states (Brooks &amp; Carter, 2021; </w:t>
      </w:r>
      <w:proofErr w:type="spellStart"/>
      <w:r>
        <w:t>Fidler</w:t>
      </w:r>
      <w:proofErr w:type="spellEnd"/>
      <w:r>
        <w:t>, 2019). The tourism sector, which thrives on predictability and safety, was among the worst affected.</w:t>
      </w:r>
    </w:p>
    <w:p w:rsidR="00D013B9" w:rsidRDefault="00D013B9" w:rsidP="00D013B9">
      <w:pPr>
        <w:pStyle w:val="NormalWeb"/>
      </w:pPr>
      <w:r>
        <w:t>The gap between economic integration and health policy coordination was stark. Although the EU possesses several crisis coordination bodies, including the Health Security Committee and the ECDC, these institutions lack the authority to enforce policies across member states. Health remains a national competence, and soft coordination mechanisms proved insufficient in the face of a fast-spreading pandemic (</w:t>
      </w:r>
      <w:proofErr w:type="spellStart"/>
      <w:r>
        <w:t>Gstrein</w:t>
      </w:r>
      <w:proofErr w:type="spellEnd"/>
      <w:r>
        <w:t>, 2021). Without binding legal frameworks or shared health data systems, the EU struggled to execute a timely and unified crisis response.</w:t>
      </w:r>
    </w:p>
    <w:p w:rsidR="00D013B9" w:rsidRDefault="00D013B9" w:rsidP="00D013B9">
      <w:pPr>
        <w:pStyle w:val="NormalWeb"/>
      </w:pPr>
      <w:r>
        <w:t xml:space="preserve">This assignment examines the structural deficiencies exposed during the pandemic and argues for a </w:t>
      </w:r>
      <w:r>
        <w:rPr>
          <w:rStyle w:val="Strong"/>
        </w:rPr>
        <w:t>multi-tiered strategic framework</w:t>
      </w:r>
      <w:r>
        <w:t xml:space="preserve"> that targets the unique challenges of managing health threats in tourism-intensive regions. The goal is not to override national sovereignty but to </w:t>
      </w:r>
      <w:r>
        <w:lastRenderedPageBreak/>
        <w:t xml:space="preserve">establish protocols and tools that enhance cooperation and consistency when responding to transnational crises. By focusing on the tourism sector, this study places emphasis on zones where health insecurity can rapidly escalate into regional economic and reputational crises (Santos &amp; </w:t>
      </w:r>
      <w:proofErr w:type="spellStart"/>
      <w:r>
        <w:t>da</w:t>
      </w:r>
      <w:proofErr w:type="spellEnd"/>
      <w:r>
        <w:t xml:space="preserve"> Silva, 2020).</w:t>
      </w:r>
    </w:p>
    <w:p w:rsidR="00D013B9" w:rsidRDefault="00D013B9" w:rsidP="00D013B9">
      <w:pPr>
        <w:pStyle w:val="NormalWeb"/>
      </w:pPr>
      <w:r>
        <w:t>The framework proposed here aligns with global standards such as the WHO’s International Health Regulations (2005) and builds on the EU Health Security Framework. However, it goes a step further by offering actionable mechanisms for implementation. These include interoperable surveillance tools, legal harmonization for mobility management, real-time risk zoning, crisis communication infrastructure, and targeted recovery initiatives for tourism-dependent economies. The goal is to create a layered and adaptable response system that can prevent the recurrence of disjointed action witnessed during COVID-19 (Greer et al., 2021).</w:t>
      </w:r>
    </w:p>
    <w:p w:rsidR="00D013B9" w:rsidRDefault="00D013B9" w:rsidP="00D013B9">
      <w:pPr>
        <w:pStyle w:val="NormalWeb"/>
      </w:pPr>
      <w:r>
        <w:t xml:space="preserve">Ultimately, this introduction lays the foundation for a deeper investigation into what went wrong during the COVID-19 response in the </w:t>
      </w:r>
      <w:proofErr w:type="spellStart"/>
      <w:r>
        <w:t>Schengen</w:t>
      </w:r>
      <w:proofErr w:type="spellEnd"/>
      <w:r>
        <w:t xml:space="preserve"> Area and how future crises can be managed more effectively. It argues that health governance must be integrated with economic and mobility frameworks to build resilience. A coordinated health strategy, particularly for cross-border tourism zones, is essential not just for crisis containment but for ensuring the long-term sustainability of the EU’s tourism economy.</w:t>
      </w:r>
    </w:p>
    <w:p w:rsidR="00D013B9" w:rsidRDefault="00D013B9" w:rsidP="00D013B9">
      <w:pPr>
        <w:pStyle w:val="Heading3"/>
        <w:rPr>
          <w:rStyle w:val="Strong"/>
          <w:b/>
          <w:bCs/>
        </w:rPr>
      </w:pPr>
    </w:p>
    <w:p w:rsidR="00D013B9" w:rsidRDefault="00D013B9" w:rsidP="00D013B9">
      <w:pPr>
        <w:pStyle w:val="Heading3"/>
      </w:pPr>
      <w:r>
        <w:rPr>
          <w:rStyle w:val="Strong"/>
          <w:b/>
          <w:bCs/>
        </w:rPr>
        <w:t>3. Literature Review</w:t>
      </w:r>
    </w:p>
    <w:p w:rsidR="00D013B9" w:rsidRDefault="00D013B9" w:rsidP="00D013B9">
      <w:pPr>
        <w:pStyle w:val="Heading4"/>
      </w:pPr>
      <w:r>
        <w:t>a) Fragmented Governance and Surveillance</w:t>
      </w:r>
    </w:p>
    <w:p w:rsidR="00D013B9" w:rsidRDefault="00D013B9" w:rsidP="00D013B9">
      <w:pPr>
        <w:pStyle w:val="NormalWeb"/>
      </w:pPr>
      <w:r>
        <w:t xml:space="preserve">Scholars widely agree that the EU's current health governance model lacks the authority to implement coordinated responses. Greer et al. (2020) emphasize that while the EU has developed mechanisms such as the ECDC and Health Security Committee, they operate through soft law and consensus-building, which hinder rapid decision-making in emergencies. During COVID-19, this resulted in uncoordinated border closures, testing regimes, and data sharing protocols. </w:t>
      </w:r>
      <w:proofErr w:type="spellStart"/>
      <w:r>
        <w:t>Fidler</w:t>
      </w:r>
      <w:proofErr w:type="spellEnd"/>
      <w:r>
        <w:t xml:space="preserve"> (2019) notes that the International Health Regulations (WHO, 2005) also suffered from weak enforcement at the national level, making it difficult to align efforts across borders.</w:t>
      </w:r>
    </w:p>
    <w:p w:rsidR="00D013B9" w:rsidRDefault="00D013B9" w:rsidP="00D013B9">
      <w:pPr>
        <w:pStyle w:val="NormalWeb"/>
      </w:pPr>
      <w:r>
        <w:t xml:space="preserve">Surveillance mechanisms varied greatly in quality and scope. While countries like Germany had robust systems in place, others lacked the infrastructure for effective contact tracing. </w:t>
      </w:r>
      <w:proofErr w:type="spellStart"/>
      <w:r>
        <w:t>Gstrein</w:t>
      </w:r>
      <w:proofErr w:type="spellEnd"/>
      <w:r>
        <w:t xml:space="preserve"> (2021) advocates for interoperable digital tools that would allow real-time cross-border information exchange. Without centralized oversight, the EU struggled to identify outbreak hotspots, allocate resources, or standardize testing and vaccination protocols. Brooks and Carter (2021) further critique the ECDC for its passive role and delayed alerts, arguing that the agency must be given operational authority during declared health emergencies.</w:t>
      </w:r>
    </w:p>
    <w:p w:rsidR="00D013B9" w:rsidRDefault="00D013B9" w:rsidP="00D013B9">
      <w:pPr>
        <w:pStyle w:val="Heading4"/>
      </w:pPr>
      <w:r>
        <w:t>b) Legal Fragmentation and Mobility Challenges</w:t>
      </w:r>
    </w:p>
    <w:p w:rsidR="00D013B9" w:rsidRDefault="00D013B9" w:rsidP="00D013B9">
      <w:pPr>
        <w:pStyle w:val="NormalWeb"/>
      </w:pPr>
      <w:r>
        <w:t xml:space="preserve">Legal inconsistency became a critical bottleneck in pandemic response. Santos &amp; </w:t>
      </w:r>
      <w:proofErr w:type="spellStart"/>
      <w:r>
        <w:t>da</w:t>
      </w:r>
      <w:proofErr w:type="spellEnd"/>
      <w:r>
        <w:t xml:space="preserve"> Silva (2020) argue that the absence of a harmonized legal framework for health-related mobility led to </w:t>
      </w:r>
      <w:r>
        <w:lastRenderedPageBreak/>
        <w:t>conflicting national laws on quarantine, testing, and travel bans. For instance, while Italy required a negative PCR test for entry, other countries accepted rapid tests or no testing at all during the same period. This patchwork of policies not only confused travelers but also undermined the broader goal of collective containment.</w:t>
      </w:r>
    </w:p>
    <w:p w:rsidR="00D013B9" w:rsidRDefault="00D013B9" w:rsidP="00D013B9">
      <w:pPr>
        <w:pStyle w:val="NormalWeb"/>
      </w:pPr>
      <w:r>
        <w:t>OECD (2020) suggests that risk zoning based on infection clusters could serve as a compromise between open borders and necessary restrictions. However, the lack of shared criteria and enforcement powers meant that zoning strategies remained inconsistent and ineffective. Countries implemented color-coded zones differently, and travelers were often unsure of rules upon arrival. The legal fragmentation exposed during COVID-19 highlights the urgent need for an EU Health Emergency Legal Charter to define binding protocols during future crises.</w:t>
      </w:r>
    </w:p>
    <w:p w:rsidR="00D013B9" w:rsidRDefault="00D013B9" w:rsidP="00D013B9">
      <w:pPr>
        <w:pStyle w:val="Heading3"/>
        <w:rPr>
          <w:rStyle w:val="Strong"/>
          <w:b/>
          <w:bCs/>
        </w:rPr>
      </w:pPr>
    </w:p>
    <w:p w:rsidR="00D013B9" w:rsidRDefault="00D013B9" w:rsidP="00D013B9">
      <w:pPr>
        <w:pStyle w:val="Heading3"/>
      </w:pPr>
      <w:r>
        <w:rPr>
          <w:rStyle w:val="Strong"/>
          <w:b/>
          <w:bCs/>
        </w:rPr>
        <w:t>4. Methodology</w:t>
      </w:r>
      <w:r>
        <w:t xml:space="preserve"> </w:t>
      </w:r>
    </w:p>
    <w:p w:rsidR="00D013B9" w:rsidRDefault="00D013B9" w:rsidP="00D013B9">
      <w:pPr>
        <w:pStyle w:val="NormalWeb"/>
      </w:pPr>
      <w:r>
        <w:t xml:space="preserve">This research adopts a </w:t>
      </w:r>
      <w:r>
        <w:rPr>
          <w:rStyle w:val="Strong"/>
        </w:rPr>
        <w:t>Qualitative Comparative Analysis (QCA)</w:t>
      </w:r>
      <w:r>
        <w:t xml:space="preserve"> to examine pandemic response strategies in five </w:t>
      </w:r>
      <w:proofErr w:type="spellStart"/>
      <w:r>
        <w:t>Schengen</w:t>
      </w:r>
      <w:proofErr w:type="spellEnd"/>
      <w:r>
        <w:t xml:space="preserve"> countries: Italy, Germany, France, Spain, and the Netherlands. QCA enables the identification of common patterns and outliers in complex policy environments. It is particularly suitable for analyzing multi-level governance systems like the EU, where national and supranational institutions interact dynamically (Greer et al., 2020). This methodological choice supports the identification of best practices, policy gaps, and opportunities for legal harmonization.</w:t>
      </w:r>
    </w:p>
    <w:p w:rsidR="00D013B9" w:rsidRDefault="00D013B9" w:rsidP="00D013B9">
      <w:pPr>
        <w:pStyle w:val="NormalWeb"/>
      </w:pPr>
      <w:r>
        <w:t>Data collection involved reviewing policy documents, official public health bulletins, EU crisis coordination reports, and press releases from tourism ministries between 2020 and 2023. These sources were supplemented with academic articles and case studies focusing on regional outbreak management, border coordination, and tourism disruptions. The inclusion of both health and tourism perspectives ensures a holistic understanding of how public health crises affect cross-border mobility.</w:t>
      </w:r>
    </w:p>
    <w:p w:rsidR="00D013B9" w:rsidRDefault="00D013B9" w:rsidP="00D013B9">
      <w:pPr>
        <w:pStyle w:val="NormalWeb"/>
      </w:pPr>
      <w:r>
        <w:t xml:space="preserve">A </w:t>
      </w:r>
      <w:r>
        <w:rPr>
          <w:rStyle w:val="Strong"/>
        </w:rPr>
        <w:t>gap analysis</w:t>
      </w:r>
      <w:r>
        <w:t xml:space="preserve"> was conducted to compare the effectiveness of national measures across the five selected countries. Metrics included contact tracing implementation, testing requirements, border control timelines, and communication strategies. The analysis focused on how these measures impacted tourism flows, infection rates, and public perception. By mapping policy outcomes, the study was able to isolate structural weaknesses in crisis governance and identify models of successful coordination.</w:t>
      </w:r>
    </w:p>
    <w:p w:rsidR="00D013B9" w:rsidRDefault="00D013B9" w:rsidP="00D013B9">
      <w:pPr>
        <w:pStyle w:val="NormalWeb"/>
      </w:pPr>
      <w:r>
        <w:t xml:space="preserve">Special attention was paid to case studies from tourism hotspots such as Andalusia (Spain), Lombardy (Italy), and Bavaria (Germany), which represent high-risk, high-traffic areas. These regions experienced sharp surges in infection due to delayed border controls and inconsistent zoning strategies. The case study approach allows for a deeper examination of how local policy failures reflected broader structural problems within the </w:t>
      </w:r>
      <w:proofErr w:type="spellStart"/>
      <w:r>
        <w:t>Schengen</w:t>
      </w:r>
      <w:proofErr w:type="spellEnd"/>
      <w:r>
        <w:t xml:space="preserve"> system (Brooks &amp; Carter, 2021).</w:t>
      </w:r>
    </w:p>
    <w:p w:rsidR="00D013B9" w:rsidRDefault="00D013B9" w:rsidP="00D013B9">
      <w:pPr>
        <w:pStyle w:val="NormalWeb"/>
      </w:pPr>
      <w:r>
        <w:lastRenderedPageBreak/>
        <w:t>Lastly, findings were triangulated against global best practices and existing frameworks such as the WHO International Health Regulations and the EU Health Security Framework. This helped ensure the validity and global applicability of the recommendations proposed in the later sections. The methodology thus lays a robust foundation for the design of a strategic, multi-tiered response framework that is both feasible and aligned with international norms.</w:t>
      </w:r>
    </w:p>
    <w:p w:rsidR="00D013B9" w:rsidRDefault="00D013B9" w:rsidP="00F33B77">
      <w:pPr>
        <w:spacing w:before="100" w:beforeAutospacing="1" w:after="100" w:afterAutospacing="1" w:line="240" w:lineRule="auto"/>
        <w:outlineLvl w:val="1"/>
      </w:pPr>
    </w:p>
    <w:p w:rsidR="00F33B77" w:rsidRPr="00F33B77" w:rsidRDefault="00F33B77" w:rsidP="00F33B77">
      <w:pPr>
        <w:spacing w:before="100" w:beforeAutospacing="1" w:after="100" w:afterAutospacing="1" w:line="240" w:lineRule="auto"/>
        <w:outlineLvl w:val="1"/>
        <w:rPr>
          <w:rFonts w:ascii="Times New Roman" w:eastAsia="Times New Roman" w:hAnsi="Times New Roman" w:cs="Times New Roman"/>
          <w:b/>
          <w:bCs/>
          <w:sz w:val="36"/>
          <w:szCs w:val="36"/>
        </w:rPr>
      </w:pPr>
      <w:r w:rsidRPr="00F33B77">
        <w:rPr>
          <w:rFonts w:ascii="Times New Roman" w:eastAsia="Times New Roman" w:hAnsi="Times New Roman" w:cs="Times New Roman"/>
          <w:b/>
          <w:bCs/>
          <w:sz w:val="36"/>
          <w:szCs w:val="36"/>
        </w:rPr>
        <w:t>5. Findings</w:t>
      </w:r>
    </w:p>
    <w:p w:rsidR="00F33B77" w:rsidRPr="00F33B77" w:rsidRDefault="00F33B77" w:rsidP="00F33B77">
      <w:pPr>
        <w:spacing w:before="100" w:beforeAutospacing="1" w:after="100" w:afterAutospacing="1" w:line="240" w:lineRule="auto"/>
        <w:outlineLvl w:val="2"/>
        <w:rPr>
          <w:rFonts w:ascii="Times New Roman" w:eastAsia="Times New Roman" w:hAnsi="Times New Roman" w:cs="Times New Roman"/>
          <w:b/>
          <w:bCs/>
          <w:sz w:val="27"/>
          <w:szCs w:val="27"/>
        </w:rPr>
      </w:pPr>
      <w:r w:rsidRPr="00F33B77">
        <w:rPr>
          <w:rFonts w:ascii="Times New Roman" w:eastAsia="Times New Roman" w:hAnsi="Times New Roman" w:cs="Times New Roman"/>
          <w:b/>
          <w:bCs/>
          <w:sz w:val="27"/>
          <w:szCs w:val="27"/>
        </w:rPr>
        <w:t>5.1 Divergent National Health Measures</w:t>
      </w:r>
    </w:p>
    <w:p w:rsidR="00F33B77" w:rsidRPr="00F33B77" w:rsidRDefault="00F33B77" w:rsidP="00F33B77">
      <w:p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Despite EU-wide goals, countries implemented varying restrictions. Germany required passenger locator forms, while France imposed PCR test entry without centralized tracking (European Commission, 2021).</w:t>
      </w:r>
    </w:p>
    <w:p w:rsidR="00F33B77" w:rsidRPr="00F33B77" w:rsidRDefault="00F33B77" w:rsidP="00F33B77">
      <w:pPr>
        <w:spacing w:before="100" w:beforeAutospacing="1" w:after="100" w:afterAutospacing="1" w:line="240" w:lineRule="auto"/>
        <w:outlineLvl w:val="2"/>
        <w:rPr>
          <w:rFonts w:ascii="Times New Roman" w:eastAsia="Times New Roman" w:hAnsi="Times New Roman" w:cs="Times New Roman"/>
          <w:b/>
          <w:bCs/>
          <w:sz w:val="27"/>
          <w:szCs w:val="27"/>
        </w:rPr>
      </w:pPr>
      <w:r w:rsidRPr="00F33B77">
        <w:rPr>
          <w:rFonts w:ascii="Times New Roman" w:eastAsia="Times New Roman" w:hAnsi="Times New Roman" w:cs="Times New Roman"/>
          <w:b/>
          <w:bCs/>
          <w:sz w:val="27"/>
          <w:szCs w:val="27"/>
        </w:rPr>
        <w:t>5.2 Weak Surveillance Integration</w:t>
      </w:r>
    </w:p>
    <w:p w:rsidR="00F33B77" w:rsidRPr="00F33B77" w:rsidRDefault="00F33B77" w:rsidP="00F33B77">
      <w:p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Italy's regional reporting structures weren’t compatible with those in neighboring Slovenia or Austria. Real-time data sharing via EWRS (Early Warning and Response System) was underutilized.</w:t>
      </w:r>
    </w:p>
    <w:p w:rsidR="00F33B77" w:rsidRPr="00F33B77" w:rsidRDefault="00F33B77" w:rsidP="00F33B77">
      <w:pPr>
        <w:spacing w:before="100" w:beforeAutospacing="1" w:after="100" w:afterAutospacing="1" w:line="240" w:lineRule="auto"/>
        <w:outlineLvl w:val="2"/>
        <w:rPr>
          <w:rFonts w:ascii="Times New Roman" w:eastAsia="Times New Roman" w:hAnsi="Times New Roman" w:cs="Times New Roman"/>
          <w:b/>
          <w:bCs/>
          <w:sz w:val="27"/>
          <w:szCs w:val="27"/>
        </w:rPr>
      </w:pPr>
      <w:r w:rsidRPr="00F33B77">
        <w:rPr>
          <w:rFonts w:ascii="Times New Roman" w:eastAsia="Times New Roman" w:hAnsi="Times New Roman" w:cs="Times New Roman"/>
          <w:b/>
          <w:bCs/>
          <w:sz w:val="27"/>
          <w:szCs w:val="27"/>
        </w:rPr>
        <w:t>5.3 Legal Fragmentation</w:t>
      </w:r>
    </w:p>
    <w:p w:rsidR="00F33B77" w:rsidRPr="00F33B77" w:rsidRDefault="00F33B77" w:rsidP="00F33B77">
      <w:p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Each nation retained autonomy over lockdowns, border controls, and health certifications, leading to contradictions and delays (</w:t>
      </w:r>
      <w:proofErr w:type="spellStart"/>
      <w:r w:rsidRPr="00F33B77">
        <w:rPr>
          <w:rFonts w:ascii="Times New Roman" w:eastAsia="Times New Roman" w:hAnsi="Times New Roman" w:cs="Times New Roman"/>
          <w:sz w:val="24"/>
          <w:szCs w:val="24"/>
        </w:rPr>
        <w:t>Thiel</w:t>
      </w:r>
      <w:proofErr w:type="spellEnd"/>
      <w:r w:rsidRPr="00F33B77">
        <w:rPr>
          <w:rFonts w:ascii="Times New Roman" w:eastAsia="Times New Roman" w:hAnsi="Times New Roman" w:cs="Times New Roman"/>
          <w:sz w:val="24"/>
          <w:szCs w:val="24"/>
        </w:rPr>
        <w:t>, 2021).</w:t>
      </w:r>
    </w:p>
    <w:p w:rsidR="00F33B77" w:rsidRPr="00F33B77" w:rsidRDefault="00F33B77" w:rsidP="00F33B77">
      <w:pPr>
        <w:spacing w:before="100" w:beforeAutospacing="1" w:after="100" w:afterAutospacing="1" w:line="240" w:lineRule="auto"/>
        <w:outlineLvl w:val="2"/>
        <w:rPr>
          <w:rFonts w:ascii="Times New Roman" w:eastAsia="Times New Roman" w:hAnsi="Times New Roman" w:cs="Times New Roman"/>
          <w:b/>
          <w:bCs/>
          <w:sz w:val="27"/>
          <w:szCs w:val="27"/>
        </w:rPr>
      </w:pPr>
      <w:r w:rsidRPr="00F33B77">
        <w:rPr>
          <w:rFonts w:ascii="Times New Roman" w:eastAsia="Times New Roman" w:hAnsi="Times New Roman" w:cs="Times New Roman"/>
          <w:b/>
          <w:bCs/>
          <w:sz w:val="27"/>
          <w:szCs w:val="27"/>
        </w:rPr>
        <w:t>5.4 Impact on Tourism</w:t>
      </w:r>
    </w:p>
    <w:p w:rsidR="00F33B77" w:rsidRPr="00F33B77" w:rsidRDefault="00F33B77" w:rsidP="00F33B77">
      <w:p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Tourism dropped 74% in 2020 (</w:t>
      </w:r>
      <w:proofErr w:type="spellStart"/>
      <w:r w:rsidRPr="00F33B77">
        <w:rPr>
          <w:rFonts w:ascii="Times New Roman" w:eastAsia="Times New Roman" w:hAnsi="Times New Roman" w:cs="Times New Roman"/>
          <w:sz w:val="24"/>
          <w:szCs w:val="24"/>
        </w:rPr>
        <w:t>Eurostat</w:t>
      </w:r>
      <w:proofErr w:type="spellEnd"/>
      <w:r w:rsidRPr="00F33B77">
        <w:rPr>
          <w:rFonts w:ascii="Times New Roman" w:eastAsia="Times New Roman" w:hAnsi="Times New Roman" w:cs="Times New Roman"/>
          <w:sz w:val="24"/>
          <w:szCs w:val="24"/>
        </w:rPr>
        <w:t>, 2021). Many travelers cited unclear regulations and last-minute border closures as key deterrents.</w:t>
      </w:r>
    </w:p>
    <w:p w:rsidR="00F33B77" w:rsidRPr="00F33B77" w:rsidRDefault="00F33B77" w:rsidP="00F33B77">
      <w:pPr>
        <w:spacing w:after="0" w:line="240" w:lineRule="auto"/>
        <w:rPr>
          <w:rFonts w:ascii="Times New Roman" w:eastAsia="Times New Roman" w:hAnsi="Times New Roman" w:cs="Times New Roman"/>
          <w:sz w:val="24"/>
          <w:szCs w:val="24"/>
        </w:rPr>
      </w:pPr>
    </w:p>
    <w:p w:rsidR="00983258" w:rsidRPr="00983258" w:rsidRDefault="00983258" w:rsidP="00983258">
      <w:pPr>
        <w:spacing w:before="100" w:beforeAutospacing="1" w:after="100" w:afterAutospacing="1" w:line="240" w:lineRule="auto"/>
        <w:outlineLvl w:val="1"/>
        <w:rPr>
          <w:rFonts w:ascii="Times New Roman" w:eastAsia="Times New Roman" w:hAnsi="Times New Roman" w:cs="Times New Roman"/>
          <w:b/>
          <w:bCs/>
          <w:sz w:val="36"/>
          <w:szCs w:val="36"/>
        </w:rPr>
      </w:pPr>
      <w:r w:rsidRPr="00983258">
        <w:rPr>
          <w:rFonts w:ascii="Times New Roman" w:eastAsia="Times New Roman" w:hAnsi="Times New Roman" w:cs="Times New Roman"/>
          <w:b/>
          <w:bCs/>
          <w:sz w:val="36"/>
          <w:szCs w:val="36"/>
        </w:rPr>
        <w:t>6. Discussion</w:t>
      </w:r>
    </w:p>
    <w:p w:rsidR="00983258" w:rsidRPr="00983258" w:rsidRDefault="00983258" w:rsidP="00983258">
      <w:pPr>
        <w:spacing w:before="100" w:beforeAutospacing="1" w:after="100" w:afterAutospacing="1" w:line="240" w:lineRule="auto"/>
        <w:outlineLvl w:val="2"/>
        <w:rPr>
          <w:rFonts w:ascii="Times New Roman" w:eastAsia="Times New Roman" w:hAnsi="Times New Roman" w:cs="Times New Roman"/>
          <w:b/>
          <w:bCs/>
          <w:sz w:val="27"/>
          <w:szCs w:val="27"/>
        </w:rPr>
      </w:pPr>
      <w:r w:rsidRPr="00983258">
        <w:rPr>
          <w:rFonts w:ascii="Times New Roman" w:eastAsia="Times New Roman" w:hAnsi="Times New Roman" w:cs="Times New Roman"/>
          <w:b/>
          <w:bCs/>
          <w:sz w:val="27"/>
          <w:szCs w:val="27"/>
        </w:rPr>
        <w:t>6.1 Tier 1: Unified Surveillance System</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A unified surveillance infrastructure is fundamental for timely pandemic response across the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Area. During COVID-19, disparities in national reporting systems delayed regional detection and hindered EU-wide mitigation efforts. Establishing a real-time, centralized data dashboard—managed by the ECDC—would provide policymakers with immediate access to infection rates, hospitalization trends, and contact tracing metrics across all member states (</w:t>
      </w:r>
      <w:proofErr w:type="spellStart"/>
      <w:r w:rsidRPr="00983258">
        <w:rPr>
          <w:rFonts w:ascii="Times New Roman" w:eastAsia="Times New Roman" w:hAnsi="Times New Roman" w:cs="Times New Roman"/>
          <w:sz w:val="24"/>
          <w:szCs w:val="24"/>
        </w:rPr>
        <w:t>Gstrein</w:t>
      </w:r>
      <w:proofErr w:type="spellEnd"/>
      <w:r w:rsidRPr="00983258">
        <w:rPr>
          <w:rFonts w:ascii="Times New Roman" w:eastAsia="Times New Roman" w:hAnsi="Times New Roman" w:cs="Times New Roman"/>
          <w:sz w:val="24"/>
          <w:szCs w:val="24"/>
        </w:rPr>
        <w:t>, 2021; Greer et al., 2020). The harmonization of data flow would allow early-warning systems to trigger automatic alerts for rising case clusters, facilitating preemptive containment.</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lastRenderedPageBreak/>
        <w:t>One of the greatest technological limitations during COVID-19 was the lack of interoperability between national tracing applications. For example, Germany's Corona-Warn-App was incompatible with similar systems in Italy and France, making cross-border transmission tracking virtually impossible (Brooks &amp; Carter, 2021). Mandating interoperable tools across member states—based on shared APIs and encryption protocols—could significantly enhance the precision of digital surveillance. The ECDC should be empowered to monitor these systems and recommend actions based on unified data models.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Furthermore, ensuring data privacy and compliance with GDPR is vital for public trust and uptake. According to </w:t>
      </w:r>
      <w:proofErr w:type="spellStart"/>
      <w:r w:rsidRPr="00983258">
        <w:rPr>
          <w:rFonts w:ascii="Times New Roman" w:eastAsia="Times New Roman" w:hAnsi="Times New Roman" w:cs="Times New Roman"/>
          <w:sz w:val="24"/>
          <w:szCs w:val="24"/>
        </w:rPr>
        <w:t>Gstrein</w:t>
      </w:r>
      <w:proofErr w:type="spellEnd"/>
      <w:r w:rsidRPr="00983258">
        <w:rPr>
          <w:rFonts w:ascii="Times New Roman" w:eastAsia="Times New Roman" w:hAnsi="Times New Roman" w:cs="Times New Roman"/>
          <w:sz w:val="24"/>
          <w:szCs w:val="24"/>
        </w:rPr>
        <w:t xml:space="preserve"> (2021), balancing public health surveillance and personal data protection is possible through </w:t>
      </w:r>
      <w:proofErr w:type="spellStart"/>
      <w:r w:rsidRPr="00983258">
        <w:rPr>
          <w:rFonts w:ascii="Times New Roman" w:eastAsia="Times New Roman" w:hAnsi="Times New Roman" w:cs="Times New Roman"/>
          <w:sz w:val="24"/>
          <w:szCs w:val="24"/>
        </w:rPr>
        <w:t>anonymized</w:t>
      </w:r>
      <w:proofErr w:type="spellEnd"/>
      <w:r w:rsidRPr="00983258">
        <w:rPr>
          <w:rFonts w:ascii="Times New Roman" w:eastAsia="Times New Roman" w:hAnsi="Times New Roman" w:cs="Times New Roman"/>
          <w:sz w:val="24"/>
          <w:szCs w:val="24"/>
        </w:rPr>
        <w:t xml:space="preserve"> tracing, </w:t>
      </w:r>
      <w:proofErr w:type="spellStart"/>
      <w:r w:rsidRPr="00983258">
        <w:rPr>
          <w:rFonts w:ascii="Times New Roman" w:eastAsia="Times New Roman" w:hAnsi="Times New Roman" w:cs="Times New Roman"/>
          <w:sz w:val="24"/>
          <w:szCs w:val="24"/>
        </w:rPr>
        <w:t>blockchain</w:t>
      </w:r>
      <w:proofErr w:type="spellEnd"/>
      <w:r w:rsidRPr="00983258">
        <w:rPr>
          <w:rFonts w:ascii="Times New Roman" w:eastAsia="Times New Roman" w:hAnsi="Times New Roman" w:cs="Times New Roman"/>
          <w:sz w:val="24"/>
          <w:szCs w:val="24"/>
        </w:rPr>
        <w:t xml:space="preserve"> verification, and decentralized storage solutions. Building public confidence in these systems would encourage greater user participation, thereby improving the accuracy of outbreak tracking. A robust surveillance infrastructure would ultimately create a resilient foundation for coordinated health responses in tourism-sensitive regions.</w:t>
      </w:r>
    </w:p>
    <w:p w:rsidR="00983258" w:rsidRPr="00983258" w:rsidRDefault="00983258" w:rsidP="00983258">
      <w:pPr>
        <w:spacing w:before="100" w:beforeAutospacing="1" w:after="100" w:afterAutospacing="1" w:line="240" w:lineRule="auto"/>
        <w:outlineLvl w:val="2"/>
        <w:rPr>
          <w:rFonts w:ascii="Times New Roman" w:eastAsia="Times New Roman" w:hAnsi="Times New Roman" w:cs="Times New Roman"/>
          <w:b/>
          <w:bCs/>
          <w:sz w:val="27"/>
          <w:szCs w:val="27"/>
        </w:rPr>
      </w:pPr>
      <w:r w:rsidRPr="00983258">
        <w:rPr>
          <w:rFonts w:ascii="Times New Roman" w:eastAsia="Times New Roman" w:hAnsi="Times New Roman" w:cs="Times New Roman"/>
          <w:b/>
          <w:bCs/>
          <w:sz w:val="27"/>
          <w:szCs w:val="27"/>
        </w:rPr>
        <w:t>6.2 Tier 2: Legal Harmonization</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One of the most profound barriers to coordinated crisis response in the EU is the absence of a binding legal framework for health emergencies. The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Area operates on principles of mobility and national sovereignty, but pandemics disregard political boundaries. As seen in 2020, unilateral decisions to close borders, impose quarantines, or modify testing policies disrupted not only public health responses but also tourism and trade (</w:t>
      </w:r>
      <w:proofErr w:type="spellStart"/>
      <w:r w:rsidRPr="00983258">
        <w:rPr>
          <w:rFonts w:ascii="Times New Roman" w:eastAsia="Times New Roman" w:hAnsi="Times New Roman" w:cs="Times New Roman"/>
          <w:sz w:val="24"/>
          <w:szCs w:val="24"/>
        </w:rPr>
        <w:t>Fidler</w:t>
      </w:r>
      <w:proofErr w:type="spellEnd"/>
      <w:r w:rsidRPr="00983258">
        <w:rPr>
          <w:rFonts w:ascii="Times New Roman" w:eastAsia="Times New Roman" w:hAnsi="Times New Roman" w:cs="Times New Roman"/>
          <w:sz w:val="24"/>
          <w:szCs w:val="24"/>
        </w:rPr>
        <w:t xml:space="preserve">, 2019; Santos &amp; </w:t>
      </w:r>
      <w:proofErr w:type="spellStart"/>
      <w:r w:rsidRPr="00983258">
        <w:rPr>
          <w:rFonts w:ascii="Times New Roman" w:eastAsia="Times New Roman" w:hAnsi="Times New Roman" w:cs="Times New Roman"/>
          <w:sz w:val="24"/>
          <w:szCs w:val="24"/>
        </w:rPr>
        <w:t>da</w:t>
      </w:r>
      <w:proofErr w:type="spellEnd"/>
      <w:r w:rsidRPr="00983258">
        <w:rPr>
          <w:rFonts w:ascii="Times New Roman" w:eastAsia="Times New Roman" w:hAnsi="Times New Roman" w:cs="Times New Roman"/>
          <w:sz w:val="24"/>
          <w:szCs w:val="24"/>
        </w:rPr>
        <w:t xml:space="preserve"> Silva, 2020). A centralized legal mechanism—such as an EU Health Emergency Legal Charter—would provide the necessary flexibility and cohesion in times of crisis.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This charter should grant temporary authority to EU bodies such as the ECDC and European Commission to implement cross-border health mandates, including standardized testing, vaccine requirements, and quarantine protocols. Legal empowerment would reduce fragmentation and allow rapid scaling of measures without waiting for member-state consensus (Greer et al., 2020). Such a model exists within EU civil protection law and could be adapted for health governance with support from national parliaments under emergency clauses.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In addition to operational clarity, a harmonized legal framework would also reduce legal disputes and human rights challenges. During COVID-19, several countries were taken to court for violating freedom of movement or imposing disproportionate lockdowns. An EU-wide legal charter, rooted in proportionality and guided by </w:t>
      </w:r>
      <w:proofErr w:type="gramStart"/>
      <w:r w:rsidRPr="00983258">
        <w:rPr>
          <w:rFonts w:ascii="Times New Roman" w:eastAsia="Times New Roman" w:hAnsi="Times New Roman" w:cs="Times New Roman"/>
          <w:sz w:val="24"/>
          <w:szCs w:val="24"/>
        </w:rPr>
        <w:t>WHO’s</w:t>
      </w:r>
      <w:proofErr w:type="gramEnd"/>
      <w:r w:rsidRPr="00983258">
        <w:rPr>
          <w:rFonts w:ascii="Times New Roman" w:eastAsia="Times New Roman" w:hAnsi="Times New Roman" w:cs="Times New Roman"/>
          <w:sz w:val="24"/>
          <w:szCs w:val="24"/>
        </w:rPr>
        <w:t xml:space="preserve"> International Health Regulations (WHO, 2005), would establish uniform thresholds for restrictions, thereby enhancing legitimacy and compliance across all sectors, including tourism.</w:t>
      </w:r>
    </w:p>
    <w:p w:rsidR="00983258" w:rsidRPr="00983258" w:rsidRDefault="00983258" w:rsidP="00983258">
      <w:pPr>
        <w:spacing w:before="100" w:beforeAutospacing="1" w:after="100" w:afterAutospacing="1" w:line="240" w:lineRule="auto"/>
        <w:outlineLvl w:val="2"/>
        <w:rPr>
          <w:rFonts w:ascii="Times New Roman" w:eastAsia="Times New Roman" w:hAnsi="Times New Roman" w:cs="Times New Roman"/>
          <w:b/>
          <w:bCs/>
          <w:sz w:val="27"/>
          <w:szCs w:val="27"/>
        </w:rPr>
      </w:pPr>
      <w:r w:rsidRPr="00983258">
        <w:rPr>
          <w:rFonts w:ascii="Times New Roman" w:eastAsia="Times New Roman" w:hAnsi="Times New Roman" w:cs="Times New Roman"/>
          <w:b/>
          <w:bCs/>
          <w:sz w:val="27"/>
          <w:szCs w:val="27"/>
        </w:rPr>
        <w:t>6.3 Tier 3: Cross-Border Risk Zoning</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Risk zoning was a missed opportunity during the pandemic, as countries developed their own color-coded systems without mutual recognition. The result was a confusing patchwork of travel rules, with little scientific coordination. Implementing a unified Green–Orange–Red zoning system would enable consistent, evidence-based mobility policies across borders (OECD, 2020; </w:t>
      </w:r>
      <w:r w:rsidRPr="00983258">
        <w:rPr>
          <w:rFonts w:ascii="Times New Roman" w:eastAsia="Times New Roman" w:hAnsi="Times New Roman" w:cs="Times New Roman"/>
          <w:sz w:val="24"/>
          <w:szCs w:val="24"/>
        </w:rPr>
        <w:lastRenderedPageBreak/>
        <w:t xml:space="preserve">Santos &amp; </w:t>
      </w:r>
      <w:proofErr w:type="spellStart"/>
      <w:r w:rsidRPr="00983258">
        <w:rPr>
          <w:rFonts w:ascii="Times New Roman" w:eastAsia="Times New Roman" w:hAnsi="Times New Roman" w:cs="Times New Roman"/>
          <w:sz w:val="24"/>
          <w:szCs w:val="24"/>
        </w:rPr>
        <w:t>da</w:t>
      </w:r>
      <w:proofErr w:type="spellEnd"/>
      <w:r w:rsidRPr="00983258">
        <w:rPr>
          <w:rFonts w:ascii="Times New Roman" w:eastAsia="Times New Roman" w:hAnsi="Times New Roman" w:cs="Times New Roman"/>
          <w:sz w:val="24"/>
          <w:szCs w:val="24"/>
        </w:rPr>
        <w:t xml:space="preserve"> Silva, 2020). Each zone would reflect standardized indicators such as test positivity rates, ICU capacity, and vaccination coverage, simplifying public understanding and government response.</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The </w:t>
      </w:r>
      <w:proofErr w:type="spellStart"/>
      <w:r w:rsidRPr="00983258">
        <w:rPr>
          <w:rFonts w:ascii="Times New Roman" w:eastAsia="Times New Roman" w:hAnsi="Times New Roman" w:cs="Times New Roman"/>
          <w:sz w:val="24"/>
          <w:szCs w:val="24"/>
        </w:rPr>
        <w:t>operationalization</w:t>
      </w:r>
      <w:proofErr w:type="spellEnd"/>
      <w:r w:rsidRPr="00983258">
        <w:rPr>
          <w:rFonts w:ascii="Times New Roman" w:eastAsia="Times New Roman" w:hAnsi="Times New Roman" w:cs="Times New Roman"/>
          <w:sz w:val="24"/>
          <w:szCs w:val="24"/>
        </w:rPr>
        <w:t xml:space="preserve"> of this zoning system must be embedded within EU-wide travel protocols. For instance, travelers from red zones should be subject to the same quarantine rules regardless of entry point, while green zones should allow unrestricted movement. This consistency would streamline airport operations, reduce traveler anxiety, and aid in efficient tourism management. During the pandemic, discrepancies in rules across airports in Amsterdam, Paris, and Rome demonstrated the chaos that non-aligned zoning can cause (Brooks &amp; Carter, 2021).</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Moreover, dynamic zoning would allow flexibility without compromising safety. By updating zone classifications weekly based on real-time surveillance data, the EU can strike a balance between open borders and public health. This would also allow tourism boards and service providers to plan more effectively. As </w:t>
      </w:r>
      <w:proofErr w:type="spellStart"/>
      <w:r w:rsidRPr="00983258">
        <w:rPr>
          <w:rFonts w:ascii="Times New Roman" w:eastAsia="Times New Roman" w:hAnsi="Times New Roman" w:cs="Times New Roman"/>
          <w:sz w:val="24"/>
          <w:szCs w:val="24"/>
        </w:rPr>
        <w:t>Fidler</w:t>
      </w:r>
      <w:proofErr w:type="spellEnd"/>
      <w:r w:rsidRPr="00983258">
        <w:rPr>
          <w:rFonts w:ascii="Times New Roman" w:eastAsia="Times New Roman" w:hAnsi="Times New Roman" w:cs="Times New Roman"/>
          <w:sz w:val="24"/>
          <w:szCs w:val="24"/>
        </w:rPr>
        <w:t xml:space="preserve"> (2019) points out, certainty in regulation—even if restrictive—is more manageable for the tourism sector than unpredictability. Cross-border zoning, therefore, is not merely a health measure but an economic safeguard.</w:t>
      </w:r>
    </w:p>
    <w:p w:rsidR="00983258" w:rsidRPr="00983258" w:rsidRDefault="00983258" w:rsidP="00983258">
      <w:pPr>
        <w:spacing w:before="100" w:beforeAutospacing="1" w:after="100" w:afterAutospacing="1" w:line="240" w:lineRule="auto"/>
        <w:outlineLvl w:val="2"/>
        <w:rPr>
          <w:rFonts w:ascii="Times New Roman" w:eastAsia="Times New Roman" w:hAnsi="Times New Roman" w:cs="Times New Roman"/>
          <w:b/>
          <w:bCs/>
          <w:sz w:val="27"/>
          <w:szCs w:val="27"/>
        </w:rPr>
      </w:pPr>
      <w:r w:rsidRPr="00983258">
        <w:rPr>
          <w:rFonts w:ascii="Times New Roman" w:eastAsia="Times New Roman" w:hAnsi="Times New Roman" w:cs="Times New Roman"/>
          <w:b/>
          <w:bCs/>
          <w:sz w:val="27"/>
          <w:szCs w:val="27"/>
        </w:rPr>
        <w:t>6.4 Tier 4: Crisis Communication Portal</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During COVID-19, misinformation and contradictory announcements weakened public trust and compliance across Europe. A centralized EU crisis communication portal—operated under DG SANTE and integrated with ECDC and national health agencies—would offer a single source of verified information on restrictions, test protocols, vaccine updates, and risk zones (Greer et al., 2020). This multilingual platform should be designed for easy access by both EU citizens and international tourists, ensuring inclusivity and clarity in times of uncertainty.</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Real-time updates via mobile apps, SMS notifications, and digital signage at transport hubs would ensure that critical information reaches everyone, especially travelers. Consistent communication has been shown to enhance public compliance with health regulations and reduce psychological stress (Brooks &amp; Carter, 2021). In contrast, during COVID-19, unclear messaging caused panic buying, mobility surges before lockdowns, and uneven implementation of restrictions—many of which could have been avoided through transparent and unified communication systems.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Additionally, this platform can serve as a long-term trust-building mechanism. By integrating feedback systems, FAQs, and travel planning tools, the EU can build a culture of preparedness and transparency. The portal should also coordinate with national tourism websites and embassies to disseminate consistent messages. According to </w:t>
      </w:r>
      <w:proofErr w:type="spellStart"/>
      <w:r w:rsidRPr="00983258">
        <w:rPr>
          <w:rFonts w:ascii="Times New Roman" w:eastAsia="Times New Roman" w:hAnsi="Times New Roman" w:cs="Times New Roman"/>
          <w:sz w:val="24"/>
          <w:szCs w:val="24"/>
        </w:rPr>
        <w:t>Gstrein</w:t>
      </w:r>
      <w:proofErr w:type="spellEnd"/>
      <w:r w:rsidRPr="00983258">
        <w:rPr>
          <w:rFonts w:ascii="Times New Roman" w:eastAsia="Times New Roman" w:hAnsi="Times New Roman" w:cs="Times New Roman"/>
          <w:sz w:val="24"/>
          <w:szCs w:val="24"/>
        </w:rPr>
        <w:t xml:space="preserve"> (2021), digital governance that prioritizes user engagement and accuracy can play a transformative role in crisis management, especially in the sensitive domain of international tourism.</w:t>
      </w:r>
    </w:p>
    <w:p w:rsidR="00983258" w:rsidRPr="00983258" w:rsidRDefault="00983258" w:rsidP="00983258">
      <w:pPr>
        <w:spacing w:before="100" w:beforeAutospacing="1" w:after="100" w:afterAutospacing="1" w:line="240" w:lineRule="auto"/>
        <w:outlineLvl w:val="2"/>
        <w:rPr>
          <w:rFonts w:ascii="Times New Roman" w:eastAsia="Times New Roman" w:hAnsi="Times New Roman" w:cs="Times New Roman"/>
          <w:b/>
          <w:bCs/>
          <w:sz w:val="27"/>
          <w:szCs w:val="27"/>
        </w:rPr>
      </w:pPr>
      <w:r w:rsidRPr="00983258">
        <w:rPr>
          <w:rFonts w:ascii="Times New Roman" w:eastAsia="Times New Roman" w:hAnsi="Times New Roman" w:cs="Times New Roman"/>
          <w:b/>
          <w:bCs/>
          <w:sz w:val="27"/>
          <w:szCs w:val="27"/>
        </w:rPr>
        <w:t>6.5 Tier 5: Tourism Reassurance Program</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The economic toll of COVID-19 on tourism was devastating, with international arrivals in Europe dropping by over 70% in 2020 (OECD, 2020). To regain public trust and revive the </w:t>
      </w:r>
      <w:r w:rsidRPr="00983258">
        <w:rPr>
          <w:rFonts w:ascii="Times New Roman" w:eastAsia="Times New Roman" w:hAnsi="Times New Roman" w:cs="Times New Roman"/>
          <w:sz w:val="24"/>
          <w:szCs w:val="24"/>
        </w:rPr>
        <w:lastRenderedPageBreak/>
        <w:t xml:space="preserve">tourism economy, the EU must launch a continent-wide </w:t>
      </w:r>
      <w:r w:rsidRPr="00983258">
        <w:rPr>
          <w:rFonts w:ascii="Times New Roman" w:eastAsia="Times New Roman" w:hAnsi="Times New Roman" w:cs="Times New Roman"/>
          <w:b/>
          <w:bCs/>
          <w:sz w:val="24"/>
          <w:szCs w:val="24"/>
        </w:rPr>
        <w:t>Tourism Reassurance Program</w:t>
      </w:r>
      <w:r w:rsidRPr="00983258">
        <w:rPr>
          <w:rFonts w:ascii="Times New Roman" w:eastAsia="Times New Roman" w:hAnsi="Times New Roman" w:cs="Times New Roman"/>
          <w:sz w:val="24"/>
          <w:szCs w:val="24"/>
        </w:rPr>
        <w:t>, starting with the introduction of an “EU Health-Safe Destination” certification scheme. This program would provide standards for hygiene, emergency preparedness, ventilation systems, and staff training, evaluated through regular audits by national tourism authorities.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This certification would serve multiple purposes: ensuring safety, increasing tourist confidence, and incentivizing compliance among hospitality businesses. It would be modeled on successful national programs like Portugal’s “Clean &amp; Safe” label but expanded across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nations with EU backing and promotion. Greer et al. (2021) argue that institutional trust, reinforced by visible symbols of compliance, is essential for tourism recovery. The label could be displayed digitally and physically, making it easier for travelers to make informed choices.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Complementing certification, the EU should fund a pan-European media campaign to promote certified destinations and emphasize the collective safety framework. Such campaigns, rooted in scientific legitimacy and emotional reassurance, can rebuild Europe’s image as a safe and welcoming travel destination. </w:t>
      </w:r>
      <w:proofErr w:type="spellStart"/>
      <w:r w:rsidRPr="00983258">
        <w:rPr>
          <w:rFonts w:ascii="Times New Roman" w:eastAsia="Times New Roman" w:hAnsi="Times New Roman" w:cs="Times New Roman"/>
          <w:sz w:val="24"/>
          <w:szCs w:val="24"/>
        </w:rPr>
        <w:t>Gstrein</w:t>
      </w:r>
      <w:proofErr w:type="spellEnd"/>
      <w:r w:rsidRPr="00983258">
        <w:rPr>
          <w:rFonts w:ascii="Times New Roman" w:eastAsia="Times New Roman" w:hAnsi="Times New Roman" w:cs="Times New Roman"/>
          <w:sz w:val="24"/>
          <w:szCs w:val="24"/>
        </w:rPr>
        <w:t xml:space="preserve"> (2021) and Santos &amp; </w:t>
      </w:r>
      <w:proofErr w:type="spellStart"/>
      <w:r w:rsidRPr="00983258">
        <w:rPr>
          <w:rFonts w:ascii="Times New Roman" w:eastAsia="Times New Roman" w:hAnsi="Times New Roman" w:cs="Times New Roman"/>
          <w:sz w:val="24"/>
          <w:szCs w:val="24"/>
        </w:rPr>
        <w:t>da</w:t>
      </w:r>
      <w:proofErr w:type="spellEnd"/>
      <w:r w:rsidRPr="00983258">
        <w:rPr>
          <w:rFonts w:ascii="Times New Roman" w:eastAsia="Times New Roman" w:hAnsi="Times New Roman" w:cs="Times New Roman"/>
          <w:sz w:val="24"/>
          <w:szCs w:val="24"/>
        </w:rPr>
        <w:t xml:space="preserve"> Silva (2020) highlight that crisis recovery in tourism must be as much about perception and public emotion as it is about technical preparedness. The Reassurance Program offers a path forward that is both structured and sensitive to human needs.</w:t>
      </w:r>
    </w:p>
    <w:p w:rsidR="00983258" w:rsidRDefault="00983258" w:rsidP="00983258">
      <w:pPr>
        <w:spacing w:before="100" w:beforeAutospacing="1" w:after="100" w:afterAutospacing="1" w:line="240" w:lineRule="auto"/>
        <w:outlineLvl w:val="1"/>
        <w:rPr>
          <w:rFonts w:ascii="Times New Roman" w:eastAsia="Times New Roman" w:hAnsi="Times New Roman" w:cs="Times New Roman"/>
          <w:sz w:val="24"/>
          <w:szCs w:val="24"/>
        </w:rPr>
      </w:pPr>
    </w:p>
    <w:p w:rsidR="00983258" w:rsidRPr="00983258" w:rsidRDefault="00983258" w:rsidP="00983258">
      <w:pPr>
        <w:spacing w:before="100" w:beforeAutospacing="1" w:after="100" w:afterAutospacing="1" w:line="240" w:lineRule="auto"/>
        <w:outlineLvl w:val="1"/>
        <w:rPr>
          <w:rFonts w:ascii="Times New Roman" w:eastAsia="Times New Roman" w:hAnsi="Times New Roman" w:cs="Times New Roman"/>
          <w:b/>
          <w:bCs/>
          <w:sz w:val="36"/>
          <w:szCs w:val="36"/>
        </w:rPr>
      </w:pPr>
      <w:r w:rsidRPr="00983258">
        <w:rPr>
          <w:rFonts w:ascii="Times New Roman" w:eastAsia="Times New Roman" w:hAnsi="Times New Roman" w:cs="Times New Roman"/>
          <w:b/>
          <w:bCs/>
          <w:sz w:val="36"/>
          <w:szCs w:val="36"/>
        </w:rPr>
        <w:t>7. Conclusion</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The COVID-19 pandemic unmasked the critical flaws in the European Union’s health crisis governance, particularly within the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Area where tourism thrives on seamless mobility. The abrupt </w:t>
      </w:r>
      <w:proofErr w:type="spellStart"/>
      <w:r w:rsidRPr="00983258">
        <w:rPr>
          <w:rFonts w:ascii="Times New Roman" w:eastAsia="Times New Roman" w:hAnsi="Times New Roman" w:cs="Times New Roman"/>
          <w:sz w:val="24"/>
          <w:szCs w:val="24"/>
        </w:rPr>
        <w:t>reimposition</w:t>
      </w:r>
      <w:proofErr w:type="spellEnd"/>
      <w:r w:rsidRPr="00983258">
        <w:rPr>
          <w:rFonts w:ascii="Times New Roman" w:eastAsia="Times New Roman" w:hAnsi="Times New Roman" w:cs="Times New Roman"/>
          <w:sz w:val="24"/>
          <w:szCs w:val="24"/>
        </w:rPr>
        <w:t xml:space="preserve"> of borders, inconsistent health policies, and uncoordinated travel restrictions led to both economic dislocation and public confusion. The crisis demonstrated that while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is legally and economically integrated, it lacks operational resilience in the face of health emergencies. This paper argues that a unified, multi-tiered framework is essential to prevent the recurrence of such fragmented responses and to protect the region’s tourism backbone.</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The proposed five-tier framework begins with the creation of a unified surveillance system, which is not only feasible but urgently necessary. Without real-time data sharing and interoperable tracing apps, the EU is left blind to early warning signs of cross-border health threats. Investing in digital infrastructure and empowering the ECDC to manage this system would allow for more accurate threat modeling, timely responses, and evidence-based policymaking. Such systems must also be backed by strong privacy guarantees to retain public trust and engagement.</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Legal harmonization, the second tier, is arguably the most challenging but also the most transformative. The pandemic exposed the legal fragmentation that hindered coordination, and unless addressed through an enforceable EU Health Emergency Charter, future crises will result in similar chaos. Temporarily superseding national legal frameworks during pandemics ensures consistent border management, quarantine enforcement, and testing strategies, ultimately saving </w:t>
      </w:r>
      <w:r w:rsidRPr="00983258">
        <w:rPr>
          <w:rFonts w:ascii="Times New Roman" w:eastAsia="Times New Roman" w:hAnsi="Times New Roman" w:cs="Times New Roman"/>
          <w:sz w:val="24"/>
          <w:szCs w:val="24"/>
        </w:rPr>
        <w:lastRenderedPageBreak/>
        <w:t>lives and reducing economic losses. Legal unity should not be mistaken for loss of sovereignty—it is, instead, the sharing of responsibility in times of collective peril.</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proofErr w:type="gramStart"/>
      <w:r w:rsidRPr="00983258">
        <w:rPr>
          <w:rFonts w:ascii="Times New Roman" w:eastAsia="Times New Roman" w:hAnsi="Times New Roman" w:cs="Times New Roman"/>
          <w:sz w:val="24"/>
          <w:szCs w:val="24"/>
        </w:rPr>
        <w:t>Risk zoning, the third tier, serves as a critical middle ground between total lockdowns and unrestricted movement.</w:t>
      </w:r>
      <w:proofErr w:type="gramEnd"/>
      <w:r w:rsidRPr="00983258">
        <w:rPr>
          <w:rFonts w:ascii="Times New Roman" w:eastAsia="Times New Roman" w:hAnsi="Times New Roman" w:cs="Times New Roman"/>
          <w:sz w:val="24"/>
          <w:szCs w:val="24"/>
        </w:rPr>
        <w:t xml:space="preserve"> Standardized Green–Orange–Red classifications allow member states to adjust travel restrictions based on shared epidemiological indicators. This system creates predictability, supports safe mobility, and allows tourism economies to operate in low-risk zones. Dynamic zoning can be calibrated weekly using centralized data, ensuring a balance between flexibility and consistency. This approach respects public health while minimizing disruption to economic activity.</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The fourth tier, a centralized crisis communication portal, is not merely a logistical tool but a foundation of public trust. During COVID-19, the absence of a common voice led to rampant misinformation and public anxiety. A multilingual, constantly updated portal—linked to all member state advisories—would provide clarity and empower citizens and travelers to make informed decisions. Unified communication also reduces policy resistance and enhances the legitimacy of public health measures, which is crucial in democratic societies.</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The final tier addresses the urgent need for tourism recovery. The EU Health-Safe Destination certification, backed by a coordinated reassurance campaign, would elevate confidence among domestic and international tourists. Tourism is more than leisure—it is culture, livelihood, and diplomacy. Promoting safety and professionalism through structured certification would set global benchmarks for post-crisis tourism recovery. It also creates incentives for compliance and innovation within the hospitality industry.</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Together, these five tiers do not function in isolation—they are mutually reinforcing. Surveillance informs zoning; legal harmonization enables cross-border enforcement; communication drives compliance; and tourism recovery ensures long-term sustainability. When integrated, they represent a proactive, science-based, and inclusive model for managing future health threats. This framework is grounded in lessons from the COVID-19 crisis and adapted to the unique needs of the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tourism ecosystem.</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It is essential to emphasize that this framework aligns with international mandates such as the WHO’s International Health Regulations and the EU Health Security Framework. It does not reinvent global health governance but localizes and </w:t>
      </w:r>
      <w:proofErr w:type="spellStart"/>
      <w:r w:rsidRPr="00983258">
        <w:rPr>
          <w:rFonts w:ascii="Times New Roman" w:eastAsia="Times New Roman" w:hAnsi="Times New Roman" w:cs="Times New Roman"/>
          <w:sz w:val="24"/>
          <w:szCs w:val="24"/>
        </w:rPr>
        <w:t>operationalizes</w:t>
      </w:r>
      <w:proofErr w:type="spellEnd"/>
      <w:r w:rsidRPr="00983258">
        <w:rPr>
          <w:rFonts w:ascii="Times New Roman" w:eastAsia="Times New Roman" w:hAnsi="Times New Roman" w:cs="Times New Roman"/>
          <w:sz w:val="24"/>
          <w:szCs w:val="24"/>
        </w:rPr>
        <w:t xml:space="preserve"> it for the EU context. Aligning local action with global standards ensures consistency, avoids duplication, and enhances international credibility. The framework is, therefore, both regionally relevant and globally responsible.</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Challenges remain, particularly in terms of political will, funding, and legal negotiation. However, the cost of inaction is far greater. Another pandemic will come—whether from a novel virus, antimicrobial resistance, or environmental disaster. The choice is not between over-preparedness and chaos; it is between institutional foresight and reactive crisis management. The EU must act now, not only to protect lives but also to secure its reputation as a global leader in resilience and cooperation.</w:t>
      </w:r>
    </w:p>
    <w:p w:rsidR="00983258" w:rsidRPr="00983258" w:rsidRDefault="00983258" w:rsidP="00983258">
      <w:p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lastRenderedPageBreak/>
        <w:t xml:space="preserve">In conclusion, the five-tier strategic health crisis management framework offers a practical, inclusive, and forward-looking response to the vulnerabilities exposed by COVID-19. It bridges the gap between health governance and economic sustainability, particularly in the vital sector of tourism. By embedding this model within EU institutions and treaties, the </w:t>
      </w:r>
      <w:proofErr w:type="spellStart"/>
      <w:r w:rsidRPr="00983258">
        <w:rPr>
          <w:rFonts w:ascii="Times New Roman" w:eastAsia="Times New Roman" w:hAnsi="Times New Roman" w:cs="Times New Roman"/>
          <w:sz w:val="24"/>
          <w:szCs w:val="24"/>
        </w:rPr>
        <w:t>Schengen</w:t>
      </w:r>
      <w:proofErr w:type="spellEnd"/>
      <w:r w:rsidRPr="00983258">
        <w:rPr>
          <w:rFonts w:ascii="Times New Roman" w:eastAsia="Times New Roman" w:hAnsi="Times New Roman" w:cs="Times New Roman"/>
          <w:sz w:val="24"/>
          <w:szCs w:val="24"/>
        </w:rPr>
        <w:t xml:space="preserve"> Area can transform from a zone of fragmented responses to a beacon of coordinated resilience in the face of future health emergencies.</w:t>
      </w:r>
    </w:p>
    <w:p w:rsidR="00983258" w:rsidRPr="00983258" w:rsidRDefault="00983258" w:rsidP="00983258">
      <w:pPr>
        <w:spacing w:after="0" w:line="240" w:lineRule="auto"/>
        <w:rPr>
          <w:rFonts w:ascii="Times New Roman" w:eastAsia="Times New Roman" w:hAnsi="Times New Roman" w:cs="Times New Roman"/>
          <w:sz w:val="24"/>
          <w:szCs w:val="24"/>
        </w:rPr>
      </w:pPr>
    </w:p>
    <w:p w:rsidR="00983258" w:rsidRPr="00983258" w:rsidRDefault="00983258" w:rsidP="00983258">
      <w:pPr>
        <w:spacing w:before="100" w:beforeAutospacing="1" w:after="100" w:afterAutospacing="1" w:line="240" w:lineRule="auto"/>
        <w:outlineLvl w:val="1"/>
        <w:rPr>
          <w:rFonts w:ascii="Times New Roman" w:eastAsia="Times New Roman" w:hAnsi="Times New Roman" w:cs="Times New Roman"/>
          <w:b/>
          <w:bCs/>
          <w:sz w:val="36"/>
          <w:szCs w:val="36"/>
        </w:rPr>
      </w:pPr>
      <w:r w:rsidRPr="00983258">
        <w:rPr>
          <w:rFonts w:ascii="Times New Roman" w:eastAsia="Times New Roman" w:hAnsi="Times New Roman" w:cs="Times New Roman"/>
          <w:b/>
          <w:bCs/>
          <w:sz w:val="36"/>
          <w:szCs w:val="36"/>
        </w:rPr>
        <w:t>References</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Brooks, E., &amp; Carter, C. (2021). EU public health after COVID-19. </w:t>
      </w:r>
      <w:r w:rsidRPr="00983258">
        <w:rPr>
          <w:rFonts w:ascii="Times New Roman" w:eastAsia="Times New Roman" w:hAnsi="Times New Roman" w:cs="Times New Roman"/>
          <w:i/>
          <w:iCs/>
          <w:sz w:val="24"/>
          <w:szCs w:val="24"/>
        </w:rPr>
        <w:t>Journal of European Integration Studies</w:t>
      </w:r>
      <w:r w:rsidRPr="00983258">
        <w:rPr>
          <w:rFonts w:ascii="Times New Roman" w:eastAsia="Times New Roman" w:hAnsi="Times New Roman" w:cs="Times New Roman"/>
          <w:sz w:val="24"/>
          <w:szCs w:val="24"/>
        </w:rPr>
        <w:t>.</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proofErr w:type="spellStart"/>
      <w:r w:rsidRPr="00983258">
        <w:rPr>
          <w:rFonts w:ascii="Times New Roman" w:eastAsia="Times New Roman" w:hAnsi="Times New Roman" w:cs="Times New Roman"/>
          <w:sz w:val="24"/>
          <w:szCs w:val="24"/>
        </w:rPr>
        <w:t>Fidler</w:t>
      </w:r>
      <w:proofErr w:type="spellEnd"/>
      <w:r w:rsidRPr="00983258">
        <w:rPr>
          <w:rFonts w:ascii="Times New Roman" w:eastAsia="Times New Roman" w:hAnsi="Times New Roman" w:cs="Times New Roman"/>
          <w:sz w:val="24"/>
          <w:szCs w:val="24"/>
        </w:rPr>
        <w:t xml:space="preserve">, D. (2019). </w:t>
      </w:r>
      <w:r w:rsidRPr="00983258">
        <w:rPr>
          <w:rFonts w:ascii="Times New Roman" w:eastAsia="Times New Roman" w:hAnsi="Times New Roman" w:cs="Times New Roman"/>
          <w:i/>
          <w:iCs/>
          <w:sz w:val="24"/>
          <w:szCs w:val="24"/>
        </w:rPr>
        <w:t>Global Health Governance and the WHO Framework</w:t>
      </w:r>
      <w:r w:rsidRPr="00983258">
        <w:rPr>
          <w:rFonts w:ascii="Times New Roman" w:eastAsia="Times New Roman" w:hAnsi="Times New Roman" w:cs="Times New Roman"/>
          <w:sz w:val="24"/>
          <w:szCs w:val="24"/>
        </w:rPr>
        <w:t>. Oxford University Press.</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Greer, S. L., King, E. J., &amp; Fonseca, E. (2020). The comparative politics of COVID-19: A review. </w:t>
      </w:r>
      <w:r w:rsidRPr="00983258">
        <w:rPr>
          <w:rFonts w:ascii="Times New Roman" w:eastAsia="Times New Roman" w:hAnsi="Times New Roman" w:cs="Times New Roman"/>
          <w:i/>
          <w:iCs/>
          <w:sz w:val="24"/>
          <w:szCs w:val="24"/>
        </w:rPr>
        <w:t>Health Policy and Planning</w:t>
      </w:r>
      <w:r w:rsidRPr="00983258">
        <w:rPr>
          <w:rFonts w:ascii="Times New Roman" w:eastAsia="Times New Roman" w:hAnsi="Times New Roman" w:cs="Times New Roman"/>
          <w:sz w:val="24"/>
          <w:szCs w:val="24"/>
        </w:rPr>
        <w:t>, 35(9), 1239–1246.</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proofErr w:type="spellStart"/>
      <w:r w:rsidRPr="00983258">
        <w:rPr>
          <w:rFonts w:ascii="Times New Roman" w:eastAsia="Times New Roman" w:hAnsi="Times New Roman" w:cs="Times New Roman"/>
          <w:sz w:val="24"/>
          <w:szCs w:val="24"/>
        </w:rPr>
        <w:t>Gstrein</w:t>
      </w:r>
      <w:proofErr w:type="spellEnd"/>
      <w:r w:rsidRPr="00983258">
        <w:rPr>
          <w:rFonts w:ascii="Times New Roman" w:eastAsia="Times New Roman" w:hAnsi="Times New Roman" w:cs="Times New Roman"/>
          <w:sz w:val="24"/>
          <w:szCs w:val="24"/>
        </w:rPr>
        <w:t xml:space="preserve">, O. J. (2021). Digital surveillance and human rights: The European response to COVID-19. </w:t>
      </w:r>
      <w:r w:rsidRPr="00983258">
        <w:rPr>
          <w:rFonts w:ascii="Times New Roman" w:eastAsia="Times New Roman" w:hAnsi="Times New Roman" w:cs="Times New Roman"/>
          <w:i/>
          <w:iCs/>
          <w:sz w:val="24"/>
          <w:szCs w:val="24"/>
        </w:rPr>
        <w:t>European Journal of Risk Regulation</w:t>
      </w:r>
      <w:r w:rsidRPr="00983258">
        <w:rPr>
          <w:rFonts w:ascii="Times New Roman" w:eastAsia="Times New Roman" w:hAnsi="Times New Roman" w:cs="Times New Roman"/>
          <w:sz w:val="24"/>
          <w:szCs w:val="24"/>
        </w:rPr>
        <w:t>, 12(2), 345–366.</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OECD (2020). </w:t>
      </w:r>
      <w:r w:rsidRPr="00983258">
        <w:rPr>
          <w:rFonts w:ascii="Times New Roman" w:eastAsia="Times New Roman" w:hAnsi="Times New Roman" w:cs="Times New Roman"/>
          <w:i/>
          <w:iCs/>
          <w:sz w:val="24"/>
          <w:szCs w:val="24"/>
        </w:rPr>
        <w:t>Tourism Policy Responses to COVID-19</w:t>
      </w:r>
      <w:r w:rsidRPr="00983258">
        <w:rPr>
          <w:rFonts w:ascii="Times New Roman" w:eastAsia="Times New Roman" w:hAnsi="Times New Roman" w:cs="Times New Roman"/>
          <w:sz w:val="24"/>
          <w:szCs w:val="24"/>
        </w:rPr>
        <w:t>. OECD Publishing.</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Santos, R., &amp; </w:t>
      </w:r>
      <w:proofErr w:type="spellStart"/>
      <w:r w:rsidRPr="00983258">
        <w:rPr>
          <w:rFonts w:ascii="Times New Roman" w:eastAsia="Times New Roman" w:hAnsi="Times New Roman" w:cs="Times New Roman"/>
          <w:sz w:val="24"/>
          <w:szCs w:val="24"/>
        </w:rPr>
        <w:t>da</w:t>
      </w:r>
      <w:proofErr w:type="spellEnd"/>
      <w:r w:rsidRPr="00983258">
        <w:rPr>
          <w:rFonts w:ascii="Times New Roman" w:eastAsia="Times New Roman" w:hAnsi="Times New Roman" w:cs="Times New Roman"/>
          <w:sz w:val="24"/>
          <w:szCs w:val="24"/>
        </w:rPr>
        <w:t xml:space="preserve"> Silva, M. (2020). Legal preparedness in pandemic response: Lessons from COVID-19. </w:t>
      </w:r>
      <w:r w:rsidRPr="00983258">
        <w:rPr>
          <w:rFonts w:ascii="Times New Roman" w:eastAsia="Times New Roman" w:hAnsi="Times New Roman" w:cs="Times New Roman"/>
          <w:i/>
          <w:iCs/>
          <w:sz w:val="24"/>
          <w:szCs w:val="24"/>
        </w:rPr>
        <w:t>European Law Review</w:t>
      </w:r>
      <w:r w:rsidRPr="00983258">
        <w:rPr>
          <w:rFonts w:ascii="Times New Roman" w:eastAsia="Times New Roman" w:hAnsi="Times New Roman" w:cs="Times New Roman"/>
          <w:sz w:val="24"/>
          <w:szCs w:val="24"/>
        </w:rPr>
        <w:t>.</w:t>
      </w:r>
    </w:p>
    <w:p w:rsidR="00983258" w:rsidRPr="00983258" w:rsidRDefault="00983258" w:rsidP="00983258">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983258">
        <w:rPr>
          <w:rFonts w:ascii="Times New Roman" w:eastAsia="Times New Roman" w:hAnsi="Times New Roman" w:cs="Times New Roman"/>
          <w:sz w:val="24"/>
          <w:szCs w:val="24"/>
        </w:rPr>
        <w:t xml:space="preserve">WHO (2005). </w:t>
      </w:r>
      <w:r w:rsidRPr="00983258">
        <w:rPr>
          <w:rFonts w:ascii="Times New Roman" w:eastAsia="Times New Roman" w:hAnsi="Times New Roman" w:cs="Times New Roman"/>
          <w:i/>
          <w:iCs/>
          <w:sz w:val="24"/>
          <w:szCs w:val="24"/>
        </w:rPr>
        <w:t>International Health Regulations</w:t>
      </w:r>
      <w:r w:rsidRPr="00983258">
        <w:rPr>
          <w:rFonts w:ascii="Times New Roman" w:eastAsia="Times New Roman" w:hAnsi="Times New Roman" w:cs="Times New Roman"/>
          <w:sz w:val="24"/>
          <w:szCs w:val="24"/>
        </w:rPr>
        <w:t>. World Health Organization.</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 xml:space="preserve">Brooks, R., &amp; Carter, H. (2021). Health governance and the EU’s response to COVID-19. </w:t>
      </w:r>
      <w:r w:rsidRPr="00F33B77">
        <w:rPr>
          <w:rFonts w:ascii="Times New Roman" w:eastAsia="Times New Roman" w:hAnsi="Times New Roman" w:cs="Times New Roman"/>
          <w:i/>
          <w:iCs/>
          <w:sz w:val="24"/>
          <w:szCs w:val="24"/>
        </w:rPr>
        <w:t>Journal of European Public Health</w:t>
      </w:r>
      <w:r w:rsidRPr="00F33B77">
        <w:rPr>
          <w:rFonts w:ascii="Times New Roman" w:eastAsia="Times New Roman" w:hAnsi="Times New Roman" w:cs="Times New Roman"/>
          <w:sz w:val="24"/>
          <w:szCs w:val="24"/>
        </w:rPr>
        <w:t>, 29(5), 723–735.</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European Commission. (2021). Travel and COVID-19: EU Response Timeline. Brussels: DG SANTE.</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proofErr w:type="spellStart"/>
      <w:r w:rsidRPr="00F33B77">
        <w:rPr>
          <w:rFonts w:ascii="Times New Roman" w:eastAsia="Times New Roman" w:hAnsi="Times New Roman" w:cs="Times New Roman"/>
          <w:sz w:val="24"/>
          <w:szCs w:val="24"/>
        </w:rPr>
        <w:t>Eurostat</w:t>
      </w:r>
      <w:proofErr w:type="spellEnd"/>
      <w:r w:rsidRPr="00F33B77">
        <w:rPr>
          <w:rFonts w:ascii="Times New Roman" w:eastAsia="Times New Roman" w:hAnsi="Times New Roman" w:cs="Times New Roman"/>
          <w:sz w:val="24"/>
          <w:szCs w:val="24"/>
        </w:rPr>
        <w:t xml:space="preserve">. (2021). Tourism statistics: Impact of COVID-19 on tourism. Luxembourg: </w:t>
      </w:r>
      <w:proofErr w:type="spellStart"/>
      <w:r w:rsidRPr="00F33B77">
        <w:rPr>
          <w:rFonts w:ascii="Times New Roman" w:eastAsia="Times New Roman" w:hAnsi="Times New Roman" w:cs="Times New Roman"/>
          <w:sz w:val="24"/>
          <w:szCs w:val="24"/>
        </w:rPr>
        <w:t>Eurostat</w:t>
      </w:r>
      <w:proofErr w:type="spellEnd"/>
      <w:r w:rsidRPr="00F33B77">
        <w:rPr>
          <w:rFonts w:ascii="Times New Roman" w:eastAsia="Times New Roman" w:hAnsi="Times New Roman" w:cs="Times New Roman"/>
          <w:sz w:val="24"/>
          <w:szCs w:val="24"/>
        </w:rPr>
        <w:t xml:space="preserve"> Publications.</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proofErr w:type="spellStart"/>
      <w:r w:rsidRPr="00F33B77">
        <w:rPr>
          <w:rFonts w:ascii="Times New Roman" w:eastAsia="Times New Roman" w:hAnsi="Times New Roman" w:cs="Times New Roman"/>
          <w:sz w:val="24"/>
          <w:szCs w:val="24"/>
        </w:rPr>
        <w:t>Fidler</w:t>
      </w:r>
      <w:proofErr w:type="spellEnd"/>
      <w:r w:rsidRPr="00F33B77">
        <w:rPr>
          <w:rFonts w:ascii="Times New Roman" w:eastAsia="Times New Roman" w:hAnsi="Times New Roman" w:cs="Times New Roman"/>
          <w:sz w:val="24"/>
          <w:szCs w:val="24"/>
        </w:rPr>
        <w:t xml:space="preserve">, D. (2019). Challenges of IHR implementation in the EU. </w:t>
      </w:r>
      <w:r w:rsidRPr="00F33B77">
        <w:rPr>
          <w:rFonts w:ascii="Times New Roman" w:eastAsia="Times New Roman" w:hAnsi="Times New Roman" w:cs="Times New Roman"/>
          <w:i/>
          <w:iCs/>
          <w:sz w:val="24"/>
          <w:szCs w:val="24"/>
        </w:rPr>
        <w:t>Global Health Law Journal</w:t>
      </w:r>
      <w:r w:rsidRPr="00F33B77">
        <w:rPr>
          <w:rFonts w:ascii="Times New Roman" w:eastAsia="Times New Roman" w:hAnsi="Times New Roman" w:cs="Times New Roman"/>
          <w:sz w:val="24"/>
          <w:szCs w:val="24"/>
        </w:rPr>
        <w:t>, 11(2), 115–129.</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 xml:space="preserve">Greer, S. L., et al. (2020). Crisis and coordination in EU health governance. </w:t>
      </w:r>
      <w:r w:rsidRPr="00F33B77">
        <w:rPr>
          <w:rFonts w:ascii="Times New Roman" w:eastAsia="Times New Roman" w:hAnsi="Times New Roman" w:cs="Times New Roman"/>
          <w:i/>
          <w:iCs/>
          <w:sz w:val="24"/>
          <w:szCs w:val="24"/>
        </w:rPr>
        <w:t>Comparative Politics Review</w:t>
      </w:r>
      <w:r w:rsidRPr="00F33B77">
        <w:rPr>
          <w:rFonts w:ascii="Times New Roman" w:eastAsia="Times New Roman" w:hAnsi="Times New Roman" w:cs="Times New Roman"/>
          <w:sz w:val="24"/>
          <w:szCs w:val="24"/>
        </w:rPr>
        <w:t>, 48(3), 331–350.</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proofErr w:type="spellStart"/>
      <w:r w:rsidRPr="00F33B77">
        <w:rPr>
          <w:rFonts w:ascii="Times New Roman" w:eastAsia="Times New Roman" w:hAnsi="Times New Roman" w:cs="Times New Roman"/>
          <w:sz w:val="24"/>
          <w:szCs w:val="24"/>
        </w:rPr>
        <w:t>Gstrein</w:t>
      </w:r>
      <w:proofErr w:type="spellEnd"/>
      <w:r w:rsidRPr="00F33B77">
        <w:rPr>
          <w:rFonts w:ascii="Times New Roman" w:eastAsia="Times New Roman" w:hAnsi="Times New Roman" w:cs="Times New Roman"/>
          <w:sz w:val="24"/>
          <w:szCs w:val="24"/>
        </w:rPr>
        <w:t xml:space="preserve">, O. (2021). Pandemic surveillance, privacy, and EU legal frameworks. </w:t>
      </w:r>
      <w:r w:rsidRPr="00F33B77">
        <w:rPr>
          <w:rFonts w:ascii="Times New Roman" w:eastAsia="Times New Roman" w:hAnsi="Times New Roman" w:cs="Times New Roman"/>
          <w:i/>
          <w:iCs/>
          <w:sz w:val="24"/>
          <w:szCs w:val="24"/>
        </w:rPr>
        <w:t>European Journal of Law and Technology</w:t>
      </w:r>
      <w:r w:rsidRPr="00F33B77">
        <w:rPr>
          <w:rFonts w:ascii="Times New Roman" w:eastAsia="Times New Roman" w:hAnsi="Times New Roman" w:cs="Times New Roman"/>
          <w:sz w:val="24"/>
          <w:szCs w:val="24"/>
        </w:rPr>
        <w:t>, 12(2), 133–147.</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OECD. (2020). Pandemic zoning strategies: Global case studies. Paris: OECD.</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 xml:space="preserve">Santos, M., &amp; </w:t>
      </w:r>
      <w:proofErr w:type="spellStart"/>
      <w:r w:rsidRPr="00F33B77">
        <w:rPr>
          <w:rFonts w:ascii="Times New Roman" w:eastAsia="Times New Roman" w:hAnsi="Times New Roman" w:cs="Times New Roman"/>
          <w:sz w:val="24"/>
          <w:szCs w:val="24"/>
        </w:rPr>
        <w:t>da</w:t>
      </w:r>
      <w:proofErr w:type="spellEnd"/>
      <w:r w:rsidRPr="00F33B77">
        <w:rPr>
          <w:rFonts w:ascii="Times New Roman" w:eastAsia="Times New Roman" w:hAnsi="Times New Roman" w:cs="Times New Roman"/>
          <w:sz w:val="24"/>
          <w:szCs w:val="24"/>
        </w:rPr>
        <w:t xml:space="preserve"> Silva, T. (2020). Legal frameworks and border health crises. </w:t>
      </w:r>
      <w:r w:rsidRPr="00F33B77">
        <w:rPr>
          <w:rFonts w:ascii="Times New Roman" w:eastAsia="Times New Roman" w:hAnsi="Times New Roman" w:cs="Times New Roman"/>
          <w:i/>
          <w:iCs/>
          <w:sz w:val="24"/>
          <w:szCs w:val="24"/>
        </w:rPr>
        <w:t>European Journal of Legal Studies</w:t>
      </w:r>
      <w:r w:rsidRPr="00F33B77">
        <w:rPr>
          <w:rFonts w:ascii="Times New Roman" w:eastAsia="Times New Roman" w:hAnsi="Times New Roman" w:cs="Times New Roman"/>
          <w:sz w:val="24"/>
          <w:szCs w:val="24"/>
        </w:rPr>
        <w:t>, 9(1), 22–41.</w:t>
      </w:r>
    </w:p>
    <w:p w:rsidR="00F33B77" w:rsidRPr="00F33B77" w:rsidRDefault="00F33B77" w:rsidP="00F33B77">
      <w:pPr>
        <w:numPr>
          <w:ilvl w:val="0"/>
          <w:numId w:val="21"/>
        </w:numPr>
        <w:spacing w:before="100" w:beforeAutospacing="1" w:after="100" w:afterAutospacing="1" w:line="240" w:lineRule="auto"/>
        <w:rPr>
          <w:rFonts w:ascii="Times New Roman" w:eastAsia="Times New Roman" w:hAnsi="Times New Roman" w:cs="Times New Roman"/>
          <w:sz w:val="24"/>
          <w:szCs w:val="24"/>
        </w:rPr>
      </w:pPr>
      <w:proofErr w:type="spellStart"/>
      <w:r w:rsidRPr="00F33B77">
        <w:rPr>
          <w:rFonts w:ascii="Times New Roman" w:eastAsia="Times New Roman" w:hAnsi="Times New Roman" w:cs="Times New Roman"/>
          <w:sz w:val="24"/>
          <w:szCs w:val="24"/>
        </w:rPr>
        <w:t>Thiel</w:t>
      </w:r>
      <w:proofErr w:type="spellEnd"/>
      <w:r w:rsidRPr="00F33B77">
        <w:rPr>
          <w:rFonts w:ascii="Times New Roman" w:eastAsia="Times New Roman" w:hAnsi="Times New Roman" w:cs="Times New Roman"/>
          <w:sz w:val="24"/>
          <w:szCs w:val="24"/>
        </w:rPr>
        <w:t xml:space="preserve">, M. (2021). Cross-border health governance failures in the EU. </w:t>
      </w:r>
      <w:r w:rsidRPr="00F33B77">
        <w:rPr>
          <w:rFonts w:ascii="Times New Roman" w:eastAsia="Times New Roman" w:hAnsi="Times New Roman" w:cs="Times New Roman"/>
          <w:i/>
          <w:iCs/>
          <w:sz w:val="24"/>
          <w:szCs w:val="24"/>
        </w:rPr>
        <w:t>Public Administration in Europe</w:t>
      </w:r>
      <w:r w:rsidRPr="00F33B77">
        <w:rPr>
          <w:rFonts w:ascii="Times New Roman" w:eastAsia="Times New Roman" w:hAnsi="Times New Roman" w:cs="Times New Roman"/>
          <w:sz w:val="24"/>
          <w:szCs w:val="24"/>
        </w:rPr>
        <w:t>, 37(1), 85–104.</w:t>
      </w:r>
    </w:p>
    <w:p w:rsidR="00F33B77" w:rsidRDefault="00F33B77" w:rsidP="00D26592">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F33B77">
        <w:rPr>
          <w:rFonts w:ascii="Times New Roman" w:eastAsia="Times New Roman" w:hAnsi="Times New Roman" w:cs="Times New Roman"/>
          <w:sz w:val="24"/>
          <w:szCs w:val="24"/>
        </w:rPr>
        <w:t xml:space="preserve">WHO. (2005). </w:t>
      </w:r>
      <w:r w:rsidRPr="00F33B77">
        <w:rPr>
          <w:rFonts w:ascii="Times New Roman" w:eastAsia="Times New Roman" w:hAnsi="Times New Roman" w:cs="Times New Roman"/>
          <w:i/>
          <w:iCs/>
          <w:sz w:val="24"/>
          <w:szCs w:val="24"/>
        </w:rPr>
        <w:t>International Health Regulations (IHR)</w:t>
      </w:r>
      <w:r w:rsidRPr="00F33B77">
        <w:rPr>
          <w:rFonts w:ascii="Times New Roman" w:eastAsia="Times New Roman" w:hAnsi="Times New Roman" w:cs="Times New Roman"/>
          <w:sz w:val="24"/>
          <w:szCs w:val="24"/>
        </w:rPr>
        <w:t>. Geneva: World Health Organization.</w:t>
      </w:r>
    </w:p>
    <w:p w:rsidR="00D013B9" w:rsidRDefault="00D013B9" w:rsidP="00D013B9">
      <w:pPr>
        <w:pStyle w:val="NormalWeb"/>
        <w:numPr>
          <w:ilvl w:val="0"/>
          <w:numId w:val="21"/>
        </w:numPr>
      </w:pPr>
      <w:r>
        <w:t xml:space="preserve">Brooks, E., &amp; Carter, C. (2021). EU public health after COVID-19. </w:t>
      </w:r>
      <w:r>
        <w:rPr>
          <w:rStyle w:val="Emphasis"/>
        </w:rPr>
        <w:t>Journal of European Integration Studies.</w:t>
      </w:r>
    </w:p>
    <w:p w:rsidR="00D013B9" w:rsidRDefault="00D013B9" w:rsidP="00D013B9">
      <w:pPr>
        <w:pStyle w:val="NormalWeb"/>
        <w:numPr>
          <w:ilvl w:val="0"/>
          <w:numId w:val="21"/>
        </w:numPr>
      </w:pPr>
      <w:proofErr w:type="spellStart"/>
      <w:r>
        <w:lastRenderedPageBreak/>
        <w:t>Fidler</w:t>
      </w:r>
      <w:proofErr w:type="spellEnd"/>
      <w:r>
        <w:t xml:space="preserve">, D. (2019). </w:t>
      </w:r>
      <w:r>
        <w:rPr>
          <w:rStyle w:val="Emphasis"/>
        </w:rPr>
        <w:t>Global Health Governance and the WHO Framework</w:t>
      </w:r>
      <w:r>
        <w:t>. Oxford University Press.</w:t>
      </w:r>
    </w:p>
    <w:p w:rsidR="00D013B9" w:rsidRDefault="00D013B9" w:rsidP="00D013B9">
      <w:pPr>
        <w:pStyle w:val="NormalWeb"/>
        <w:numPr>
          <w:ilvl w:val="0"/>
          <w:numId w:val="21"/>
        </w:numPr>
      </w:pPr>
      <w:r>
        <w:t xml:space="preserve">Greer, S. L., King, E. J., &amp; Fonseca, E. (2020). The comparative politics of COVID-19: A review. </w:t>
      </w:r>
      <w:r>
        <w:rPr>
          <w:rStyle w:val="Emphasis"/>
        </w:rPr>
        <w:t>Health Policy and Planning</w:t>
      </w:r>
      <w:r>
        <w:t>, 35(9), 1239–1246.</w:t>
      </w:r>
    </w:p>
    <w:p w:rsidR="00D013B9" w:rsidRDefault="00D013B9" w:rsidP="00D013B9">
      <w:pPr>
        <w:pStyle w:val="NormalWeb"/>
        <w:numPr>
          <w:ilvl w:val="0"/>
          <w:numId w:val="21"/>
        </w:numPr>
      </w:pPr>
      <w:proofErr w:type="spellStart"/>
      <w:r>
        <w:t>Gstrein</w:t>
      </w:r>
      <w:proofErr w:type="spellEnd"/>
      <w:r>
        <w:t xml:space="preserve">, O. J. (2021). Digital surveillance and human rights: The European response to COVID-19. </w:t>
      </w:r>
      <w:r>
        <w:rPr>
          <w:rStyle w:val="Emphasis"/>
        </w:rPr>
        <w:t>European Journal of Risk Regulation</w:t>
      </w:r>
      <w:r>
        <w:t>, 12(2), 345–366.</w:t>
      </w:r>
    </w:p>
    <w:p w:rsidR="00D013B9" w:rsidRDefault="00D013B9" w:rsidP="00D013B9">
      <w:pPr>
        <w:pStyle w:val="NormalWeb"/>
        <w:numPr>
          <w:ilvl w:val="0"/>
          <w:numId w:val="21"/>
        </w:numPr>
      </w:pPr>
      <w:r>
        <w:t xml:space="preserve">OECD (2020). </w:t>
      </w:r>
      <w:r>
        <w:rPr>
          <w:rStyle w:val="Emphasis"/>
        </w:rPr>
        <w:t>Tourism Policy Responses to COVID-19</w:t>
      </w:r>
      <w:r>
        <w:t>. OECD Publishing.</w:t>
      </w:r>
    </w:p>
    <w:p w:rsidR="00D013B9" w:rsidRDefault="00D013B9" w:rsidP="00D013B9">
      <w:pPr>
        <w:pStyle w:val="NormalWeb"/>
        <w:numPr>
          <w:ilvl w:val="0"/>
          <w:numId w:val="21"/>
        </w:numPr>
      </w:pPr>
      <w:r>
        <w:t xml:space="preserve">Santos, R., &amp; </w:t>
      </w:r>
      <w:proofErr w:type="spellStart"/>
      <w:r>
        <w:t>da</w:t>
      </w:r>
      <w:proofErr w:type="spellEnd"/>
      <w:r>
        <w:t xml:space="preserve"> Silva, M. (2020). Legal preparedness in pandemic response: Lessons from COVID-19. </w:t>
      </w:r>
      <w:r>
        <w:rPr>
          <w:rStyle w:val="Emphasis"/>
        </w:rPr>
        <w:t>European Law Review</w:t>
      </w:r>
      <w:r>
        <w:t>.</w:t>
      </w:r>
    </w:p>
    <w:p w:rsidR="00D013B9" w:rsidRPr="00DB281E" w:rsidRDefault="00D013B9" w:rsidP="00DB281E">
      <w:pPr>
        <w:pStyle w:val="NormalWeb"/>
        <w:numPr>
          <w:ilvl w:val="0"/>
          <w:numId w:val="21"/>
        </w:numPr>
      </w:pPr>
      <w:r>
        <w:t xml:space="preserve">WHO (2005). </w:t>
      </w:r>
      <w:r>
        <w:rPr>
          <w:rStyle w:val="Emphasis"/>
        </w:rPr>
        <w:t>International Health Regulations</w:t>
      </w:r>
      <w:r>
        <w:t>. World Health Organization.</w:t>
      </w:r>
    </w:p>
    <w:sectPr w:rsidR="00D013B9" w:rsidRPr="00DB281E"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44182D"/>
    <w:multiLevelType w:val="multilevel"/>
    <w:tmpl w:val="4E08D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9D70BA"/>
    <w:multiLevelType w:val="multilevel"/>
    <w:tmpl w:val="D03AF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6B06BAF"/>
    <w:multiLevelType w:val="multilevel"/>
    <w:tmpl w:val="C3A2D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9DB7CD0"/>
    <w:multiLevelType w:val="multilevel"/>
    <w:tmpl w:val="2118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01348F0"/>
    <w:multiLevelType w:val="multilevel"/>
    <w:tmpl w:val="B44E9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553EE8"/>
    <w:multiLevelType w:val="multilevel"/>
    <w:tmpl w:val="14AA2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0"/>
  </w:num>
  <w:num w:numId="3">
    <w:abstractNumId w:val="15"/>
  </w:num>
  <w:num w:numId="4">
    <w:abstractNumId w:val="7"/>
  </w:num>
  <w:num w:numId="5">
    <w:abstractNumId w:val="5"/>
  </w:num>
  <w:num w:numId="6">
    <w:abstractNumId w:val="1"/>
  </w:num>
  <w:num w:numId="7">
    <w:abstractNumId w:val="6"/>
  </w:num>
  <w:num w:numId="8">
    <w:abstractNumId w:val="12"/>
  </w:num>
  <w:num w:numId="9">
    <w:abstractNumId w:val="13"/>
  </w:num>
  <w:num w:numId="10">
    <w:abstractNumId w:val="10"/>
  </w:num>
  <w:num w:numId="11">
    <w:abstractNumId w:val="2"/>
  </w:num>
  <w:num w:numId="12">
    <w:abstractNumId w:val="11"/>
  </w:num>
  <w:num w:numId="13">
    <w:abstractNumId w:val="21"/>
  </w:num>
  <w:num w:numId="14">
    <w:abstractNumId w:val="20"/>
  </w:num>
  <w:num w:numId="15">
    <w:abstractNumId w:val="19"/>
  </w:num>
  <w:num w:numId="16">
    <w:abstractNumId w:val="4"/>
  </w:num>
  <w:num w:numId="17">
    <w:abstractNumId w:val="18"/>
  </w:num>
  <w:num w:numId="18">
    <w:abstractNumId w:val="8"/>
  </w:num>
  <w:num w:numId="19">
    <w:abstractNumId w:val="14"/>
  </w:num>
  <w:num w:numId="20">
    <w:abstractNumId w:val="22"/>
  </w:num>
  <w:num w:numId="21">
    <w:abstractNumId w:val="9"/>
  </w:num>
  <w:num w:numId="22">
    <w:abstractNumId w:val="3"/>
  </w:num>
  <w:num w:numId="23">
    <w:abstractNumId w:val="16"/>
  </w:num>
  <w:num w:numId="2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24718B"/>
    <w:rsid w:val="00264709"/>
    <w:rsid w:val="003D62F1"/>
    <w:rsid w:val="00447635"/>
    <w:rsid w:val="004A5B01"/>
    <w:rsid w:val="00560167"/>
    <w:rsid w:val="00672EA7"/>
    <w:rsid w:val="006A5246"/>
    <w:rsid w:val="00746D17"/>
    <w:rsid w:val="007C58FC"/>
    <w:rsid w:val="007F0E22"/>
    <w:rsid w:val="00860BF8"/>
    <w:rsid w:val="008B22C7"/>
    <w:rsid w:val="00983258"/>
    <w:rsid w:val="009D3F19"/>
    <w:rsid w:val="009D421F"/>
    <w:rsid w:val="00A454A9"/>
    <w:rsid w:val="00B74537"/>
    <w:rsid w:val="00BB5DD3"/>
    <w:rsid w:val="00C448D7"/>
    <w:rsid w:val="00D013B9"/>
    <w:rsid w:val="00D26592"/>
    <w:rsid w:val="00D915F8"/>
    <w:rsid w:val="00DB281E"/>
    <w:rsid w:val="00DB667C"/>
    <w:rsid w:val="00EC504E"/>
    <w:rsid w:val="00F10E8B"/>
    <w:rsid w:val="00F33B7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851454046">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461267983">
      <w:bodyDiv w:val="1"/>
      <w:marLeft w:val="0"/>
      <w:marRight w:val="0"/>
      <w:marTop w:val="0"/>
      <w:marBottom w:val="0"/>
      <w:divBdr>
        <w:top w:val="none" w:sz="0" w:space="0" w:color="auto"/>
        <w:left w:val="none" w:sz="0" w:space="0" w:color="auto"/>
        <w:bottom w:val="none" w:sz="0" w:space="0" w:color="auto"/>
        <w:right w:val="none" w:sz="0" w:space="0" w:color="auto"/>
      </w:divBdr>
    </w:div>
    <w:div w:id="1530294468">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974785">
      <w:bodyDiv w:val="1"/>
      <w:marLeft w:val="0"/>
      <w:marRight w:val="0"/>
      <w:marTop w:val="0"/>
      <w:marBottom w:val="0"/>
      <w:divBdr>
        <w:top w:val="none" w:sz="0" w:space="0" w:color="auto"/>
        <w:left w:val="none" w:sz="0" w:space="0" w:color="auto"/>
        <w:bottom w:val="none" w:sz="0" w:space="0" w:color="auto"/>
        <w:right w:val="none" w:sz="0" w:space="0" w:color="auto"/>
      </w:divBdr>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B9707-FF15-4F1D-9D2A-0B265F764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1356</TotalTime>
  <Pages>12</Pages>
  <Words>4487</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2025-06-15T05:53:00Z</dcterms:created>
  <dcterms:modified xsi:type="dcterms:W3CDTF">2025-06-21T08:33:00Z</dcterms:modified>
</cp:coreProperties>
</file>