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30016"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A570012" w14:textId="77777777" w:rsidR="00672345" w:rsidRPr="0019504D" w:rsidRDefault="00672345" w:rsidP="00672345">
      <w:pPr>
        <w:rPr>
          <w:b/>
          <w:bCs/>
          <w:lang w:val="en-US"/>
        </w:rPr>
      </w:pPr>
      <w:r>
        <w:rPr>
          <w:b/>
          <w:bCs/>
          <w:lang w:val="en-US"/>
        </w:rPr>
        <w:t xml:space="preserve">Cultural Heritage Management </w:t>
      </w:r>
    </w:p>
    <w:p w14:paraId="16AA6F3C" w14:textId="77777777" w:rsidR="00672345" w:rsidRDefault="00672345" w:rsidP="00672345">
      <w:pPr>
        <w:rPr>
          <w:lang w:val="en-US"/>
        </w:rPr>
      </w:pPr>
      <w:r w:rsidRPr="0019504D">
        <w:rPr>
          <w:lang w:val="en-US"/>
        </w:rPr>
        <w:t>Ass</w:t>
      </w:r>
      <w:r>
        <w:rPr>
          <w:lang w:val="en-US"/>
        </w:rPr>
        <w:t>ignment 1</w:t>
      </w:r>
    </w:p>
    <w:p w14:paraId="237A0938" w14:textId="77777777" w:rsidR="00672345" w:rsidRPr="0019504D" w:rsidRDefault="00672345" w:rsidP="00672345">
      <w:pPr>
        <w:rPr>
          <w:lang w:val="en-US"/>
        </w:rPr>
      </w:pPr>
      <w:r>
        <w:rPr>
          <w:lang w:val="en-US"/>
        </w:rPr>
        <w:t>08.04.2026</w:t>
      </w:r>
    </w:p>
    <w:p w14:paraId="1BC07A92" w14:textId="77777777" w:rsidR="00672345" w:rsidRDefault="00672345"/>
    <w:p w14:paraId="422AE29E" w14:textId="77777777" w:rsidR="00672345" w:rsidRDefault="00672345"/>
    <w:p w14:paraId="0244AE5B" w14:textId="77777777" w:rsidR="00672345" w:rsidRDefault="00672345"/>
    <w:p w14:paraId="1FE17C34" w14:textId="77777777" w:rsidR="00672345" w:rsidRDefault="00672345"/>
    <w:p w14:paraId="286691A3" w14:textId="77777777" w:rsidR="00672345" w:rsidRDefault="00672345"/>
    <w:p w14:paraId="01EDF448" w14:textId="77777777" w:rsidR="00672345" w:rsidRDefault="00672345"/>
    <w:p w14:paraId="20C12E5F" w14:textId="77777777" w:rsidR="00672345" w:rsidRDefault="00672345"/>
    <w:p w14:paraId="2E1CBF8B" w14:textId="77777777" w:rsidR="00672345" w:rsidRDefault="00672345"/>
    <w:p w14:paraId="1FECF77D" w14:textId="77777777" w:rsidR="00672345" w:rsidRDefault="00672345"/>
    <w:p w14:paraId="60DF2E88" w14:textId="77777777" w:rsidR="00672345" w:rsidRDefault="00672345"/>
    <w:p w14:paraId="6D08F31E" w14:textId="77777777" w:rsidR="00672345" w:rsidRDefault="00672345"/>
    <w:p w14:paraId="0B63AC54" w14:textId="77777777" w:rsidR="00672345" w:rsidRDefault="00672345"/>
    <w:p w14:paraId="09D6D1AF" w14:textId="77777777" w:rsidR="00672345" w:rsidRDefault="00672345"/>
    <w:p w14:paraId="1136DEC6" w14:textId="77777777" w:rsidR="00672345" w:rsidRDefault="00672345" w:rsidP="00672345">
      <w:pPr>
        <w:spacing w:line="276" w:lineRule="auto"/>
        <w:rPr>
          <w:b/>
          <w:bCs/>
          <w:lang w:val="en-US"/>
        </w:rPr>
      </w:pPr>
      <w:r w:rsidRPr="00EA737F">
        <w:rPr>
          <w:b/>
          <w:bCs/>
          <w:lang w:val="en-US"/>
        </w:rPr>
        <w:t>In no more than 500 words</w:t>
      </w:r>
      <w:r>
        <w:rPr>
          <w:b/>
          <w:bCs/>
          <w:lang w:val="en-US"/>
        </w:rPr>
        <w:t>, each explain and 2-4 references:</w:t>
      </w:r>
    </w:p>
    <w:p w14:paraId="010D0E40" w14:textId="77777777" w:rsidR="00672345" w:rsidRDefault="00672345" w:rsidP="00672345">
      <w:pPr>
        <w:spacing w:line="276" w:lineRule="auto"/>
        <w:rPr>
          <w:b/>
          <w:bCs/>
          <w:lang w:val="en-US"/>
        </w:rPr>
      </w:pPr>
    </w:p>
    <w:p w14:paraId="6CE86931" w14:textId="77777777" w:rsidR="00672345" w:rsidRPr="00EA737F" w:rsidRDefault="00672345" w:rsidP="00672345">
      <w:pPr>
        <w:spacing w:line="276" w:lineRule="auto"/>
        <w:rPr>
          <w:b/>
          <w:bCs/>
          <w:lang w:val="en-US"/>
        </w:rPr>
      </w:pPr>
    </w:p>
    <w:p w14:paraId="2B1862A2" w14:textId="77777777" w:rsidR="00672345" w:rsidRDefault="00672345" w:rsidP="00672345">
      <w:pPr>
        <w:spacing w:line="276" w:lineRule="auto"/>
        <w:rPr>
          <w:lang w:val="en-US"/>
        </w:rPr>
      </w:pPr>
    </w:p>
    <w:p w14:paraId="618C9A2C" w14:textId="77777777" w:rsidR="00672345" w:rsidRPr="002171A0" w:rsidRDefault="00672345" w:rsidP="00672345">
      <w:pPr>
        <w:spacing w:line="276" w:lineRule="auto"/>
        <w:rPr>
          <w:lang w:val="en-US"/>
        </w:rPr>
      </w:pPr>
      <w:r w:rsidRPr="009C582A">
        <w:rPr>
          <w:lang w:val="en-US"/>
        </w:rPr>
        <w:t xml:space="preserve">1- </w:t>
      </w:r>
      <w:r w:rsidRPr="002171A0">
        <w:rPr>
          <w:lang w:val="en-US"/>
        </w:rPr>
        <w:t>Define cultural heritage. How do international organizations such as UNESCO conceptualize heritage?</w:t>
      </w:r>
    </w:p>
    <w:p w14:paraId="6A036219" w14:textId="77777777" w:rsidR="00672345" w:rsidRPr="002171A0" w:rsidRDefault="00672345" w:rsidP="00672345">
      <w:pPr>
        <w:spacing w:line="276" w:lineRule="auto"/>
        <w:rPr>
          <w:lang w:val="en-US"/>
        </w:rPr>
      </w:pPr>
    </w:p>
    <w:p w14:paraId="1ED74A4D" w14:textId="77777777" w:rsidR="00672345" w:rsidRPr="002171A0" w:rsidRDefault="00672345" w:rsidP="00672345">
      <w:pPr>
        <w:spacing w:line="276" w:lineRule="auto"/>
        <w:rPr>
          <w:lang w:val="en-US"/>
        </w:rPr>
      </w:pPr>
      <w:r>
        <w:rPr>
          <w:lang w:val="en-US"/>
        </w:rPr>
        <w:t xml:space="preserve">2- </w:t>
      </w:r>
      <w:r w:rsidRPr="002171A0">
        <w:rPr>
          <w:lang w:val="en-US"/>
        </w:rPr>
        <w:t>Differentiate between:</w:t>
      </w:r>
    </w:p>
    <w:p w14:paraId="444A310E" w14:textId="77777777" w:rsidR="00672345" w:rsidRPr="002171A0" w:rsidRDefault="00672345" w:rsidP="00672345">
      <w:pPr>
        <w:spacing w:line="276" w:lineRule="auto"/>
        <w:rPr>
          <w:lang w:val="en-US"/>
        </w:rPr>
      </w:pPr>
      <w:r w:rsidRPr="002171A0">
        <w:rPr>
          <w:lang w:val="en-US"/>
        </w:rPr>
        <w:t>Tangible heritage</w:t>
      </w:r>
    </w:p>
    <w:p w14:paraId="6D48D20E" w14:textId="77777777" w:rsidR="00672345" w:rsidRPr="009C582A" w:rsidRDefault="00672345" w:rsidP="00672345">
      <w:pPr>
        <w:spacing w:line="276" w:lineRule="auto"/>
      </w:pPr>
      <w:r w:rsidRPr="002171A0">
        <w:rPr>
          <w:lang w:val="en-US"/>
        </w:rPr>
        <w:t>Intangible heritage</w:t>
      </w:r>
    </w:p>
    <w:p w14:paraId="1DAF597A" w14:textId="77777777" w:rsidR="00672345" w:rsidRDefault="00672345">
      <w:pPr>
        <w:rPr>
          <w:lang w:val="en-US"/>
        </w:rPr>
      </w:pPr>
    </w:p>
    <w:p w14:paraId="5BD65637" w14:textId="77777777" w:rsidR="00706C01" w:rsidRDefault="00706C01">
      <w:pPr>
        <w:rPr>
          <w:lang w:val="en-US"/>
        </w:rPr>
      </w:pPr>
    </w:p>
    <w:p w14:paraId="17D8D603" w14:textId="77777777" w:rsidR="00706C01" w:rsidRDefault="00706C01">
      <w:pPr>
        <w:rPr>
          <w:lang w:val="en-US"/>
        </w:rPr>
      </w:pPr>
    </w:p>
    <w:p w14:paraId="5F29B98C" w14:textId="77777777" w:rsidR="00706C01" w:rsidRDefault="00706C01">
      <w:pPr>
        <w:rPr>
          <w:lang w:val="en-US"/>
        </w:rPr>
      </w:pPr>
    </w:p>
    <w:p w14:paraId="0CA7B702" w14:textId="77777777" w:rsidR="00706C01" w:rsidRDefault="00706C01">
      <w:pPr>
        <w:rPr>
          <w:lang w:val="en-US"/>
        </w:rPr>
      </w:pPr>
    </w:p>
    <w:p w14:paraId="26E51395" w14:textId="77777777" w:rsidR="00706C01" w:rsidRDefault="00706C01">
      <w:pPr>
        <w:rPr>
          <w:lang w:val="en-US"/>
        </w:rPr>
      </w:pPr>
    </w:p>
    <w:p w14:paraId="0384D70C" w14:textId="77777777" w:rsidR="00706C01" w:rsidRDefault="00706C01">
      <w:pPr>
        <w:rPr>
          <w:lang w:val="en-US"/>
        </w:rPr>
      </w:pPr>
    </w:p>
    <w:p w14:paraId="572FFFF2" w14:textId="77777777" w:rsidR="00706C01" w:rsidRDefault="00706C01">
      <w:pPr>
        <w:rPr>
          <w:lang w:val="en-US"/>
        </w:rPr>
      </w:pPr>
    </w:p>
    <w:p w14:paraId="6C277370" w14:textId="77777777" w:rsidR="00706C01" w:rsidRDefault="00706C01">
      <w:pPr>
        <w:rPr>
          <w:lang w:val="en-US"/>
        </w:rPr>
      </w:pPr>
    </w:p>
    <w:p w14:paraId="3515D7AB" w14:textId="77777777" w:rsidR="00706C01" w:rsidRDefault="00706C01">
      <w:pPr>
        <w:rPr>
          <w:lang w:val="en-US"/>
        </w:rPr>
      </w:pPr>
    </w:p>
    <w:p w14:paraId="61F77616" w14:textId="77777777" w:rsidR="00706C01" w:rsidRDefault="00706C01">
      <w:pPr>
        <w:rPr>
          <w:lang w:val="en-US"/>
        </w:rPr>
      </w:pPr>
    </w:p>
    <w:p w14:paraId="7D846D74" w14:textId="77777777" w:rsidR="00706C01" w:rsidRDefault="00706C01">
      <w:pPr>
        <w:rPr>
          <w:lang w:val="en-US"/>
        </w:rPr>
      </w:pPr>
    </w:p>
    <w:p w14:paraId="1953910D" w14:textId="77777777" w:rsidR="00706C01" w:rsidRDefault="00706C01">
      <w:pPr>
        <w:rPr>
          <w:lang w:val="en-US"/>
        </w:rPr>
      </w:pPr>
    </w:p>
    <w:p w14:paraId="5FD9FB84" w14:textId="77777777" w:rsidR="00706C01" w:rsidRDefault="00706C01">
      <w:pPr>
        <w:rPr>
          <w:lang w:val="en-US"/>
        </w:rPr>
      </w:pPr>
    </w:p>
    <w:p w14:paraId="46C7C63B" w14:textId="77777777" w:rsidR="00706C01" w:rsidRDefault="00706C01">
      <w:pPr>
        <w:rPr>
          <w:lang w:val="en-US"/>
        </w:rPr>
      </w:pPr>
    </w:p>
    <w:p w14:paraId="76CDD500" w14:textId="77777777" w:rsidR="00706C01" w:rsidRDefault="00706C01">
      <w:pPr>
        <w:rPr>
          <w:lang w:val="en-US"/>
        </w:rPr>
      </w:pPr>
    </w:p>
    <w:p w14:paraId="04A2658A" w14:textId="77777777" w:rsidR="00706C01" w:rsidRDefault="00706C01">
      <w:pPr>
        <w:rPr>
          <w:lang w:val="en-US"/>
        </w:rPr>
      </w:pPr>
    </w:p>
    <w:p w14:paraId="4E0A58DA" w14:textId="77777777" w:rsidR="00706C01" w:rsidRDefault="00706C01">
      <w:pPr>
        <w:rPr>
          <w:lang w:val="en-US"/>
        </w:rPr>
      </w:pPr>
    </w:p>
    <w:p w14:paraId="4DEDEE1F" w14:textId="77777777" w:rsidR="00706C01" w:rsidRDefault="00706C01">
      <w:pPr>
        <w:rPr>
          <w:lang w:val="en-US"/>
        </w:rPr>
      </w:pPr>
    </w:p>
    <w:p w14:paraId="6A14116C" w14:textId="77777777" w:rsidR="00706C01" w:rsidRPr="00706C01" w:rsidRDefault="00706C01" w:rsidP="00706C01">
      <w:pPr>
        <w:rPr>
          <w:b/>
          <w:bCs/>
          <w:lang w:val="en-GB"/>
        </w:rPr>
      </w:pPr>
      <w:r w:rsidRPr="00706C01">
        <w:rPr>
          <w:b/>
          <w:bCs/>
          <w:lang w:val="en-GB"/>
        </w:rPr>
        <w:lastRenderedPageBreak/>
        <w:t>1. Definition of Cultural Heritage &amp; UNESCO Conceptualization (≤500 words)</w:t>
      </w:r>
    </w:p>
    <w:p w14:paraId="1EED462F" w14:textId="77777777" w:rsidR="00706C01" w:rsidRPr="00706C01" w:rsidRDefault="00706C01" w:rsidP="00706C01">
      <w:pPr>
        <w:rPr>
          <w:lang w:val="en-GB"/>
        </w:rPr>
      </w:pPr>
      <w:r w:rsidRPr="00706C01">
        <w:rPr>
          <w:lang w:val="en-GB"/>
        </w:rPr>
        <w:t>Cultural heritage refers to the legacy of physical artifacts and intangible attributes inherited from past generations, maintained in the present, and transmitted to future generations. It encompasses monuments, buildings, landscapes, traditions, languages, rituals, and knowledge systems that communities recognize as part of their identity (Smith, 2006).</w:t>
      </w:r>
    </w:p>
    <w:p w14:paraId="0FAA4CC6" w14:textId="77777777" w:rsidR="00706C01" w:rsidRPr="00706C01" w:rsidRDefault="00706C01" w:rsidP="00706C01">
      <w:pPr>
        <w:rPr>
          <w:lang w:val="en-GB"/>
        </w:rPr>
      </w:pPr>
      <w:r w:rsidRPr="00706C01">
        <w:rPr>
          <w:lang w:val="en-GB"/>
        </w:rPr>
        <w:t xml:space="preserve">UNESCO conceptualizes cultural heritage in a holistic and dynamic way. According to the </w:t>
      </w:r>
      <w:r w:rsidRPr="00706C01">
        <w:rPr>
          <w:b/>
          <w:bCs/>
          <w:lang w:val="en-GB"/>
        </w:rPr>
        <w:t>1972 World Heritage Convention</w:t>
      </w:r>
      <w:r w:rsidRPr="00706C01">
        <w:rPr>
          <w:lang w:val="en-GB"/>
        </w:rPr>
        <w:t xml:space="preserve">, heritage includes tangible cultural assets such as monuments, groups of buildings, and sites of “outstanding universal value” (UNESCO, 1972). Later, UNESCO expanded this framework through the </w:t>
      </w:r>
      <w:r w:rsidRPr="00706C01">
        <w:rPr>
          <w:b/>
          <w:bCs/>
          <w:lang w:val="en-GB"/>
        </w:rPr>
        <w:t>2003 Convention for the Safeguarding of Intangible Cultural Heritage</w:t>
      </w:r>
      <w:r w:rsidRPr="00706C01">
        <w:rPr>
          <w:lang w:val="en-GB"/>
        </w:rPr>
        <w:t>, defining intangible heritage as practices, expressions, knowledge, and skills that communities recognize as part of their cultural identity (UNESCO, 2003).</w:t>
      </w:r>
    </w:p>
    <w:p w14:paraId="134FF74A" w14:textId="77777777" w:rsidR="00706C01" w:rsidRPr="00706C01" w:rsidRDefault="00706C01" w:rsidP="00706C01">
      <w:pPr>
        <w:rPr>
          <w:lang w:val="en-GB"/>
        </w:rPr>
      </w:pPr>
      <w:r w:rsidRPr="00706C01">
        <w:rPr>
          <w:lang w:val="en-GB"/>
        </w:rPr>
        <w:t>Importantly, UNESCO emphasizes that heritage is not static but socially constructed and continuously recreated. It highlights the role of communities as active participants in defining and safeguarding heritage, rather than passive recipients. This marks a shift from earlier object-</w:t>
      </w:r>
      <w:proofErr w:type="spellStart"/>
      <w:r w:rsidRPr="00706C01">
        <w:rPr>
          <w:lang w:val="en-GB"/>
        </w:rPr>
        <w:t>centered</w:t>
      </w:r>
      <w:proofErr w:type="spellEnd"/>
      <w:r w:rsidRPr="00706C01">
        <w:rPr>
          <w:lang w:val="en-GB"/>
        </w:rPr>
        <w:t xml:space="preserve"> approaches to people-</w:t>
      </w:r>
      <w:proofErr w:type="spellStart"/>
      <w:r w:rsidRPr="00706C01">
        <w:rPr>
          <w:lang w:val="en-GB"/>
        </w:rPr>
        <w:t>centered</w:t>
      </w:r>
      <w:proofErr w:type="spellEnd"/>
      <w:r w:rsidRPr="00706C01">
        <w:rPr>
          <w:lang w:val="en-GB"/>
        </w:rPr>
        <w:t xml:space="preserve"> approaches in heritage management (Harrison, 2013).</w:t>
      </w:r>
    </w:p>
    <w:p w14:paraId="7DCE7D90" w14:textId="77777777" w:rsidR="00706C01" w:rsidRPr="00706C01" w:rsidRDefault="00706C01" w:rsidP="00706C01">
      <w:pPr>
        <w:rPr>
          <w:lang w:val="en-GB"/>
        </w:rPr>
      </w:pPr>
      <w:r w:rsidRPr="00706C01">
        <w:rPr>
          <w:lang w:val="en-GB"/>
        </w:rPr>
        <w:t xml:space="preserve">UNESCO also stresses the concept of </w:t>
      </w:r>
      <w:r w:rsidRPr="00706C01">
        <w:rPr>
          <w:b/>
          <w:bCs/>
          <w:lang w:val="en-GB"/>
        </w:rPr>
        <w:t>“Outstanding Universal Value (OUV)”</w:t>
      </w:r>
      <w:r w:rsidRPr="00706C01">
        <w:rPr>
          <w:lang w:val="en-GB"/>
        </w:rPr>
        <w:t>, meaning that certain heritage sites possess cultural or natural significance that transcends national boundaries and is important for all humanity. However, critics argue that this global framework sometimes prioritizes universal narratives over local meanings and may lead to unequal representation (Smith, 2006).</w:t>
      </w:r>
    </w:p>
    <w:p w14:paraId="75B3F98A" w14:textId="77777777" w:rsidR="00706C01" w:rsidRPr="00706C01" w:rsidRDefault="00706C01" w:rsidP="00706C01">
      <w:pPr>
        <w:rPr>
          <w:lang w:val="en-GB"/>
        </w:rPr>
      </w:pPr>
      <w:r w:rsidRPr="00706C01">
        <w:rPr>
          <w:lang w:val="en-GB"/>
        </w:rPr>
        <w:t>In summary, cultural heritage is both tangible and intangible, rooted in identity and memory, while UNESCO conceptualizes it as a universal, evolving, and community-</w:t>
      </w:r>
      <w:proofErr w:type="spellStart"/>
      <w:r w:rsidRPr="00706C01">
        <w:rPr>
          <w:lang w:val="en-GB"/>
        </w:rPr>
        <w:t>centered</w:t>
      </w:r>
      <w:proofErr w:type="spellEnd"/>
      <w:r w:rsidRPr="00706C01">
        <w:rPr>
          <w:lang w:val="en-GB"/>
        </w:rPr>
        <w:t xml:space="preserve"> resource requiring protection and sustainable management.</w:t>
      </w:r>
    </w:p>
    <w:p w14:paraId="6A179F21" w14:textId="01289490" w:rsidR="00706C01" w:rsidRPr="00706C01" w:rsidRDefault="00706C01" w:rsidP="00706C01">
      <w:pPr>
        <w:rPr>
          <w:lang w:val="en-GB"/>
        </w:rPr>
      </w:pPr>
    </w:p>
    <w:p w14:paraId="2740AB87" w14:textId="77777777" w:rsidR="00706C01" w:rsidRPr="00706C01" w:rsidRDefault="00706C01" w:rsidP="00706C01">
      <w:pPr>
        <w:rPr>
          <w:b/>
          <w:bCs/>
          <w:lang w:val="en-GB"/>
        </w:rPr>
      </w:pPr>
      <w:r w:rsidRPr="00706C01">
        <w:rPr>
          <w:b/>
          <w:bCs/>
          <w:lang w:val="en-GB"/>
        </w:rPr>
        <w:t>2. Difference Between Tangible and Intangible Heritage (≤500 words)</w:t>
      </w:r>
    </w:p>
    <w:p w14:paraId="77011B27" w14:textId="77777777" w:rsidR="00706C01" w:rsidRPr="00706C01" w:rsidRDefault="00706C01" w:rsidP="00706C01">
      <w:pPr>
        <w:rPr>
          <w:lang w:val="en-GB"/>
        </w:rPr>
      </w:pPr>
      <w:r w:rsidRPr="00706C01">
        <w:rPr>
          <w:lang w:val="en-GB"/>
        </w:rPr>
        <w:t xml:space="preserve">Cultural heritage is broadly divided into </w:t>
      </w:r>
      <w:r w:rsidRPr="00706C01">
        <w:rPr>
          <w:b/>
          <w:bCs/>
          <w:lang w:val="en-GB"/>
        </w:rPr>
        <w:t>tangible</w:t>
      </w:r>
      <w:r w:rsidRPr="00706C01">
        <w:rPr>
          <w:lang w:val="en-GB"/>
        </w:rPr>
        <w:t xml:space="preserve"> and </w:t>
      </w:r>
      <w:r w:rsidRPr="00706C01">
        <w:rPr>
          <w:b/>
          <w:bCs/>
          <w:lang w:val="en-GB"/>
        </w:rPr>
        <w:t>intangible</w:t>
      </w:r>
      <w:r w:rsidRPr="00706C01">
        <w:rPr>
          <w:lang w:val="en-GB"/>
        </w:rPr>
        <w:t xml:space="preserve"> forms, each representing different aspects of human culture and requiring distinct management approaches.</w:t>
      </w:r>
    </w:p>
    <w:p w14:paraId="007BA175" w14:textId="77777777" w:rsidR="00706C01" w:rsidRPr="00706C01" w:rsidRDefault="00706C01" w:rsidP="00706C01">
      <w:pPr>
        <w:rPr>
          <w:lang w:val="en-GB"/>
        </w:rPr>
      </w:pPr>
      <w:r w:rsidRPr="00706C01">
        <w:rPr>
          <w:b/>
          <w:bCs/>
          <w:lang w:val="en-GB"/>
        </w:rPr>
        <w:t>Tangible heritage</w:t>
      </w:r>
      <w:r w:rsidRPr="00706C01">
        <w:rPr>
          <w:lang w:val="en-GB"/>
        </w:rPr>
        <w:t xml:space="preserve"> refers to physical, material objects and places that can be seen and touched. This includes monuments, buildings, archaeological sites, artifacts, and cultural landscapes. Examples include the Taj Mahal, pyramids, and historical manuscripts. Tangible heritage is often preserved through conservation techniques, legal protection, and restoration efforts (Ashworth et al., 2007).</w:t>
      </w:r>
    </w:p>
    <w:p w14:paraId="21EDA367" w14:textId="77777777" w:rsidR="00706C01" w:rsidRPr="00706C01" w:rsidRDefault="00706C01" w:rsidP="00706C01">
      <w:pPr>
        <w:rPr>
          <w:lang w:val="en-GB"/>
        </w:rPr>
      </w:pPr>
      <w:r w:rsidRPr="00706C01">
        <w:rPr>
          <w:lang w:val="en-GB"/>
        </w:rPr>
        <w:t xml:space="preserve">In contrast, </w:t>
      </w:r>
      <w:r w:rsidRPr="00706C01">
        <w:rPr>
          <w:b/>
          <w:bCs/>
          <w:lang w:val="en-GB"/>
        </w:rPr>
        <w:t>intangible heritage</w:t>
      </w:r>
      <w:r w:rsidRPr="00706C01">
        <w:rPr>
          <w:lang w:val="en-GB"/>
        </w:rPr>
        <w:t xml:space="preserve"> includes non-physical elements such as traditions, oral histories, performing arts, rituals, languages, and traditional knowledge. These are living expressions passed down through generations and constantly recreated by communities (UNESCO, 2003). Examples include folk dances, festivals, craftsmanship skills, and storytelling traditions.</w:t>
      </w:r>
    </w:p>
    <w:p w14:paraId="34A26C1A" w14:textId="77777777" w:rsidR="00706C01" w:rsidRPr="00706C01" w:rsidRDefault="00706C01" w:rsidP="00706C01">
      <w:pPr>
        <w:rPr>
          <w:lang w:val="en-GB"/>
        </w:rPr>
      </w:pPr>
      <w:r w:rsidRPr="00706C01">
        <w:rPr>
          <w:lang w:val="en-GB"/>
        </w:rPr>
        <w:t xml:space="preserve">The key difference lies in </w:t>
      </w:r>
      <w:r w:rsidRPr="00706C01">
        <w:rPr>
          <w:b/>
          <w:bCs/>
          <w:lang w:val="en-GB"/>
        </w:rPr>
        <w:t>materiality</w:t>
      </w:r>
      <w:r w:rsidRPr="00706C01">
        <w:rPr>
          <w:lang w:val="en-GB"/>
        </w:rPr>
        <w:t>: tangible heritage is physical and fixed, while intangible heritage is dynamic and experiential. Tangible heritage can often be preserved in museums or sites, whereas intangible heritage depends on continuous practice and community participation for its survival (Harrison, 2013).</w:t>
      </w:r>
    </w:p>
    <w:p w14:paraId="561A03F0" w14:textId="77777777" w:rsidR="00706C01" w:rsidRPr="00706C01" w:rsidRDefault="00706C01" w:rsidP="00706C01">
      <w:pPr>
        <w:rPr>
          <w:lang w:val="en-GB"/>
        </w:rPr>
      </w:pPr>
      <w:r w:rsidRPr="00706C01">
        <w:rPr>
          <w:lang w:val="en-GB"/>
        </w:rPr>
        <w:t xml:space="preserve">Another important distinction is in </w:t>
      </w:r>
      <w:r w:rsidRPr="00706C01">
        <w:rPr>
          <w:b/>
          <w:bCs/>
          <w:lang w:val="en-GB"/>
        </w:rPr>
        <w:t>management approaches</w:t>
      </w:r>
      <w:r w:rsidRPr="00706C01">
        <w:rPr>
          <w:lang w:val="en-GB"/>
        </w:rPr>
        <w:t xml:space="preserve">. Tangible heritage management focuses on conservation, restoration, and protection from physical deterioration. In contrast, safeguarding intangible heritage involves supporting cultural </w:t>
      </w:r>
      <w:r w:rsidRPr="00706C01">
        <w:rPr>
          <w:lang w:val="en-GB"/>
        </w:rPr>
        <w:lastRenderedPageBreak/>
        <w:t>transmission, community engagement, and documentation rather than “freezing” it in time (Smith, 2006).</w:t>
      </w:r>
    </w:p>
    <w:p w14:paraId="3F15F241" w14:textId="77777777" w:rsidR="00706C01" w:rsidRPr="00706C01" w:rsidRDefault="00706C01" w:rsidP="00706C01">
      <w:pPr>
        <w:rPr>
          <w:lang w:val="en-GB"/>
        </w:rPr>
      </w:pPr>
      <w:r w:rsidRPr="00706C01">
        <w:rPr>
          <w:lang w:val="en-GB"/>
        </w:rPr>
        <w:t>However, both forms are deeply interconnected. Tangible heritage often embodies intangible meanings—for example, a temple (tangible) is linked to rituals and beliefs (intangible). Modern heritage discourse recognizes this interdependence and promotes integrated management strategies.</w:t>
      </w:r>
    </w:p>
    <w:p w14:paraId="47FB8486" w14:textId="77777777" w:rsidR="00706C01" w:rsidRPr="00706C01" w:rsidRDefault="00706C01" w:rsidP="00706C01">
      <w:pPr>
        <w:rPr>
          <w:lang w:val="en-GB"/>
        </w:rPr>
      </w:pPr>
      <w:r w:rsidRPr="00706C01">
        <w:rPr>
          <w:lang w:val="en-GB"/>
        </w:rPr>
        <w:t>In conclusion, while tangible heritage represents the physical remains of culture, intangible heritage reflects living traditions and practices. Both are essential for cultural identity and require complementary approaches for effective preservation.</w:t>
      </w:r>
    </w:p>
    <w:p w14:paraId="1717EB83" w14:textId="77777777" w:rsidR="00706C01" w:rsidRPr="00706C01" w:rsidRDefault="00706C01" w:rsidP="00706C01">
      <w:pPr>
        <w:rPr>
          <w:b/>
          <w:bCs/>
          <w:lang w:val="en-GB"/>
        </w:rPr>
      </w:pPr>
      <w:r w:rsidRPr="00706C01">
        <w:rPr>
          <w:b/>
          <w:bCs/>
          <w:lang w:val="en-GB"/>
        </w:rPr>
        <w:t>References</w:t>
      </w:r>
    </w:p>
    <w:p w14:paraId="0BB2CA79" w14:textId="77777777" w:rsidR="00706C01" w:rsidRPr="00706C01" w:rsidRDefault="00706C01" w:rsidP="00706C01">
      <w:pPr>
        <w:numPr>
          <w:ilvl w:val="0"/>
          <w:numId w:val="2"/>
        </w:numPr>
        <w:rPr>
          <w:lang w:val="en-GB"/>
        </w:rPr>
      </w:pPr>
      <w:r w:rsidRPr="00706C01">
        <w:rPr>
          <w:lang w:val="en-GB"/>
        </w:rPr>
        <w:t xml:space="preserve">Ashworth, G. J., Graham, B., &amp; Tunbridge, J. E. (2007). </w:t>
      </w:r>
      <w:r w:rsidRPr="00706C01">
        <w:rPr>
          <w:i/>
          <w:iCs/>
          <w:lang w:val="en-GB"/>
        </w:rPr>
        <w:t>Pluralising Pasts: Heritage, Identity and Place</w:t>
      </w:r>
      <w:r w:rsidRPr="00706C01">
        <w:rPr>
          <w:lang w:val="en-GB"/>
        </w:rPr>
        <w:t xml:space="preserve">. Pluto Press. </w:t>
      </w:r>
    </w:p>
    <w:p w14:paraId="650E3B2D" w14:textId="77777777" w:rsidR="00706C01" w:rsidRPr="00706C01" w:rsidRDefault="00706C01" w:rsidP="00706C01">
      <w:pPr>
        <w:numPr>
          <w:ilvl w:val="0"/>
          <w:numId w:val="2"/>
        </w:numPr>
        <w:rPr>
          <w:lang w:val="en-GB"/>
        </w:rPr>
      </w:pPr>
      <w:r w:rsidRPr="00706C01">
        <w:rPr>
          <w:lang w:val="en-GB"/>
        </w:rPr>
        <w:t xml:space="preserve">Harrison, R. (2013). </w:t>
      </w:r>
      <w:r w:rsidRPr="00706C01">
        <w:rPr>
          <w:i/>
          <w:iCs/>
          <w:lang w:val="en-GB"/>
        </w:rPr>
        <w:t>Heritage: Critical Approaches</w:t>
      </w:r>
      <w:r w:rsidRPr="00706C01">
        <w:rPr>
          <w:lang w:val="en-GB"/>
        </w:rPr>
        <w:t xml:space="preserve">. Routledge. </w:t>
      </w:r>
      <w:hyperlink r:id="rId6" w:tgtFrame="_new" w:history="1">
        <w:r w:rsidRPr="00706C01">
          <w:rPr>
            <w:rStyle w:val="Hyperlink"/>
            <w:lang w:val="en-GB"/>
          </w:rPr>
          <w:t>https://doi.org/10.4324/9780203108857</w:t>
        </w:r>
      </w:hyperlink>
      <w:r w:rsidRPr="00706C01">
        <w:rPr>
          <w:lang w:val="en-GB"/>
        </w:rPr>
        <w:t xml:space="preserve"> </w:t>
      </w:r>
    </w:p>
    <w:p w14:paraId="6E012887" w14:textId="77777777" w:rsidR="00706C01" w:rsidRPr="00706C01" w:rsidRDefault="00706C01" w:rsidP="00706C01">
      <w:pPr>
        <w:numPr>
          <w:ilvl w:val="0"/>
          <w:numId w:val="2"/>
        </w:numPr>
        <w:rPr>
          <w:lang w:val="en-GB"/>
        </w:rPr>
      </w:pPr>
      <w:r w:rsidRPr="00706C01">
        <w:rPr>
          <w:lang w:val="en-GB"/>
        </w:rPr>
        <w:t xml:space="preserve">Smith, L. (2006). </w:t>
      </w:r>
      <w:r w:rsidRPr="00706C01">
        <w:rPr>
          <w:i/>
          <w:iCs/>
          <w:lang w:val="en-GB"/>
        </w:rPr>
        <w:t>Uses of Heritage</w:t>
      </w:r>
      <w:r w:rsidRPr="00706C01">
        <w:rPr>
          <w:lang w:val="en-GB"/>
        </w:rPr>
        <w:t xml:space="preserve">. Routledge. </w:t>
      </w:r>
      <w:hyperlink r:id="rId7" w:tgtFrame="_new" w:history="1">
        <w:r w:rsidRPr="00706C01">
          <w:rPr>
            <w:rStyle w:val="Hyperlink"/>
            <w:lang w:val="en-GB"/>
          </w:rPr>
          <w:t>https://doi.org/10.4324/9780203602263</w:t>
        </w:r>
      </w:hyperlink>
      <w:r w:rsidRPr="00706C01">
        <w:rPr>
          <w:lang w:val="en-GB"/>
        </w:rPr>
        <w:t xml:space="preserve"> </w:t>
      </w:r>
    </w:p>
    <w:p w14:paraId="3D7CB48F" w14:textId="77777777" w:rsidR="00706C01" w:rsidRPr="00706C01" w:rsidRDefault="00706C01" w:rsidP="00706C01">
      <w:pPr>
        <w:numPr>
          <w:ilvl w:val="0"/>
          <w:numId w:val="2"/>
        </w:numPr>
        <w:rPr>
          <w:lang w:val="en-GB"/>
        </w:rPr>
      </w:pPr>
      <w:r w:rsidRPr="00706C01">
        <w:rPr>
          <w:lang w:val="en-GB"/>
        </w:rPr>
        <w:t xml:space="preserve">UNESCO. (2003). </w:t>
      </w:r>
      <w:r w:rsidRPr="00706C01">
        <w:rPr>
          <w:i/>
          <w:iCs/>
          <w:lang w:val="en-GB"/>
        </w:rPr>
        <w:t>Convention for the Safeguarding of the Intangible Cultural Heritage</w:t>
      </w:r>
      <w:r w:rsidRPr="00706C01">
        <w:rPr>
          <w:lang w:val="en-GB"/>
        </w:rPr>
        <w:t xml:space="preserve">. </w:t>
      </w:r>
    </w:p>
    <w:p w14:paraId="25196568" w14:textId="77777777" w:rsidR="00706C01" w:rsidRPr="00706C01" w:rsidRDefault="00706C01">
      <w:pPr>
        <w:rPr>
          <w:lang w:val="en-US"/>
        </w:rPr>
      </w:pPr>
    </w:p>
    <w:sectPr w:rsidR="00706C01" w:rsidRPr="00706C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E26197E-67A8-4A5B-B008-08D94C7BE198}"/>
    <w:embedBold r:id="rId2" w:fontKey="{DECBDE23-58CB-4A23-8840-8F8DE263A0ED}"/>
    <w:embedItalic r:id="rId3" w:fontKey="{366AACC8-194F-4E52-82A5-A26537007AD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BAB98EF-06CD-4581-A97E-6C32F75BC51C}"/>
  </w:font>
  <w:font w:name="Calibri Light">
    <w:panose1 w:val="020F0302020204030204"/>
    <w:charset w:val="00"/>
    <w:family w:val="swiss"/>
    <w:pitch w:val="variable"/>
    <w:sig w:usb0="E4002EFF" w:usb1="C000247B" w:usb2="00000009" w:usb3="00000000" w:csb0="000001FF" w:csb1="00000000"/>
    <w:embedRegular r:id="rId5" w:fontKey="{50CAD86A-0339-4CF7-9863-724019F8CC9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C62FF1"/>
    <w:multiLevelType w:val="multilevel"/>
    <w:tmpl w:val="E7F2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076B43"/>
    <w:multiLevelType w:val="multilevel"/>
    <w:tmpl w:val="584E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7645453">
    <w:abstractNumId w:val="0"/>
  </w:num>
  <w:num w:numId="2" w16cid:durableId="4033773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26BE1"/>
    <w:rsid w:val="0003533E"/>
    <w:rsid w:val="001700EC"/>
    <w:rsid w:val="00174BB1"/>
    <w:rsid w:val="00224FD9"/>
    <w:rsid w:val="002F4AE0"/>
    <w:rsid w:val="00384E8A"/>
    <w:rsid w:val="003D1074"/>
    <w:rsid w:val="00426865"/>
    <w:rsid w:val="00477CAA"/>
    <w:rsid w:val="00502E29"/>
    <w:rsid w:val="005E458B"/>
    <w:rsid w:val="00672345"/>
    <w:rsid w:val="00706C01"/>
    <w:rsid w:val="00844EC2"/>
    <w:rsid w:val="008516FE"/>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EAE85"/>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706C01"/>
    <w:rPr>
      <w:color w:val="0563C1" w:themeColor="hyperlink"/>
      <w:u w:val="single"/>
    </w:rPr>
  </w:style>
  <w:style w:type="character" w:styleId="UnresolvedMention">
    <w:name w:val="Unresolved Mention"/>
    <w:basedOn w:val="DefaultParagraphFont"/>
    <w:uiPriority w:val="99"/>
    <w:semiHidden/>
    <w:unhideWhenUsed/>
    <w:rsid w:val="00706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4324/978020360226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4324/9780203108857"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750</Words>
  <Characters>4279</Characters>
  <Application>Microsoft Office Word</Application>
  <DocSecurity>0</DocSecurity>
  <Lines>35</Lines>
  <Paragraphs>10</Paragraphs>
  <ScaleCrop>false</ScaleCrop>
  <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2026-04-10T01:43:00Z</dcterms:created>
  <dcterms:modified xsi:type="dcterms:W3CDTF">2026-04-10T01:43:00Z</dcterms:modified>
</cp:coreProperties>
</file>