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B00D5"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3B00D5" w:rsidRDefault="004A1F6F" w:rsidP="00013DBD">
      <w:pPr>
        <w:spacing w:line="480" w:lineRule="auto"/>
        <w:rPr>
          <w:rFonts w:ascii="Times New Roman" w:hAnsi="Times New Roman" w:cs="Times New Roman"/>
          <w:color w:val="000000" w:themeColor="text1"/>
          <w:szCs w:val="24"/>
          <w:lang w:val="en-US"/>
        </w:rPr>
      </w:pPr>
      <w:r w:rsidRPr="003B00D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B00D5"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B00D5"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3B00D5" w:rsidRDefault="004A1F6F" w:rsidP="00013DBD">
      <w:pPr>
        <w:spacing w:line="480" w:lineRule="auto"/>
        <w:jc w:val="center"/>
        <w:rPr>
          <w:rFonts w:ascii="Times New Roman" w:hAnsi="Times New Roman" w:cs="Times New Roman"/>
          <w:color w:val="000000" w:themeColor="text1"/>
          <w:szCs w:val="24"/>
        </w:rPr>
      </w:pPr>
    </w:p>
    <w:p w14:paraId="3BED4F95" w14:textId="77777777" w:rsidR="00040A40" w:rsidRPr="003B00D5" w:rsidRDefault="00040A40" w:rsidP="00040A40">
      <w:pPr>
        <w:spacing w:line="480" w:lineRule="auto"/>
        <w:jc w:val="center"/>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Business Strategy Assignment – MBA</w:t>
      </w:r>
    </w:p>
    <w:p w14:paraId="472C8B71" w14:textId="77777777" w:rsidR="00E151DF" w:rsidRPr="003B00D5" w:rsidRDefault="009E4B24" w:rsidP="00E151DF">
      <w:pPr>
        <w:spacing w:line="480" w:lineRule="auto"/>
        <w:jc w:val="center"/>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br/>
      </w:r>
      <w:r w:rsidR="00E151DF" w:rsidRPr="003B00D5">
        <w:rPr>
          <w:rFonts w:ascii="Times New Roman" w:hAnsi="Times New Roman" w:cs="Times New Roman"/>
          <w:b/>
          <w:bCs/>
          <w:color w:val="000000" w:themeColor="text1"/>
          <w:szCs w:val="24"/>
        </w:rPr>
        <w:t>Assignment 1: Competitive Advantage and Strategic Positioning</w:t>
      </w:r>
    </w:p>
    <w:p w14:paraId="12EE3FE0" w14:textId="77777777" w:rsidR="00E151DF" w:rsidRPr="003B00D5" w:rsidRDefault="00E151DF" w:rsidP="00E151DF">
      <w:pPr>
        <w:spacing w:line="480" w:lineRule="auto"/>
        <w:jc w:val="center"/>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Question:</w:t>
      </w:r>
    </w:p>
    <w:p w14:paraId="59153556" w14:textId="77777777" w:rsidR="00E151DF" w:rsidRPr="003B00D5" w:rsidRDefault="00E151DF" w:rsidP="00E151DF">
      <w:pPr>
        <w:spacing w:line="480" w:lineRule="auto"/>
        <w:jc w:val="center"/>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 How can companies create and sustain a competitive advantage in highly competitive</w:t>
      </w:r>
    </w:p>
    <w:p w14:paraId="1DAC1097" w14:textId="77777777" w:rsidR="00E151DF" w:rsidRPr="003B00D5" w:rsidRDefault="00E151DF" w:rsidP="00E151DF">
      <w:pPr>
        <w:spacing w:line="480" w:lineRule="auto"/>
        <w:jc w:val="center"/>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industries? Discuss various strategic positioning frameworks such as Porter’s Generic</w:t>
      </w:r>
    </w:p>
    <w:p w14:paraId="6D053D5B" w14:textId="77777777" w:rsidR="00E151DF" w:rsidRPr="003B00D5" w:rsidRDefault="00E151DF" w:rsidP="00E151DF">
      <w:pPr>
        <w:spacing w:line="480" w:lineRule="auto"/>
        <w:jc w:val="center"/>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 xml:space="preserve">Strategies, the Resource-Based View (RBV), and Blue Ocean Strategy, and </w:t>
      </w:r>
      <w:proofErr w:type="spellStart"/>
      <w:r w:rsidRPr="003B00D5">
        <w:rPr>
          <w:rFonts w:ascii="Times New Roman" w:hAnsi="Times New Roman" w:cs="Times New Roman"/>
          <w:b/>
          <w:bCs/>
          <w:color w:val="000000" w:themeColor="text1"/>
          <w:szCs w:val="24"/>
        </w:rPr>
        <w:t>analyze</w:t>
      </w:r>
      <w:proofErr w:type="spellEnd"/>
    </w:p>
    <w:p w14:paraId="7D0FB75A" w14:textId="77777777" w:rsidR="00E151DF" w:rsidRPr="003B00D5" w:rsidRDefault="00E151DF" w:rsidP="00E151DF">
      <w:pPr>
        <w:spacing w:line="480" w:lineRule="auto"/>
        <w:jc w:val="center"/>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how they help organizations maintain long-term profitability. Provide examples of</w:t>
      </w:r>
    </w:p>
    <w:p w14:paraId="121195F5" w14:textId="5EF9FC18" w:rsidR="008A79F5" w:rsidRPr="003B00D5" w:rsidRDefault="00E151DF" w:rsidP="00E151DF">
      <w:pPr>
        <w:spacing w:line="480" w:lineRule="auto"/>
        <w:jc w:val="center"/>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companies that have successfully implemented these strategies.</w:t>
      </w:r>
    </w:p>
    <w:p w14:paraId="3360A857" w14:textId="77777777" w:rsidR="00E151DF" w:rsidRPr="003B00D5" w:rsidRDefault="00E151DF" w:rsidP="00E151DF">
      <w:pPr>
        <w:spacing w:line="480" w:lineRule="auto"/>
        <w:jc w:val="center"/>
        <w:rPr>
          <w:rFonts w:ascii="Times New Roman" w:hAnsi="Times New Roman" w:cs="Times New Roman"/>
          <w:color w:val="000000" w:themeColor="text1"/>
          <w:szCs w:val="24"/>
          <w:lang w:val="en-US"/>
        </w:rPr>
      </w:pPr>
    </w:p>
    <w:p w14:paraId="19B52B77" w14:textId="77777777" w:rsidR="005B2DFD" w:rsidRPr="003B00D5"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3B00D5" w:rsidRDefault="0095171B" w:rsidP="00013DBD">
      <w:pPr>
        <w:spacing w:line="480" w:lineRule="auto"/>
        <w:rPr>
          <w:rFonts w:ascii="Times New Roman" w:hAnsi="Times New Roman" w:cs="Times New Roman"/>
          <w:color w:val="000000" w:themeColor="text1"/>
          <w:szCs w:val="24"/>
          <w:lang w:val="en-US"/>
        </w:rPr>
      </w:pPr>
    </w:p>
    <w:p w14:paraId="23E5CF7F" w14:textId="77777777" w:rsidR="00DE2CD6" w:rsidRPr="003B00D5" w:rsidRDefault="00DE2CD6" w:rsidP="00013DBD">
      <w:pPr>
        <w:spacing w:line="480" w:lineRule="auto"/>
        <w:rPr>
          <w:rFonts w:ascii="Times New Roman" w:hAnsi="Times New Roman" w:cs="Times New Roman"/>
          <w:color w:val="000000" w:themeColor="text1"/>
          <w:szCs w:val="24"/>
          <w:lang w:val="en-US"/>
        </w:rPr>
      </w:pPr>
    </w:p>
    <w:p w14:paraId="799FAFCA" w14:textId="77777777" w:rsidR="00C85764" w:rsidRPr="003B00D5" w:rsidRDefault="00C85764" w:rsidP="00013DBD">
      <w:pPr>
        <w:spacing w:line="480" w:lineRule="auto"/>
        <w:rPr>
          <w:rFonts w:ascii="Times New Roman" w:hAnsi="Times New Roman" w:cs="Times New Roman"/>
          <w:color w:val="000000" w:themeColor="text1"/>
          <w:szCs w:val="24"/>
          <w:lang w:val="en-US"/>
        </w:rPr>
      </w:pPr>
    </w:p>
    <w:p w14:paraId="0E7C4AF5" w14:textId="76A518C9" w:rsidR="00C03804" w:rsidRPr="003B00D5" w:rsidRDefault="00D33052" w:rsidP="00ED21E5">
      <w:pPr>
        <w:spacing w:line="480" w:lineRule="auto"/>
        <w:rPr>
          <w:rFonts w:ascii="Times New Roman" w:hAnsi="Times New Roman" w:cs="Times New Roman"/>
          <w:color w:val="000000" w:themeColor="text1"/>
          <w:szCs w:val="24"/>
        </w:rPr>
      </w:pPr>
      <w:bookmarkStart w:id="0" w:name="_Toc215261169"/>
      <w:r w:rsidRPr="003B00D5">
        <w:rPr>
          <w:rStyle w:val="Heading1Char"/>
          <w:rFonts w:ascii="Times New Roman" w:hAnsi="Times New Roman" w:cs="Times New Roman"/>
          <w:b/>
          <w:bCs/>
          <w:color w:val="000000" w:themeColor="text1"/>
          <w:sz w:val="24"/>
          <w:szCs w:val="24"/>
        </w:rPr>
        <w:lastRenderedPageBreak/>
        <w:t>Abstract</w:t>
      </w:r>
      <w:bookmarkEnd w:id="0"/>
    </w:p>
    <w:p w14:paraId="550C4FA2"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Competitive advantage is essential for organizations operating in highly competitive and rapidly changing industries. This paper examines how firms can create and sustain competitive advantage through three major strategic perspectives: Porter’s Generic Strategies, the Resource-Based View (RBV), and Blue Ocean Strategy. Porter’s framework explains how firms can achieve superior performance through cost leadership, differentiation, or focus, whereas the RBV emphasizes valuable and difficult-to-imitate internal resources as foundations of sustained advantage. Blue Ocean Strategy provides an alternative perspective by encouraging firms to create new market space through value innovation rather than compete directly within existing industry boundaries. The paper critically evaluates the contribution and limitations of these frameworks and considers how strategic positioning, distinctive capabilities, innovation, and organizational adaptability influence long-term profitability. Real-world examples demonstrate that sustainable competitive advantage rarely depends on a single strategic approach. Instead, firms must align their market positioning with distinctive internal capabilities while continually responding to competitive, technological, and customer changes.</w:t>
      </w:r>
    </w:p>
    <w:p w14:paraId="5457E3F3"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b/>
          <w:bCs/>
          <w:color w:val="000000" w:themeColor="text1"/>
          <w:szCs w:val="24"/>
        </w:rPr>
        <w:t>Keywords:</w:t>
      </w:r>
      <w:r w:rsidRPr="003B00D5">
        <w:rPr>
          <w:rFonts w:ascii="Times New Roman" w:hAnsi="Times New Roman" w:cs="Times New Roman"/>
          <w:color w:val="000000" w:themeColor="text1"/>
          <w:szCs w:val="24"/>
        </w:rPr>
        <w:t xml:space="preserve"> competitive advantage, strategic positioning, Porter’s Generic Strategies, Resource-Based View, Blue Ocean Strategy, value innovation</w:t>
      </w:r>
    </w:p>
    <w:p w14:paraId="2CDCD938" w14:textId="77777777" w:rsidR="00BC633F" w:rsidRPr="003B00D5" w:rsidRDefault="00BC633F" w:rsidP="00C03804">
      <w:pPr>
        <w:spacing w:line="480" w:lineRule="auto"/>
        <w:rPr>
          <w:rFonts w:ascii="Times New Roman" w:hAnsi="Times New Roman" w:cs="Times New Roman"/>
          <w:color w:val="000000" w:themeColor="text1"/>
          <w:szCs w:val="24"/>
        </w:rPr>
      </w:pPr>
    </w:p>
    <w:p w14:paraId="432DDFAE" w14:textId="77777777" w:rsidR="00BC633F" w:rsidRPr="003B00D5" w:rsidRDefault="00BC633F" w:rsidP="00C03804">
      <w:pPr>
        <w:spacing w:line="480" w:lineRule="auto"/>
        <w:rPr>
          <w:rFonts w:ascii="Times New Roman" w:hAnsi="Times New Roman" w:cs="Times New Roman"/>
          <w:color w:val="000000" w:themeColor="text1"/>
          <w:szCs w:val="24"/>
        </w:rPr>
      </w:pPr>
    </w:p>
    <w:p w14:paraId="6FE11C83" w14:textId="77777777" w:rsidR="00BC633F" w:rsidRPr="003B00D5" w:rsidRDefault="00BC633F" w:rsidP="00C03804">
      <w:pPr>
        <w:spacing w:line="480" w:lineRule="auto"/>
        <w:rPr>
          <w:rFonts w:ascii="Times New Roman" w:hAnsi="Times New Roman" w:cs="Times New Roman"/>
          <w:color w:val="000000" w:themeColor="text1"/>
          <w:szCs w:val="24"/>
        </w:rPr>
      </w:pPr>
    </w:p>
    <w:p w14:paraId="375773E8" w14:textId="77777777" w:rsidR="00C85764" w:rsidRPr="003B00D5" w:rsidRDefault="00C85764" w:rsidP="00C03804">
      <w:pPr>
        <w:spacing w:line="480" w:lineRule="auto"/>
        <w:rPr>
          <w:rFonts w:ascii="Times New Roman" w:hAnsi="Times New Roman" w:cs="Times New Roman"/>
          <w:color w:val="000000" w:themeColor="text1"/>
          <w:szCs w:val="24"/>
        </w:rPr>
      </w:pPr>
    </w:p>
    <w:p w14:paraId="4133081A" w14:textId="77777777" w:rsidR="003B00D5" w:rsidRPr="003B00D5" w:rsidRDefault="003B00D5"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3B00D5" w:rsidRDefault="004D7D13" w:rsidP="00C03804">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Contents</w:t>
          </w:r>
        </w:p>
        <w:p w14:paraId="77759EAD" w14:textId="637F2D99" w:rsidR="009B7F6F" w:rsidRPr="003B00D5"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3B00D5">
            <w:rPr>
              <w:rFonts w:ascii="Times New Roman" w:hAnsi="Times New Roman"/>
              <w:color w:val="000000" w:themeColor="text1"/>
              <w:sz w:val="24"/>
              <w:szCs w:val="24"/>
            </w:rPr>
            <w:fldChar w:fldCharType="begin"/>
          </w:r>
          <w:r w:rsidRPr="003B00D5">
            <w:rPr>
              <w:rFonts w:ascii="Times New Roman" w:hAnsi="Times New Roman"/>
              <w:color w:val="000000" w:themeColor="text1"/>
              <w:sz w:val="24"/>
              <w:szCs w:val="24"/>
            </w:rPr>
            <w:instrText xml:space="preserve"> TOC \o "1-3" \h \z \u </w:instrText>
          </w:r>
          <w:r w:rsidRPr="003B00D5">
            <w:rPr>
              <w:rFonts w:ascii="Times New Roman" w:hAnsi="Times New Roman"/>
              <w:color w:val="000000" w:themeColor="text1"/>
              <w:sz w:val="24"/>
              <w:szCs w:val="24"/>
            </w:rPr>
            <w:fldChar w:fldCharType="separate"/>
          </w:r>
          <w:hyperlink w:anchor="_Toc215261169" w:history="1">
            <w:r w:rsidR="009B7F6F" w:rsidRPr="003B00D5">
              <w:rPr>
                <w:rStyle w:val="Hyperlink"/>
                <w:rFonts w:ascii="Times New Roman" w:hAnsi="Times New Roman"/>
                <w:b/>
                <w:bCs/>
                <w:noProof/>
                <w:sz w:val="24"/>
                <w:szCs w:val="24"/>
              </w:rPr>
              <w:t>Abstract</w:t>
            </w:r>
            <w:r w:rsidR="009B7F6F" w:rsidRPr="003B00D5">
              <w:rPr>
                <w:rFonts w:ascii="Times New Roman" w:hAnsi="Times New Roman"/>
                <w:noProof/>
                <w:webHidden/>
                <w:sz w:val="24"/>
                <w:szCs w:val="24"/>
              </w:rPr>
              <w:tab/>
            </w:r>
            <w:r w:rsidR="009B7F6F" w:rsidRPr="003B00D5">
              <w:rPr>
                <w:rFonts w:ascii="Times New Roman" w:hAnsi="Times New Roman"/>
                <w:noProof/>
                <w:webHidden/>
                <w:sz w:val="24"/>
                <w:szCs w:val="24"/>
              </w:rPr>
              <w:fldChar w:fldCharType="begin"/>
            </w:r>
            <w:r w:rsidR="009B7F6F" w:rsidRPr="003B00D5">
              <w:rPr>
                <w:rFonts w:ascii="Times New Roman" w:hAnsi="Times New Roman"/>
                <w:noProof/>
                <w:webHidden/>
                <w:sz w:val="24"/>
                <w:szCs w:val="24"/>
              </w:rPr>
              <w:instrText xml:space="preserve"> PAGEREF _Toc215261169 \h </w:instrText>
            </w:r>
            <w:r w:rsidR="009B7F6F" w:rsidRPr="003B00D5">
              <w:rPr>
                <w:rFonts w:ascii="Times New Roman" w:hAnsi="Times New Roman"/>
                <w:noProof/>
                <w:webHidden/>
                <w:sz w:val="24"/>
                <w:szCs w:val="24"/>
              </w:rPr>
            </w:r>
            <w:r w:rsidR="009B7F6F" w:rsidRPr="003B00D5">
              <w:rPr>
                <w:rFonts w:ascii="Times New Roman" w:hAnsi="Times New Roman"/>
                <w:noProof/>
                <w:webHidden/>
                <w:sz w:val="24"/>
                <w:szCs w:val="24"/>
              </w:rPr>
              <w:fldChar w:fldCharType="separate"/>
            </w:r>
            <w:r w:rsidR="009B7F6F" w:rsidRPr="003B00D5">
              <w:rPr>
                <w:rFonts w:ascii="Times New Roman" w:hAnsi="Times New Roman"/>
                <w:noProof/>
                <w:webHidden/>
                <w:sz w:val="24"/>
                <w:szCs w:val="24"/>
              </w:rPr>
              <w:t>2</w:t>
            </w:r>
            <w:r w:rsidR="009B7F6F" w:rsidRPr="003B00D5">
              <w:rPr>
                <w:rFonts w:ascii="Times New Roman" w:hAnsi="Times New Roman"/>
                <w:noProof/>
                <w:webHidden/>
                <w:sz w:val="24"/>
                <w:szCs w:val="24"/>
              </w:rPr>
              <w:fldChar w:fldCharType="end"/>
            </w:r>
          </w:hyperlink>
        </w:p>
        <w:p w14:paraId="765543B0" w14:textId="5F600262" w:rsidR="009B7F6F" w:rsidRPr="003B00D5"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3B00D5">
              <w:rPr>
                <w:rStyle w:val="Hyperlink"/>
                <w:rFonts w:ascii="Times New Roman" w:hAnsi="Times New Roman"/>
                <w:b/>
                <w:bCs/>
                <w:noProof/>
                <w:sz w:val="24"/>
                <w:szCs w:val="24"/>
              </w:rPr>
              <w:t>1.Introduction</w:t>
            </w:r>
            <w:r w:rsidRPr="003B00D5">
              <w:rPr>
                <w:rFonts w:ascii="Times New Roman" w:hAnsi="Times New Roman"/>
                <w:noProof/>
                <w:webHidden/>
                <w:sz w:val="24"/>
                <w:szCs w:val="24"/>
              </w:rPr>
              <w:tab/>
            </w:r>
            <w:r w:rsidRPr="003B00D5">
              <w:rPr>
                <w:rFonts w:ascii="Times New Roman" w:hAnsi="Times New Roman"/>
                <w:noProof/>
                <w:webHidden/>
                <w:sz w:val="24"/>
                <w:szCs w:val="24"/>
              </w:rPr>
              <w:fldChar w:fldCharType="begin"/>
            </w:r>
            <w:r w:rsidRPr="003B00D5">
              <w:rPr>
                <w:rFonts w:ascii="Times New Roman" w:hAnsi="Times New Roman"/>
                <w:noProof/>
                <w:webHidden/>
                <w:sz w:val="24"/>
                <w:szCs w:val="24"/>
              </w:rPr>
              <w:instrText xml:space="preserve"> PAGEREF _Toc215261170 \h </w:instrText>
            </w:r>
            <w:r w:rsidRPr="003B00D5">
              <w:rPr>
                <w:rFonts w:ascii="Times New Roman" w:hAnsi="Times New Roman"/>
                <w:noProof/>
                <w:webHidden/>
                <w:sz w:val="24"/>
                <w:szCs w:val="24"/>
              </w:rPr>
            </w:r>
            <w:r w:rsidRPr="003B00D5">
              <w:rPr>
                <w:rFonts w:ascii="Times New Roman" w:hAnsi="Times New Roman"/>
                <w:noProof/>
                <w:webHidden/>
                <w:sz w:val="24"/>
                <w:szCs w:val="24"/>
              </w:rPr>
              <w:fldChar w:fldCharType="separate"/>
            </w:r>
            <w:r w:rsidRPr="003B00D5">
              <w:rPr>
                <w:rFonts w:ascii="Times New Roman" w:hAnsi="Times New Roman"/>
                <w:noProof/>
                <w:webHidden/>
                <w:sz w:val="24"/>
                <w:szCs w:val="24"/>
              </w:rPr>
              <w:t>5</w:t>
            </w:r>
            <w:r w:rsidRPr="003B00D5">
              <w:rPr>
                <w:rFonts w:ascii="Times New Roman" w:hAnsi="Times New Roman"/>
                <w:noProof/>
                <w:webHidden/>
                <w:sz w:val="24"/>
                <w:szCs w:val="24"/>
              </w:rPr>
              <w:fldChar w:fldCharType="end"/>
            </w:r>
          </w:hyperlink>
        </w:p>
        <w:p w14:paraId="4012A60E" w14:textId="4FF92D90" w:rsidR="009B7F6F" w:rsidRPr="003B00D5"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3B00D5">
              <w:rPr>
                <w:rStyle w:val="Hyperlink"/>
                <w:rFonts w:ascii="Times New Roman" w:hAnsi="Times New Roman"/>
                <w:b/>
                <w:bCs/>
                <w:noProof/>
                <w:sz w:val="24"/>
                <w:szCs w:val="24"/>
              </w:rPr>
              <w:t>2. Literature Review</w:t>
            </w:r>
            <w:r w:rsidRPr="003B00D5">
              <w:rPr>
                <w:rFonts w:ascii="Times New Roman" w:hAnsi="Times New Roman"/>
                <w:noProof/>
                <w:webHidden/>
                <w:sz w:val="24"/>
                <w:szCs w:val="24"/>
              </w:rPr>
              <w:tab/>
            </w:r>
            <w:r w:rsidRPr="003B00D5">
              <w:rPr>
                <w:rFonts w:ascii="Times New Roman" w:hAnsi="Times New Roman"/>
                <w:noProof/>
                <w:webHidden/>
                <w:sz w:val="24"/>
                <w:szCs w:val="24"/>
              </w:rPr>
              <w:fldChar w:fldCharType="begin"/>
            </w:r>
            <w:r w:rsidRPr="003B00D5">
              <w:rPr>
                <w:rFonts w:ascii="Times New Roman" w:hAnsi="Times New Roman"/>
                <w:noProof/>
                <w:webHidden/>
                <w:sz w:val="24"/>
                <w:szCs w:val="24"/>
              </w:rPr>
              <w:instrText xml:space="preserve"> PAGEREF _Toc215261171 \h </w:instrText>
            </w:r>
            <w:r w:rsidRPr="003B00D5">
              <w:rPr>
                <w:rFonts w:ascii="Times New Roman" w:hAnsi="Times New Roman"/>
                <w:noProof/>
                <w:webHidden/>
                <w:sz w:val="24"/>
                <w:szCs w:val="24"/>
              </w:rPr>
            </w:r>
            <w:r w:rsidRPr="003B00D5">
              <w:rPr>
                <w:rFonts w:ascii="Times New Roman" w:hAnsi="Times New Roman"/>
                <w:noProof/>
                <w:webHidden/>
                <w:sz w:val="24"/>
                <w:szCs w:val="24"/>
              </w:rPr>
              <w:fldChar w:fldCharType="separate"/>
            </w:r>
            <w:r w:rsidRPr="003B00D5">
              <w:rPr>
                <w:rFonts w:ascii="Times New Roman" w:hAnsi="Times New Roman"/>
                <w:noProof/>
                <w:webHidden/>
                <w:sz w:val="24"/>
                <w:szCs w:val="24"/>
              </w:rPr>
              <w:t>7</w:t>
            </w:r>
            <w:r w:rsidRPr="003B00D5">
              <w:rPr>
                <w:rFonts w:ascii="Times New Roman" w:hAnsi="Times New Roman"/>
                <w:noProof/>
                <w:webHidden/>
                <w:sz w:val="24"/>
                <w:szCs w:val="24"/>
              </w:rPr>
              <w:fldChar w:fldCharType="end"/>
            </w:r>
          </w:hyperlink>
        </w:p>
        <w:p w14:paraId="26794F50" w14:textId="6698025F" w:rsidR="009B7F6F" w:rsidRPr="003B00D5"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3B00D5">
              <w:rPr>
                <w:rStyle w:val="Hyperlink"/>
                <w:rFonts w:ascii="Times New Roman" w:hAnsi="Times New Roman"/>
                <w:b/>
                <w:bCs/>
                <w:noProof/>
                <w:sz w:val="24"/>
                <w:szCs w:val="24"/>
              </w:rPr>
              <w:t>3 Methodology</w:t>
            </w:r>
            <w:r w:rsidRPr="003B00D5">
              <w:rPr>
                <w:rFonts w:ascii="Times New Roman" w:hAnsi="Times New Roman"/>
                <w:noProof/>
                <w:webHidden/>
                <w:sz w:val="24"/>
                <w:szCs w:val="24"/>
              </w:rPr>
              <w:tab/>
            </w:r>
            <w:r w:rsidRPr="003B00D5">
              <w:rPr>
                <w:rFonts w:ascii="Times New Roman" w:hAnsi="Times New Roman"/>
                <w:noProof/>
                <w:webHidden/>
                <w:sz w:val="24"/>
                <w:szCs w:val="24"/>
              </w:rPr>
              <w:fldChar w:fldCharType="begin"/>
            </w:r>
            <w:r w:rsidRPr="003B00D5">
              <w:rPr>
                <w:rFonts w:ascii="Times New Roman" w:hAnsi="Times New Roman"/>
                <w:noProof/>
                <w:webHidden/>
                <w:sz w:val="24"/>
                <w:szCs w:val="24"/>
              </w:rPr>
              <w:instrText xml:space="preserve"> PAGEREF _Toc215261172 \h </w:instrText>
            </w:r>
            <w:r w:rsidRPr="003B00D5">
              <w:rPr>
                <w:rFonts w:ascii="Times New Roman" w:hAnsi="Times New Roman"/>
                <w:noProof/>
                <w:webHidden/>
                <w:sz w:val="24"/>
                <w:szCs w:val="24"/>
              </w:rPr>
            </w:r>
            <w:r w:rsidRPr="003B00D5">
              <w:rPr>
                <w:rFonts w:ascii="Times New Roman" w:hAnsi="Times New Roman"/>
                <w:noProof/>
                <w:webHidden/>
                <w:sz w:val="24"/>
                <w:szCs w:val="24"/>
              </w:rPr>
              <w:fldChar w:fldCharType="separate"/>
            </w:r>
            <w:r w:rsidRPr="003B00D5">
              <w:rPr>
                <w:rFonts w:ascii="Times New Roman" w:hAnsi="Times New Roman"/>
                <w:noProof/>
                <w:webHidden/>
                <w:sz w:val="24"/>
                <w:szCs w:val="24"/>
              </w:rPr>
              <w:t>12</w:t>
            </w:r>
            <w:r w:rsidRPr="003B00D5">
              <w:rPr>
                <w:rFonts w:ascii="Times New Roman" w:hAnsi="Times New Roman"/>
                <w:noProof/>
                <w:webHidden/>
                <w:sz w:val="24"/>
                <w:szCs w:val="24"/>
              </w:rPr>
              <w:fldChar w:fldCharType="end"/>
            </w:r>
          </w:hyperlink>
        </w:p>
        <w:p w14:paraId="16E47CF1" w14:textId="40E5DD64" w:rsidR="009B7F6F" w:rsidRPr="003B00D5"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3B00D5">
              <w:rPr>
                <w:rStyle w:val="Hyperlink"/>
                <w:rFonts w:ascii="Times New Roman" w:hAnsi="Times New Roman"/>
                <w:b/>
                <w:bCs/>
                <w:noProof/>
                <w:sz w:val="24"/>
                <w:szCs w:val="24"/>
              </w:rPr>
              <w:t>4 Finding</w:t>
            </w:r>
            <w:r w:rsidRPr="003B00D5">
              <w:rPr>
                <w:rFonts w:ascii="Times New Roman" w:hAnsi="Times New Roman"/>
                <w:noProof/>
                <w:webHidden/>
                <w:sz w:val="24"/>
                <w:szCs w:val="24"/>
              </w:rPr>
              <w:tab/>
            </w:r>
            <w:r w:rsidRPr="003B00D5">
              <w:rPr>
                <w:rFonts w:ascii="Times New Roman" w:hAnsi="Times New Roman"/>
                <w:noProof/>
                <w:webHidden/>
                <w:sz w:val="24"/>
                <w:szCs w:val="24"/>
              </w:rPr>
              <w:fldChar w:fldCharType="begin"/>
            </w:r>
            <w:r w:rsidRPr="003B00D5">
              <w:rPr>
                <w:rFonts w:ascii="Times New Roman" w:hAnsi="Times New Roman"/>
                <w:noProof/>
                <w:webHidden/>
                <w:sz w:val="24"/>
                <w:szCs w:val="24"/>
              </w:rPr>
              <w:instrText xml:space="preserve"> PAGEREF _Toc215261173 \h </w:instrText>
            </w:r>
            <w:r w:rsidRPr="003B00D5">
              <w:rPr>
                <w:rFonts w:ascii="Times New Roman" w:hAnsi="Times New Roman"/>
                <w:noProof/>
                <w:webHidden/>
                <w:sz w:val="24"/>
                <w:szCs w:val="24"/>
              </w:rPr>
            </w:r>
            <w:r w:rsidRPr="003B00D5">
              <w:rPr>
                <w:rFonts w:ascii="Times New Roman" w:hAnsi="Times New Roman"/>
                <w:noProof/>
                <w:webHidden/>
                <w:sz w:val="24"/>
                <w:szCs w:val="24"/>
              </w:rPr>
              <w:fldChar w:fldCharType="separate"/>
            </w:r>
            <w:r w:rsidRPr="003B00D5">
              <w:rPr>
                <w:rFonts w:ascii="Times New Roman" w:hAnsi="Times New Roman"/>
                <w:noProof/>
                <w:webHidden/>
                <w:sz w:val="24"/>
                <w:szCs w:val="24"/>
              </w:rPr>
              <w:t>14</w:t>
            </w:r>
            <w:r w:rsidRPr="003B00D5">
              <w:rPr>
                <w:rFonts w:ascii="Times New Roman" w:hAnsi="Times New Roman"/>
                <w:noProof/>
                <w:webHidden/>
                <w:sz w:val="24"/>
                <w:szCs w:val="24"/>
              </w:rPr>
              <w:fldChar w:fldCharType="end"/>
            </w:r>
          </w:hyperlink>
        </w:p>
        <w:p w14:paraId="5699EAF6" w14:textId="1F4760F0" w:rsidR="009B7F6F" w:rsidRPr="003B00D5"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3B00D5">
              <w:rPr>
                <w:rStyle w:val="Hyperlink"/>
                <w:rFonts w:ascii="Times New Roman" w:hAnsi="Times New Roman"/>
                <w:b/>
                <w:bCs/>
                <w:noProof/>
                <w:sz w:val="24"/>
                <w:szCs w:val="24"/>
              </w:rPr>
              <w:t>5. Discussion</w:t>
            </w:r>
            <w:r w:rsidRPr="003B00D5">
              <w:rPr>
                <w:rFonts w:ascii="Times New Roman" w:hAnsi="Times New Roman"/>
                <w:noProof/>
                <w:webHidden/>
                <w:sz w:val="24"/>
                <w:szCs w:val="24"/>
              </w:rPr>
              <w:tab/>
            </w:r>
            <w:r w:rsidRPr="003B00D5">
              <w:rPr>
                <w:rFonts w:ascii="Times New Roman" w:hAnsi="Times New Roman"/>
                <w:noProof/>
                <w:webHidden/>
                <w:sz w:val="24"/>
                <w:szCs w:val="24"/>
              </w:rPr>
              <w:fldChar w:fldCharType="begin"/>
            </w:r>
            <w:r w:rsidRPr="003B00D5">
              <w:rPr>
                <w:rFonts w:ascii="Times New Roman" w:hAnsi="Times New Roman"/>
                <w:noProof/>
                <w:webHidden/>
                <w:sz w:val="24"/>
                <w:szCs w:val="24"/>
              </w:rPr>
              <w:instrText xml:space="preserve"> PAGEREF _Toc215261174 \h </w:instrText>
            </w:r>
            <w:r w:rsidRPr="003B00D5">
              <w:rPr>
                <w:rFonts w:ascii="Times New Roman" w:hAnsi="Times New Roman"/>
                <w:noProof/>
                <w:webHidden/>
                <w:sz w:val="24"/>
                <w:szCs w:val="24"/>
              </w:rPr>
            </w:r>
            <w:r w:rsidRPr="003B00D5">
              <w:rPr>
                <w:rFonts w:ascii="Times New Roman" w:hAnsi="Times New Roman"/>
                <w:noProof/>
                <w:webHidden/>
                <w:sz w:val="24"/>
                <w:szCs w:val="24"/>
              </w:rPr>
              <w:fldChar w:fldCharType="separate"/>
            </w:r>
            <w:r w:rsidRPr="003B00D5">
              <w:rPr>
                <w:rFonts w:ascii="Times New Roman" w:hAnsi="Times New Roman"/>
                <w:noProof/>
                <w:webHidden/>
                <w:sz w:val="24"/>
                <w:szCs w:val="24"/>
              </w:rPr>
              <w:t>18</w:t>
            </w:r>
            <w:r w:rsidRPr="003B00D5">
              <w:rPr>
                <w:rFonts w:ascii="Times New Roman" w:hAnsi="Times New Roman"/>
                <w:noProof/>
                <w:webHidden/>
                <w:sz w:val="24"/>
                <w:szCs w:val="24"/>
              </w:rPr>
              <w:fldChar w:fldCharType="end"/>
            </w:r>
          </w:hyperlink>
        </w:p>
        <w:p w14:paraId="69D7CF28" w14:textId="16A6E5AC" w:rsidR="009B7F6F" w:rsidRPr="003B00D5"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3B00D5">
              <w:rPr>
                <w:rStyle w:val="Hyperlink"/>
                <w:rFonts w:ascii="Times New Roman" w:hAnsi="Times New Roman"/>
                <w:b/>
                <w:bCs/>
                <w:noProof/>
                <w:sz w:val="24"/>
                <w:szCs w:val="24"/>
              </w:rPr>
              <w:t>6. Recommendation</w:t>
            </w:r>
            <w:r w:rsidRPr="003B00D5">
              <w:rPr>
                <w:rFonts w:ascii="Times New Roman" w:hAnsi="Times New Roman"/>
                <w:noProof/>
                <w:webHidden/>
                <w:sz w:val="24"/>
                <w:szCs w:val="24"/>
              </w:rPr>
              <w:tab/>
            </w:r>
            <w:r w:rsidRPr="003B00D5">
              <w:rPr>
                <w:rFonts w:ascii="Times New Roman" w:hAnsi="Times New Roman"/>
                <w:noProof/>
                <w:webHidden/>
                <w:sz w:val="24"/>
                <w:szCs w:val="24"/>
              </w:rPr>
              <w:fldChar w:fldCharType="begin"/>
            </w:r>
            <w:r w:rsidRPr="003B00D5">
              <w:rPr>
                <w:rFonts w:ascii="Times New Roman" w:hAnsi="Times New Roman"/>
                <w:noProof/>
                <w:webHidden/>
                <w:sz w:val="24"/>
                <w:szCs w:val="24"/>
              </w:rPr>
              <w:instrText xml:space="preserve"> PAGEREF _Toc215261175 \h </w:instrText>
            </w:r>
            <w:r w:rsidRPr="003B00D5">
              <w:rPr>
                <w:rFonts w:ascii="Times New Roman" w:hAnsi="Times New Roman"/>
                <w:noProof/>
                <w:webHidden/>
                <w:sz w:val="24"/>
                <w:szCs w:val="24"/>
              </w:rPr>
            </w:r>
            <w:r w:rsidRPr="003B00D5">
              <w:rPr>
                <w:rFonts w:ascii="Times New Roman" w:hAnsi="Times New Roman"/>
                <w:noProof/>
                <w:webHidden/>
                <w:sz w:val="24"/>
                <w:szCs w:val="24"/>
              </w:rPr>
              <w:fldChar w:fldCharType="separate"/>
            </w:r>
            <w:r w:rsidRPr="003B00D5">
              <w:rPr>
                <w:rFonts w:ascii="Times New Roman" w:hAnsi="Times New Roman"/>
                <w:noProof/>
                <w:webHidden/>
                <w:sz w:val="24"/>
                <w:szCs w:val="24"/>
              </w:rPr>
              <w:t>21</w:t>
            </w:r>
            <w:r w:rsidRPr="003B00D5">
              <w:rPr>
                <w:rFonts w:ascii="Times New Roman" w:hAnsi="Times New Roman"/>
                <w:noProof/>
                <w:webHidden/>
                <w:sz w:val="24"/>
                <w:szCs w:val="24"/>
              </w:rPr>
              <w:fldChar w:fldCharType="end"/>
            </w:r>
          </w:hyperlink>
        </w:p>
        <w:p w14:paraId="17333209" w14:textId="0C5B8D17" w:rsidR="009B7F6F" w:rsidRPr="003B00D5"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3B00D5">
              <w:rPr>
                <w:rStyle w:val="Hyperlink"/>
                <w:rFonts w:ascii="Times New Roman" w:hAnsi="Times New Roman"/>
                <w:b/>
                <w:bCs/>
                <w:noProof/>
                <w:sz w:val="24"/>
                <w:szCs w:val="24"/>
              </w:rPr>
              <w:t>8. Conclusion</w:t>
            </w:r>
            <w:r w:rsidRPr="003B00D5">
              <w:rPr>
                <w:rFonts w:ascii="Times New Roman" w:hAnsi="Times New Roman"/>
                <w:noProof/>
                <w:webHidden/>
                <w:sz w:val="24"/>
                <w:szCs w:val="24"/>
              </w:rPr>
              <w:tab/>
            </w:r>
            <w:r w:rsidRPr="003B00D5">
              <w:rPr>
                <w:rFonts w:ascii="Times New Roman" w:hAnsi="Times New Roman"/>
                <w:noProof/>
                <w:webHidden/>
                <w:sz w:val="24"/>
                <w:szCs w:val="24"/>
              </w:rPr>
              <w:fldChar w:fldCharType="begin"/>
            </w:r>
            <w:r w:rsidRPr="003B00D5">
              <w:rPr>
                <w:rFonts w:ascii="Times New Roman" w:hAnsi="Times New Roman"/>
                <w:noProof/>
                <w:webHidden/>
                <w:sz w:val="24"/>
                <w:szCs w:val="24"/>
              </w:rPr>
              <w:instrText xml:space="preserve"> PAGEREF _Toc215261176 \h </w:instrText>
            </w:r>
            <w:r w:rsidRPr="003B00D5">
              <w:rPr>
                <w:rFonts w:ascii="Times New Roman" w:hAnsi="Times New Roman"/>
                <w:noProof/>
                <w:webHidden/>
                <w:sz w:val="24"/>
                <w:szCs w:val="24"/>
              </w:rPr>
            </w:r>
            <w:r w:rsidRPr="003B00D5">
              <w:rPr>
                <w:rFonts w:ascii="Times New Roman" w:hAnsi="Times New Roman"/>
                <w:noProof/>
                <w:webHidden/>
                <w:sz w:val="24"/>
                <w:szCs w:val="24"/>
              </w:rPr>
              <w:fldChar w:fldCharType="separate"/>
            </w:r>
            <w:r w:rsidRPr="003B00D5">
              <w:rPr>
                <w:rFonts w:ascii="Times New Roman" w:hAnsi="Times New Roman"/>
                <w:noProof/>
                <w:webHidden/>
                <w:sz w:val="24"/>
                <w:szCs w:val="24"/>
              </w:rPr>
              <w:t>23</w:t>
            </w:r>
            <w:r w:rsidRPr="003B00D5">
              <w:rPr>
                <w:rFonts w:ascii="Times New Roman" w:hAnsi="Times New Roman"/>
                <w:noProof/>
                <w:webHidden/>
                <w:sz w:val="24"/>
                <w:szCs w:val="24"/>
              </w:rPr>
              <w:fldChar w:fldCharType="end"/>
            </w:r>
          </w:hyperlink>
        </w:p>
        <w:p w14:paraId="22134A74" w14:textId="543ADAC6" w:rsidR="009B7F6F" w:rsidRPr="003B00D5"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3B00D5">
              <w:rPr>
                <w:rStyle w:val="Hyperlink"/>
                <w:rFonts w:ascii="Times New Roman" w:hAnsi="Times New Roman"/>
                <w:b/>
                <w:bCs/>
                <w:noProof/>
                <w:sz w:val="24"/>
                <w:szCs w:val="24"/>
              </w:rPr>
              <w:t>Reference List</w:t>
            </w:r>
            <w:r w:rsidRPr="003B00D5">
              <w:rPr>
                <w:rFonts w:ascii="Times New Roman" w:hAnsi="Times New Roman"/>
                <w:noProof/>
                <w:webHidden/>
                <w:sz w:val="24"/>
                <w:szCs w:val="24"/>
              </w:rPr>
              <w:tab/>
            </w:r>
            <w:r w:rsidRPr="003B00D5">
              <w:rPr>
                <w:rFonts w:ascii="Times New Roman" w:hAnsi="Times New Roman"/>
                <w:noProof/>
                <w:webHidden/>
                <w:sz w:val="24"/>
                <w:szCs w:val="24"/>
              </w:rPr>
              <w:fldChar w:fldCharType="begin"/>
            </w:r>
            <w:r w:rsidRPr="003B00D5">
              <w:rPr>
                <w:rFonts w:ascii="Times New Roman" w:hAnsi="Times New Roman"/>
                <w:noProof/>
                <w:webHidden/>
                <w:sz w:val="24"/>
                <w:szCs w:val="24"/>
              </w:rPr>
              <w:instrText xml:space="preserve"> PAGEREF _Toc215261177 \h </w:instrText>
            </w:r>
            <w:r w:rsidRPr="003B00D5">
              <w:rPr>
                <w:rFonts w:ascii="Times New Roman" w:hAnsi="Times New Roman"/>
                <w:noProof/>
                <w:webHidden/>
                <w:sz w:val="24"/>
                <w:szCs w:val="24"/>
              </w:rPr>
            </w:r>
            <w:r w:rsidRPr="003B00D5">
              <w:rPr>
                <w:rFonts w:ascii="Times New Roman" w:hAnsi="Times New Roman"/>
                <w:noProof/>
                <w:webHidden/>
                <w:sz w:val="24"/>
                <w:szCs w:val="24"/>
              </w:rPr>
              <w:fldChar w:fldCharType="separate"/>
            </w:r>
            <w:r w:rsidRPr="003B00D5">
              <w:rPr>
                <w:rFonts w:ascii="Times New Roman" w:hAnsi="Times New Roman"/>
                <w:noProof/>
                <w:webHidden/>
                <w:sz w:val="24"/>
                <w:szCs w:val="24"/>
              </w:rPr>
              <w:t>25</w:t>
            </w:r>
            <w:r w:rsidRPr="003B00D5">
              <w:rPr>
                <w:rFonts w:ascii="Times New Roman" w:hAnsi="Times New Roman"/>
                <w:noProof/>
                <w:webHidden/>
                <w:sz w:val="24"/>
                <w:szCs w:val="24"/>
              </w:rPr>
              <w:fldChar w:fldCharType="end"/>
            </w:r>
          </w:hyperlink>
        </w:p>
        <w:p w14:paraId="646EF9D8" w14:textId="591C0D0B" w:rsidR="004D7D13" w:rsidRPr="003B00D5" w:rsidRDefault="004D7D13" w:rsidP="00013DBD">
          <w:pPr>
            <w:spacing w:line="480" w:lineRule="auto"/>
            <w:rPr>
              <w:rFonts w:ascii="Times New Roman" w:hAnsi="Times New Roman" w:cs="Times New Roman"/>
              <w:color w:val="000000" w:themeColor="text1"/>
              <w:szCs w:val="24"/>
            </w:rPr>
          </w:pPr>
          <w:r w:rsidRPr="003B00D5">
            <w:rPr>
              <w:rFonts w:ascii="Times New Roman" w:hAnsi="Times New Roman" w:cs="Times New Roman"/>
              <w:b/>
              <w:bCs/>
              <w:noProof/>
              <w:color w:val="000000" w:themeColor="text1"/>
              <w:szCs w:val="24"/>
            </w:rPr>
            <w:fldChar w:fldCharType="end"/>
          </w:r>
        </w:p>
      </w:sdtContent>
    </w:sdt>
    <w:p w14:paraId="1EDA022C" w14:textId="77777777" w:rsidR="004D7D13" w:rsidRPr="003B00D5" w:rsidRDefault="004D7D13" w:rsidP="00013DBD">
      <w:pPr>
        <w:spacing w:line="480" w:lineRule="auto"/>
        <w:rPr>
          <w:rFonts w:ascii="Times New Roman" w:hAnsi="Times New Roman" w:cs="Times New Roman"/>
          <w:color w:val="000000" w:themeColor="text1"/>
          <w:szCs w:val="24"/>
        </w:rPr>
      </w:pPr>
    </w:p>
    <w:p w14:paraId="19B15F5F" w14:textId="77777777" w:rsidR="0095171B" w:rsidRPr="003B00D5" w:rsidRDefault="0095171B" w:rsidP="00013DBD">
      <w:pPr>
        <w:spacing w:line="480" w:lineRule="auto"/>
        <w:rPr>
          <w:rFonts w:ascii="Times New Roman" w:hAnsi="Times New Roman" w:cs="Times New Roman"/>
          <w:color w:val="000000" w:themeColor="text1"/>
          <w:szCs w:val="24"/>
        </w:rPr>
      </w:pPr>
    </w:p>
    <w:p w14:paraId="73636B03" w14:textId="77777777" w:rsidR="0095171B" w:rsidRPr="003B00D5" w:rsidRDefault="0095171B" w:rsidP="00013DBD">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br w:type="page"/>
      </w:r>
    </w:p>
    <w:p w14:paraId="48512045" w14:textId="2774FE42" w:rsidR="00B06124" w:rsidRPr="003B00D5" w:rsidRDefault="000E04F4" w:rsidP="00B06124">
      <w:pPr>
        <w:spacing w:line="480" w:lineRule="auto"/>
        <w:rPr>
          <w:rFonts w:ascii="Times New Roman" w:hAnsi="Times New Roman" w:cs="Times New Roman"/>
          <w:color w:val="000000" w:themeColor="text1"/>
          <w:szCs w:val="24"/>
        </w:rPr>
      </w:pPr>
      <w:bookmarkStart w:id="1" w:name="_Toc215261170"/>
      <w:r w:rsidRPr="003B00D5">
        <w:rPr>
          <w:rStyle w:val="Heading1Char"/>
          <w:rFonts w:ascii="Times New Roman" w:hAnsi="Times New Roman" w:cs="Times New Roman"/>
          <w:b/>
          <w:bCs/>
          <w:color w:val="000000" w:themeColor="text1"/>
          <w:sz w:val="24"/>
          <w:szCs w:val="24"/>
        </w:rPr>
        <w:lastRenderedPageBreak/>
        <w:t>1</w:t>
      </w:r>
      <w:r w:rsidR="004D7D13" w:rsidRPr="003B00D5">
        <w:rPr>
          <w:rStyle w:val="Heading1Char"/>
          <w:rFonts w:ascii="Times New Roman" w:hAnsi="Times New Roman" w:cs="Times New Roman"/>
          <w:b/>
          <w:bCs/>
          <w:color w:val="000000" w:themeColor="text1"/>
          <w:sz w:val="24"/>
          <w:szCs w:val="24"/>
        </w:rPr>
        <w:t>.</w:t>
      </w:r>
      <w:r w:rsidR="0095171B" w:rsidRPr="003B00D5">
        <w:rPr>
          <w:rStyle w:val="Heading1Char"/>
          <w:rFonts w:ascii="Times New Roman" w:hAnsi="Times New Roman" w:cs="Times New Roman"/>
          <w:b/>
          <w:bCs/>
          <w:color w:val="000000" w:themeColor="text1"/>
          <w:sz w:val="24"/>
          <w:szCs w:val="24"/>
        </w:rPr>
        <w:t>Introduction</w:t>
      </w:r>
      <w:bookmarkEnd w:id="1"/>
      <w:r w:rsidR="0095171B" w:rsidRPr="003B00D5">
        <w:rPr>
          <w:rStyle w:val="Heading1Char"/>
          <w:rFonts w:ascii="Times New Roman" w:hAnsi="Times New Roman" w:cs="Times New Roman"/>
          <w:color w:val="000000" w:themeColor="text1"/>
          <w:sz w:val="24"/>
          <w:szCs w:val="24"/>
        </w:rPr>
        <w:t xml:space="preserve"> </w:t>
      </w:r>
    </w:p>
    <w:p w14:paraId="22C58D89" w14:textId="77777777" w:rsidR="00E151DF" w:rsidRPr="003B00D5" w:rsidRDefault="00E151DF" w:rsidP="00E151DF">
      <w:pPr>
        <w:spacing w:line="480" w:lineRule="auto"/>
        <w:rPr>
          <w:rFonts w:ascii="Times New Roman" w:hAnsi="Times New Roman" w:cs="Times New Roman"/>
          <w:color w:val="000000" w:themeColor="text1"/>
          <w:szCs w:val="24"/>
        </w:rPr>
      </w:pPr>
      <w:bookmarkStart w:id="2" w:name="_Toc215261171"/>
      <w:r w:rsidRPr="003B00D5">
        <w:rPr>
          <w:rFonts w:ascii="Times New Roman" w:hAnsi="Times New Roman" w:cs="Times New Roman"/>
          <w:color w:val="000000" w:themeColor="text1"/>
          <w:szCs w:val="24"/>
        </w:rPr>
        <w:t xml:space="preserve">Competitive advantage represents a central concern of strategic management because organizations operating in highly competitive industries must identify ways to outperform rivals while maintaining profitability over time. Competitive advantage occurs when an organization creates greater economic or customer value than competitors through a distinctive strategic position, superior resources, lower costs, differentiation, or innovation. However, achieving an advantage is not </w:t>
      </w:r>
      <w:proofErr w:type="gramStart"/>
      <w:r w:rsidRPr="003B00D5">
        <w:rPr>
          <w:rFonts w:ascii="Times New Roman" w:hAnsi="Times New Roman" w:cs="Times New Roman"/>
          <w:color w:val="000000" w:themeColor="text1"/>
          <w:szCs w:val="24"/>
        </w:rPr>
        <w:t>sufficient in itself</w:t>
      </w:r>
      <w:proofErr w:type="gramEnd"/>
      <w:r w:rsidRPr="003B00D5">
        <w:rPr>
          <w:rFonts w:ascii="Times New Roman" w:hAnsi="Times New Roman" w:cs="Times New Roman"/>
          <w:color w:val="000000" w:themeColor="text1"/>
          <w:szCs w:val="24"/>
        </w:rPr>
        <w:t xml:space="preserve">. Competitors can imitate successful products, adopt comparable technologies and respond to changing customer preferences. Sustainable performance therefore depends on developing a strategic position that is difficult for competitors to reproduce. Porter (1996) argues that operational effectiveness is necessary but insufficient for sustainable superior performance because best practices can often be imitated; strategy instead requires a distinctive position supported by an integrated system of activities. </w:t>
      </w:r>
    </w:p>
    <w:p w14:paraId="0FD37EAA"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Different strategic frameworks explain competitive advantage from complementary perspectives. </w:t>
      </w:r>
      <w:r w:rsidRPr="003B00D5">
        <w:rPr>
          <w:rFonts w:ascii="Times New Roman" w:hAnsi="Times New Roman" w:cs="Times New Roman"/>
          <w:b/>
          <w:bCs/>
          <w:color w:val="000000" w:themeColor="text1"/>
          <w:szCs w:val="24"/>
        </w:rPr>
        <w:t>Porter’s Generic Strategies</w:t>
      </w:r>
      <w:r w:rsidRPr="003B00D5">
        <w:rPr>
          <w:rFonts w:ascii="Times New Roman" w:hAnsi="Times New Roman" w:cs="Times New Roman"/>
          <w:color w:val="000000" w:themeColor="text1"/>
          <w:szCs w:val="24"/>
        </w:rPr>
        <w:t xml:space="preserve"> emphasize competitive positioning through cost leadership, differentiation and focus. The </w:t>
      </w:r>
      <w:r w:rsidRPr="003B00D5">
        <w:rPr>
          <w:rFonts w:ascii="Times New Roman" w:hAnsi="Times New Roman" w:cs="Times New Roman"/>
          <w:b/>
          <w:bCs/>
          <w:color w:val="000000" w:themeColor="text1"/>
          <w:szCs w:val="24"/>
        </w:rPr>
        <w:t>Resource-Based View (RBV)</w:t>
      </w:r>
      <w:r w:rsidRPr="003B00D5">
        <w:rPr>
          <w:rFonts w:ascii="Times New Roman" w:hAnsi="Times New Roman" w:cs="Times New Roman"/>
          <w:color w:val="000000" w:themeColor="text1"/>
          <w:szCs w:val="24"/>
        </w:rPr>
        <w:t xml:space="preserve"> shifts attention inside the organization and proposes that sustained competitive advantage depends upon strategically valuable resources that competitors cannot readily reproduce (Barney, 1991). In contrast, </w:t>
      </w:r>
      <w:r w:rsidRPr="003B00D5">
        <w:rPr>
          <w:rFonts w:ascii="Times New Roman" w:hAnsi="Times New Roman" w:cs="Times New Roman"/>
          <w:b/>
          <w:bCs/>
          <w:color w:val="000000" w:themeColor="text1"/>
          <w:szCs w:val="24"/>
        </w:rPr>
        <w:t>Blue Ocean Strategy</w:t>
      </w:r>
      <w:r w:rsidRPr="003B00D5">
        <w:rPr>
          <w:rFonts w:ascii="Times New Roman" w:hAnsi="Times New Roman" w:cs="Times New Roman"/>
          <w:color w:val="000000" w:themeColor="text1"/>
          <w:szCs w:val="24"/>
        </w:rPr>
        <w:t xml:space="preserve"> questions the assumption that firms must continuously compete within established market boundaries. Kim and Mauborgne (2005) propose value innovation as a mechanism through which organizations can create uncontested market space and unlock new demand. </w:t>
      </w:r>
    </w:p>
    <w:p w14:paraId="3FAEF495"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This paper critically examines these three perspectives and evaluates how they help organizations create and sustain competitive advantage and long-term profitability. Rather than </w:t>
      </w:r>
      <w:r w:rsidRPr="003B00D5">
        <w:rPr>
          <w:rFonts w:ascii="Times New Roman" w:hAnsi="Times New Roman" w:cs="Times New Roman"/>
          <w:color w:val="000000" w:themeColor="text1"/>
          <w:szCs w:val="24"/>
        </w:rPr>
        <w:lastRenderedPageBreak/>
        <w:t>treating them as mutually exclusive explanations, the analysis considers how external positioning, distinctive internal capabilities and market-creating innovation can complement one another. Real-world business examples are used to connect strategic theory with organizational practice.</w:t>
      </w:r>
    </w:p>
    <w:p w14:paraId="6BEC43BE" w14:textId="77777777" w:rsidR="00C85764" w:rsidRPr="003B00D5" w:rsidRDefault="00C85764" w:rsidP="00257256">
      <w:pPr>
        <w:spacing w:line="480" w:lineRule="auto"/>
        <w:rPr>
          <w:rFonts w:ascii="Times New Roman" w:hAnsi="Times New Roman" w:cs="Times New Roman"/>
          <w:color w:val="000000" w:themeColor="text1"/>
          <w:szCs w:val="24"/>
        </w:rPr>
      </w:pPr>
    </w:p>
    <w:p w14:paraId="45F4CB56" w14:textId="77777777" w:rsidR="00C85764" w:rsidRPr="003B00D5" w:rsidRDefault="00C85764" w:rsidP="00257256">
      <w:pPr>
        <w:spacing w:line="480" w:lineRule="auto"/>
        <w:rPr>
          <w:rFonts w:ascii="Times New Roman" w:hAnsi="Times New Roman" w:cs="Times New Roman"/>
          <w:color w:val="000000" w:themeColor="text1"/>
          <w:szCs w:val="24"/>
        </w:rPr>
      </w:pPr>
    </w:p>
    <w:p w14:paraId="5F8D3A31" w14:textId="77777777" w:rsidR="00C85764" w:rsidRPr="003B00D5" w:rsidRDefault="00C85764" w:rsidP="00257256">
      <w:pPr>
        <w:spacing w:line="480" w:lineRule="auto"/>
        <w:rPr>
          <w:rFonts w:ascii="Times New Roman" w:hAnsi="Times New Roman" w:cs="Times New Roman"/>
          <w:color w:val="000000" w:themeColor="text1"/>
          <w:szCs w:val="24"/>
        </w:rPr>
      </w:pPr>
    </w:p>
    <w:p w14:paraId="4000C078" w14:textId="77777777" w:rsidR="00B37028" w:rsidRPr="003B00D5" w:rsidRDefault="00B37028" w:rsidP="00257256">
      <w:pPr>
        <w:spacing w:line="480" w:lineRule="auto"/>
        <w:rPr>
          <w:rFonts w:ascii="Times New Roman" w:hAnsi="Times New Roman" w:cs="Times New Roman"/>
          <w:color w:val="000000" w:themeColor="text1"/>
          <w:szCs w:val="24"/>
        </w:rPr>
      </w:pPr>
    </w:p>
    <w:p w14:paraId="7D118D06" w14:textId="77777777" w:rsidR="00257256" w:rsidRPr="003B00D5" w:rsidRDefault="00257256" w:rsidP="00257256">
      <w:pPr>
        <w:spacing w:line="480" w:lineRule="auto"/>
        <w:rPr>
          <w:rFonts w:ascii="Times New Roman" w:hAnsi="Times New Roman" w:cs="Times New Roman"/>
          <w:color w:val="000000" w:themeColor="text1"/>
          <w:szCs w:val="24"/>
        </w:rPr>
      </w:pPr>
    </w:p>
    <w:p w14:paraId="58CE1420" w14:textId="77777777" w:rsidR="00257256" w:rsidRPr="003B00D5" w:rsidRDefault="00257256" w:rsidP="00257256">
      <w:pPr>
        <w:spacing w:line="480" w:lineRule="auto"/>
        <w:rPr>
          <w:rFonts w:ascii="Times New Roman" w:hAnsi="Times New Roman" w:cs="Times New Roman"/>
          <w:color w:val="000000" w:themeColor="text1"/>
          <w:szCs w:val="24"/>
        </w:rPr>
      </w:pPr>
    </w:p>
    <w:p w14:paraId="5B2C99AB" w14:textId="77777777" w:rsidR="00257256" w:rsidRPr="003B00D5" w:rsidRDefault="00257256" w:rsidP="00257256">
      <w:pPr>
        <w:spacing w:line="480" w:lineRule="auto"/>
        <w:rPr>
          <w:rFonts w:ascii="Times New Roman" w:hAnsi="Times New Roman" w:cs="Times New Roman"/>
          <w:color w:val="000000" w:themeColor="text1"/>
          <w:szCs w:val="24"/>
        </w:rPr>
      </w:pPr>
    </w:p>
    <w:p w14:paraId="5734CF62" w14:textId="77777777" w:rsidR="00257256" w:rsidRPr="003B00D5" w:rsidRDefault="00257256" w:rsidP="00257256">
      <w:pPr>
        <w:spacing w:line="480" w:lineRule="auto"/>
        <w:rPr>
          <w:rFonts w:ascii="Times New Roman" w:hAnsi="Times New Roman" w:cs="Times New Roman"/>
          <w:color w:val="000000" w:themeColor="text1"/>
          <w:szCs w:val="24"/>
        </w:rPr>
      </w:pPr>
    </w:p>
    <w:p w14:paraId="429DD921" w14:textId="77777777" w:rsidR="00E151DF" w:rsidRPr="003B00D5" w:rsidRDefault="00E151DF" w:rsidP="00257256">
      <w:pPr>
        <w:spacing w:line="480" w:lineRule="auto"/>
        <w:rPr>
          <w:rFonts w:ascii="Times New Roman" w:hAnsi="Times New Roman" w:cs="Times New Roman"/>
          <w:color w:val="000000" w:themeColor="text1"/>
          <w:szCs w:val="24"/>
        </w:rPr>
      </w:pPr>
    </w:p>
    <w:p w14:paraId="521D9FDE" w14:textId="77777777" w:rsidR="00E151DF" w:rsidRPr="003B00D5" w:rsidRDefault="00E151DF" w:rsidP="00257256">
      <w:pPr>
        <w:spacing w:line="480" w:lineRule="auto"/>
        <w:rPr>
          <w:rFonts w:ascii="Times New Roman" w:hAnsi="Times New Roman" w:cs="Times New Roman"/>
          <w:color w:val="000000" w:themeColor="text1"/>
          <w:szCs w:val="24"/>
        </w:rPr>
      </w:pPr>
    </w:p>
    <w:p w14:paraId="4F82C158" w14:textId="77777777" w:rsidR="00E151DF" w:rsidRPr="003B00D5" w:rsidRDefault="00E151DF" w:rsidP="00257256">
      <w:pPr>
        <w:spacing w:line="480" w:lineRule="auto"/>
        <w:rPr>
          <w:rFonts w:ascii="Times New Roman" w:hAnsi="Times New Roman" w:cs="Times New Roman"/>
          <w:color w:val="000000" w:themeColor="text1"/>
          <w:szCs w:val="24"/>
        </w:rPr>
      </w:pPr>
    </w:p>
    <w:p w14:paraId="46FAFAEA" w14:textId="77777777" w:rsidR="00E151DF" w:rsidRPr="003B00D5" w:rsidRDefault="00E151DF" w:rsidP="00257256">
      <w:pPr>
        <w:spacing w:line="480" w:lineRule="auto"/>
        <w:rPr>
          <w:rFonts w:ascii="Times New Roman" w:hAnsi="Times New Roman" w:cs="Times New Roman"/>
          <w:color w:val="000000" w:themeColor="text1"/>
          <w:szCs w:val="24"/>
        </w:rPr>
      </w:pPr>
    </w:p>
    <w:p w14:paraId="2250D542" w14:textId="77777777" w:rsidR="00E151DF" w:rsidRPr="003B00D5" w:rsidRDefault="00E151DF" w:rsidP="00257256">
      <w:pPr>
        <w:spacing w:line="480" w:lineRule="auto"/>
        <w:rPr>
          <w:rFonts w:ascii="Times New Roman" w:hAnsi="Times New Roman" w:cs="Times New Roman"/>
          <w:color w:val="000000" w:themeColor="text1"/>
          <w:szCs w:val="24"/>
        </w:rPr>
      </w:pPr>
    </w:p>
    <w:p w14:paraId="7416A62E" w14:textId="77777777" w:rsidR="00257256" w:rsidRPr="003B00D5" w:rsidRDefault="00257256" w:rsidP="00257256">
      <w:pPr>
        <w:spacing w:line="480" w:lineRule="auto"/>
        <w:rPr>
          <w:rFonts w:ascii="Times New Roman" w:hAnsi="Times New Roman" w:cs="Times New Roman"/>
          <w:color w:val="000000" w:themeColor="text1"/>
          <w:szCs w:val="24"/>
        </w:rPr>
      </w:pPr>
    </w:p>
    <w:p w14:paraId="63BA0CE8" w14:textId="77777777" w:rsidR="005F274A" w:rsidRPr="003B00D5" w:rsidRDefault="005F274A" w:rsidP="00257256">
      <w:pPr>
        <w:spacing w:line="480" w:lineRule="auto"/>
        <w:rPr>
          <w:rFonts w:ascii="Times New Roman" w:hAnsi="Times New Roman" w:cs="Times New Roman"/>
          <w:color w:val="000000" w:themeColor="text1"/>
          <w:szCs w:val="24"/>
        </w:rPr>
      </w:pPr>
    </w:p>
    <w:p w14:paraId="5C06941D" w14:textId="6F4701DA" w:rsidR="00E151DF" w:rsidRPr="003B00D5" w:rsidRDefault="000E04F4" w:rsidP="00E151DF">
      <w:pPr>
        <w:spacing w:line="480" w:lineRule="auto"/>
        <w:rPr>
          <w:rFonts w:ascii="Times New Roman" w:hAnsi="Times New Roman" w:cs="Times New Roman"/>
          <w:color w:val="000000" w:themeColor="text1"/>
          <w:szCs w:val="24"/>
        </w:rPr>
      </w:pPr>
      <w:r w:rsidRPr="003B00D5">
        <w:rPr>
          <w:rStyle w:val="Heading1Char"/>
          <w:rFonts w:ascii="Times New Roman" w:hAnsi="Times New Roman" w:cs="Times New Roman"/>
          <w:b/>
          <w:bCs/>
          <w:color w:val="000000" w:themeColor="text1"/>
          <w:sz w:val="24"/>
          <w:szCs w:val="24"/>
        </w:rPr>
        <w:lastRenderedPageBreak/>
        <w:t>2</w:t>
      </w:r>
      <w:r w:rsidR="0095171B" w:rsidRPr="003B00D5">
        <w:rPr>
          <w:rStyle w:val="Heading1Char"/>
          <w:rFonts w:ascii="Times New Roman" w:hAnsi="Times New Roman" w:cs="Times New Roman"/>
          <w:b/>
          <w:bCs/>
          <w:color w:val="000000" w:themeColor="text1"/>
          <w:sz w:val="24"/>
          <w:szCs w:val="24"/>
        </w:rPr>
        <w:t>. Literature Review</w:t>
      </w:r>
      <w:bookmarkEnd w:id="2"/>
      <w:r w:rsidR="0095171B" w:rsidRPr="003B00D5">
        <w:rPr>
          <w:rFonts w:ascii="Times New Roman" w:hAnsi="Times New Roman" w:cs="Times New Roman"/>
          <w:color w:val="000000" w:themeColor="text1"/>
          <w:szCs w:val="24"/>
        </w:rPr>
        <w:t xml:space="preserve"> </w:t>
      </w:r>
      <w:r w:rsidR="0095171B" w:rsidRPr="003B00D5">
        <w:rPr>
          <w:rFonts w:ascii="Times New Roman" w:hAnsi="Times New Roman" w:cs="Times New Roman"/>
          <w:color w:val="000000" w:themeColor="text1"/>
          <w:szCs w:val="24"/>
        </w:rPr>
        <w:br/>
      </w:r>
      <w:bookmarkStart w:id="3" w:name="_Toc215261172"/>
      <w:r w:rsidR="00E151DF" w:rsidRPr="003B00D5">
        <w:rPr>
          <w:rFonts w:ascii="Times New Roman" w:hAnsi="Times New Roman" w:cs="Times New Roman"/>
          <w:color w:val="000000" w:themeColor="text1"/>
          <w:szCs w:val="24"/>
        </w:rPr>
        <w:t>2.1 Competitive Advantage and Strategic Positioning</w:t>
      </w:r>
    </w:p>
    <w:p w14:paraId="0AC0BE2C" w14:textId="121EFCA3"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Competitive advantage describes an organization's ability to create superior value and achieve a stronger competitive position relative to rivals. The strategic management literature has approached this issue from both external and internal perspectives. An external perspective focuses on an organization's position within its industry, while an internal perspective examines the distinctive resources and capabilities available to the firm. More recent market-creation approaches additionally question whether firms must remain within established competitive boundaries.</w:t>
      </w:r>
    </w:p>
    <w:p w14:paraId="50A3ED98" w14:textId="49CEB72E"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Porter (1996) distinguishes strategy from operational effectiveness. Activities such as benchmarking, quality improvement and productivity enhancement can improve organizational performance, but competitors may reproduce them. Sustainable strategic positioning instead requires performing different activities from rivals or performing similar activities in meaningfully different ways. A strong position also involves trade-offs because an organization cannot necessarily serve every customer need while maintaining strategic consistency.</w:t>
      </w:r>
    </w:p>
    <w:p w14:paraId="3BDECB84"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This distinction demonstrates why sustainable advantage is more complicated than temporary superior performance. A successful product or operational improvement may produce short-term gains, but long-term profitability requires barriers against competitive imitation. Consequently, strategic positioning must be supported by organizational resources, capabilities and continuing adaptation.</w:t>
      </w:r>
    </w:p>
    <w:p w14:paraId="6D3264FC" w14:textId="77777777" w:rsidR="00E151DF" w:rsidRPr="003B00D5" w:rsidRDefault="00E151DF" w:rsidP="00E151DF">
      <w:pPr>
        <w:spacing w:line="480" w:lineRule="auto"/>
        <w:rPr>
          <w:rFonts w:ascii="Times New Roman" w:hAnsi="Times New Roman" w:cs="Times New Roman"/>
          <w:color w:val="000000" w:themeColor="text1"/>
          <w:szCs w:val="24"/>
        </w:rPr>
      </w:pPr>
    </w:p>
    <w:p w14:paraId="7A29B989" w14:textId="77777777" w:rsidR="00E151DF" w:rsidRPr="003B00D5" w:rsidRDefault="00E151DF" w:rsidP="00E151DF">
      <w:pPr>
        <w:spacing w:line="480" w:lineRule="auto"/>
        <w:rPr>
          <w:rFonts w:ascii="Times New Roman" w:hAnsi="Times New Roman" w:cs="Times New Roman"/>
          <w:color w:val="000000" w:themeColor="text1"/>
          <w:szCs w:val="24"/>
        </w:rPr>
      </w:pPr>
    </w:p>
    <w:p w14:paraId="11B4954A" w14:textId="2DBFBF72"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2.2 Porter’s Generic Strategies</w:t>
      </w:r>
    </w:p>
    <w:p w14:paraId="6202F1DF" w14:textId="302049DD"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Porter’s Generic Strategies provide one of the most influential explanations of how firms can establish a competitive position. The framework identifies cost leadership, differentiation and focus as fundamental strategic alternatives. Cost leadership involves establishing a lower-cost position, allowing a company either to compete through attractive prices or retain stronger margins. Differentiation involves providing characteristics that customers perceive as distinctive and sufficiently valuable to justify preference or premium pricing. Focus involves concentrating on a narrower market segment and competing through either cost advantage or differentiation within that segment (McGee, 2015).</w:t>
      </w:r>
    </w:p>
    <w:p w14:paraId="4BA62375" w14:textId="61BE67C5"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Cost leadership can be developed through economies of scale, efficient supply chains, process standardization and strong cost controls. Large retailers, for example, can use purchasing power and sophisticated distribution systems to support low-price positioning. Differentiation, in contrast, can emerge from design, product quality, technological innovation, brand reputation or customer service. Apple provides an illustrative example because its competitive positioning has historically emphasized integrated products, design, brand strength and user experience rather than competing primarily on the lowest price.</w:t>
      </w:r>
    </w:p>
    <w:p w14:paraId="3FAB1C91"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Empirical and analytical research provides support for the relationship between generic strategies and organizational performance. Karnani (1984), for example, provided analytical support for low-cost and highly differentiated competitive positions. González-Benito (2010) further demonstrates that the relationship between generic strategy and performance </w:t>
      </w:r>
      <w:proofErr w:type="gramStart"/>
      <w:r w:rsidRPr="003B00D5">
        <w:rPr>
          <w:rFonts w:ascii="Times New Roman" w:hAnsi="Times New Roman" w:cs="Times New Roman"/>
          <w:color w:val="000000" w:themeColor="text1"/>
          <w:szCs w:val="24"/>
        </w:rPr>
        <w:t>is connected with</w:t>
      </w:r>
      <w:proofErr w:type="gramEnd"/>
      <w:r w:rsidRPr="003B00D5">
        <w:rPr>
          <w:rFonts w:ascii="Times New Roman" w:hAnsi="Times New Roman" w:cs="Times New Roman"/>
          <w:color w:val="000000" w:themeColor="text1"/>
          <w:szCs w:val="24"/>
        </w:rPr>
        <w:t xml:space="preserve"> appropriate strategic objectives and organizational capabilities.</w:t>
      </w:r>
    </w:p>
    <w:p w14:paraId="2273B115" w14:textId="77777777" w:rsidR="00E151DF" w:rsidRPr="003B00D5" w:rsidRDefault="00E151DF" w:rsidP="00E151DF">
      <w:pPr>
        <w:spacing w:line="480" w:lineRule="auto"/>
        <w:rPr>
          <w:rFonts w:ascii="Times New Roman" w:hAnsi="Times New Roman" w:cs="Times New Roman"/>
          <w:color w:val="000000" w:themeColor="text1"/>
          <w:szCs w:val="24"/>
        </w:rPr>
      </w:pPr>
    </w:p>
    <w:p w14:paraId="51AAF309" w14:textId="6D418828"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Nevertheless, Porter’s framework has attracted criticism. One concern relates to the assumption that cost leadership and differentiation represent largely distinct alternatives. Murray (1988) argues that generic strategies are not necessarily mutually exclusive and that their appropriateness depends partly on external conditions. Contemporary research also suggests greater complexity in the combinations of generic strategies associated with performance, meaning that successful organizations may develop configurations rather than following a completely pure strategy (Gabrielsson et al., 2021)</w:t>
      </w:r>
    </w:p>
    <w:p w14:paraId="305C4874" w14:textId="06116371"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2.3 Resource-Based View and Sustainable Competitive Advantage</w:t>
      </w:r>
    </w:p>
    <w:p w14:paraId="3F6D7552" w14:textId="5083AF2A"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While Porter’s approach emphasizes positioning relative to competitors, the Resource-Based View (RBV) examines why firms operating in similar environments can achieve different levels of performance. Barney (1991) argues that sustained competitive advantage can emerge when strategically important resources are heterogeneously distributed between firms and are not perfectly mobile. His framework identifies value, rarity, imperfect imitability and non-substitutability as important characteristics determining whether resources can support sustained advantage</w:t>
      </w:r>
    </w:p>
    <w:p w14:paraId="653A8E13"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Resources may be tangible, such as physical assets and technological infrastructure, or intangible, including intellectual property, organizational culture, reputation, knowledge and managerial capabilities. Intangible resources can be especially significant because their development may depend on organizational history, complex social relationships and accumulated experience, making them difficult for competitors to reproduce.</w:t>
      </w:r>
    </w:p>
    <w:p w14:paraId="12694D17" w14:textId="77777777" w:rsidR="00E151DF" w:rsidRPr="003B00D5" w:rsidRDefault="00E151DF" w:rsidP="00E151DF">
      <w:pPr>
        <w:spacing w:line="480" w:lineRule="auto"/>
        <w:rPr>
          <w:rFonts w:ascii="Times New Roman" w:hAnsi="Times New Roman" w:cs="Times New Roman"/>
          <w:color w:val="000000" w:themeColor="text1"/>
          <w:szCs w:val="24"/>
        </w:rPr>
      </w:pPr>
    </w:p>
    <w:p w14:paraId="7CE8EDB5" w14:textId="66E3BE3D"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The RBV therefore explains an important limitation of purely market-based positioning. Two organizations may pursue similar differentiation strategies but achieve substantially different results because one possesses stronger innovation capabilities, proprietary knowledge, brand equity or human expertise. Apple's ecosystem, brand reputation and product-development capabilities, for example, can be considered collectively rather than viewing an individual product as the sole source of competitive advantage.</w:t>
      </w:r>
    </w:p>
    <w:p w14:paraId="0EF44326"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However, the RBV also faces limitations. A resource that creates value under existing conditions may lose importance when customer preferences or technologies change. Firms therefore cannot assume that historically valuable resources will remain strategically important indefinitely. This highlights the need to combine resource strength with adaptability and continuous capability development.</w:t>
      </w:r>
    </w:p>
    <w:p w14:paraId="4BC0CF29" w14:textId="77777777" w:rsidR="00E151DF" w:rsidRPr="003B00D5" w:rsidRDefault="00E151DF" w:rsidP="00E151DF">
      <w:pPr>
        <w:spacing w:line="480" w:lineRule="auto"/>
        <w:rPr>
          <w:rFonts w:ascii="Times New Roman" w:hAnsi="Times New Roman" w:cs="Times New Roman"/>
          <w:color w:val="000000" w:themeColor="text1"/>
          <w:szCs w:val="24"/>
        </w:rPr>
      </w:pPr>
    </w:p>
    <w:p w14:paraId="0A31C5DB" w14:textId="4A061E26"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2.4 Blue Ocean Strategy and Value Innovation</w:t>
      </w:r>
    </w:p>
    <w:p w14:paraId="77C2FE77" w14:textId="67BF7889"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Blue Ocean Strategy provides a different interpretation of competitive advantage. Rather than concentrating exclusively on outperforming existing competitors, Kim and Mauborgne (2005) argue that organizations can pursue growth by creating uncontested market space. They distinguish competitive “red oceans,” where firms compete over established demand, from “blue oceans,” where organizations create new demand through innovative value propositions. Their research examined more than 150 blue-ocean creations across over 30 industries.</w:t>
      </w:r>
    </w:p>
    <w:p w14:paraId="0475125B" w14:textId="37800CB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central mechanism underlying this approach is value innovation. Instead of accepting a conventional trade-off between greater customer value and lower costs, firms attempt to redesign their offering so that unnecessary industry factors are reduced or eliminated while new sources of </w:t>
      </w:r>
      <w:r w:rsidRPr="003B00D5">
        <w:rPr>
          <w:rFonts w:ascii="Times New Roman" w:hAnsi="Times New Roman" w:cs="Times New Roman"/>
          <w:color w:val="000000" w:themeColor="text1"/>
          <w:szCs w:val="24"/>
        </w:rPr>
        <w:lastRenderedPageBreak/>
        <w:t>customer value are created. The objective is therefore not innovation for its own sake but innovation that simultaneously creates buyer value and supports commercially viable growth.</w:t>
      </w:r>
    </w:p>
    <w:p w14:paraId="3624F68A" w14:textId="4674A65E"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Cirque du Soleil represents a widely discussed illustration. Rather than competing directly with traditional circuses, the company combined selected elements of circus entertainment with characteristics associated with theatre, creating an offering attractive to a broader adult audience. Kim and Mauborgne use the example to illustrate how reconstructing industry boundaries can generate new demand rather than simply competing for existing customers.</w:t>
      </w:r>
    </w:p>
    <w:p w14:paraId="4312EC0B"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Blue Ocean Strategy is particularly relevant in saturated industries where intense rivalry can place pressure on margins. Nevertheless, blue oceans are unlikely to remain uncontested permanently. Attractive markets encourage imitation and new entry, potentially transforming previously uncontested spaces into competitive environments. Sustainable profitability therefore requires continued innovation rather than </w:t>
      </w:r>
      <w:proofErr w:type="gramStart"/>
      <w:r w:rsidRPr="003B00D5">
        <w:rPr>
          <w:rFonts w:ascii="Times New Roman" w:hAnsi="Times New Roman" w:cs="Times New Roman"/>
          <w:color w:val="000000" w:themeColor="text1"/>
          <w:szCs w:val="24"/>
        </w:rPr>
        <w:t>assuming that</w:t>
      </w:r>
      <w:proofErr w:type="gramEnd"/>
      <w:r w:rsidRPr="003B00D5">
        <w:rPr>
          <w:rFonts w:ascii="Times New Roman" w:hAnsi="Times New Roman" w:cs="Times New Roman"/>
          <w:color w:val="000000" w:themeColor="text1"/>
          <w:szCs w:val="24"/>
        </w:rPr>
        <w:t xml:space="preserve"> one successful market-creating move will protect the firm indefinitely.</w:t>
      </w:r>
    </w:p>
    <w:p w14:paraId="47F628A7" w14:textId="77777777" w:rsidR="00E151DF" w:rsidRPr="003B00D5" w:rsidRDefault="00E151DF" w:rsidP="00E151DF">
      <w:pPr>
        <w:spacing w:line="480" w:lineRule="auto"/>
        <w:rPr>
          <w:rFonts w:ascii="Times New Roman" w:hAnsi="Times New Roman" w:cs="Times New Roman"/>
          <w:color w:val="000000" w:themeColor="text1"/>
          <w:szCs w:val="24"/>
        </w:rPr>
      </w:pPr>
    </w:p>
    <w:p w14:paraId="2C96A1E4" w14:textId="041F2E7B"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2.5 Comparing the Three Strategic Perspectives</w:t>
      </w:r>
    </w:p>
    <w:p w14:paraId="29CD62E0"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three frameworks provide different but potentially complementary explanations of competitive advantage. Porter primarily addresses where and how a company competes, RBV explains which distinctive resources allow it to sustain an advantage, and Blue Ocean Strategy considers how firms can reshape market boundaries and create new demand.</w:t>
      </w:r>
    </w:p>
    <w:p w14:paraId="4756E3F2" w14:textId="77777777" w:rsidR="00E151DF" w:rsidRPr="003B00D5" w:rsidRDefault="00E151DF" w:rsidP="00E151DF">
      <w:pPr>
        <w:spacing w:line="480" w:lineRule="auto"/>
        <w:rPr>
          <w:rFonts w:ascii="Times New Roman" w:hAnsi="Times New Roman" w:cs="Times New Roman"/>
          <w:color w:val="000000" w:themeColor="text1"/>
          <w:szCs w:val="24"/>
        </w:rPr>
      </w:pPr>
    </w:p>
    <w:p w14:paraId="4CEA989A" w14:textId="3B46DF5A"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This comparison suggests that no single framework fully explains long-term profitability. Porter’s approach provides clarity regarding competitive positioning but may understate differences in firms' internal capabilities. RBV addresses this weakness but provides less explicit guidance regarding how organizations should position themselves against competitors or create new markets. Blue Ocean Strategy emphasizes market creation and innovation but does not eliminate the need to protect an advantage once competitors respond.</w:t>
      </w:r>
    </w:p>
    <w:p w14:paraId="5EED33B8" w14:textId="7777777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frameworks can therefore be integrated. An organization might identify an attractive differentiated position using Porter’s principles, support that position with valuable and difficult-to-imitate resources identified through RBV, and simultaneously search for new demand through Blue Ocean value innovation. Research challenging rigid separation between strategic approaches further supports the importance of considering strategic configurations and contextual factors rather than applying frameworks mechanically.</w:t>
      </w:r>
    </w:p>
    <w:p w14:paraId="4CE609A3" w14:textId="77777777" w:rsidR="00E151DF" w:rsidRPr="003B00D5" w:rsidRDefault="00E151DF" w:rsidP="00E151DF">
      <w:pPr>
        <w:spacing w:line="480" w:lineRule="auto"/>
        <w:rPr>
          <w:rFonts w:ascii="Times New Roman" w:hAnsi="Times New Roman" w:cs="Times New Roman"/>
          <w:color w:val="000000" w:themeColor="text1"/>
          <w:szCs w:val="24"/>
        </w:rPr>
      </w:pPr>
    </w:p>
    <w:p w14:paraId="6C71463D" w14:textId="28F36227"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2.6 Sustaining Competitive Advantage and Long-Term Profitability</w:t>
      </w:r>
    </w:p>
    <w:p w14:paraId="389228C3" w14:textId="1C093F92"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literature ultimately indicates that creating competitive advantage and sustaining it are different strategic challenges. A firm can initially achieve superior performance through lower costs, differentiation or an innovative market offering, but profitability will decline if competitors successfully imitate the underlying advantage.</w:t>
      </w:r>
    </w:p>
    <w:p w14:paraId="5F375B7B" w14:textId="29D88FDE"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Sustainability therefore depends on developing interconnected activities and resources that are difficult to reproduce. Porter (1996) emphasizes that an integrated activity system can make strategic positions more difficult for competitors to imitate. From the RBV perspective, Barney (1991) similarly demonstrates why resources characterized by rarity and barriers to imitation can </w:t>
      </w:r>
      <w:r w:rsidRPr="003B00D5">
        <w:rPr>
          <w:rFonts w:ascii="Times New Roman" w:hAnsi="Times New Roman" w:cs="Times New Roman"/>
          <w:color w:val="000000" w:themeColor="text1"/>
          <w:szCs w:val="24"/>
        </w:rPr>
        <w:lastRenderedPageBreak/>
        <w:t>support sustained advantage. Blue Ocean Strategy adds another dimension by emphasizing continuing value innovation and the creation of new demand rather than permanent dependence on established competitive positions.</w:t>
      </w:r>
    </w:p>
    <w:p w14:paraId="7530545E" w14:textId="69BD666E" w:rsidR="00E151DF" w:rsidRPr="003B00D5" w:rsidRDefault="00E151DF" w:rsidP="00E151DF">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Taken together, the literature suggests that long-term profitability is strongest when firms combine clear strategic positioning, distinctive internal resources and continuous innovation. Sustainable competitive advantage is therefore dynamic rather than permanent. Organizations must protect valuable capabilities while simultaneously adapting them as technologies, competitors and customer expectations evolve. This integrated interpretation provides a stronger explanation of long-term competitiveness than relying exclusively on any one of the three frameworks.</w:t>
      </w:r>
    </w:p>
    <w:p w14:paraId="59B7B51B" w14:textId="77777777" w:rsidR="000C38AA" w:rsidRPr="003B00D5" w:rsidRDefault="000C38AA" w:rsidP="000C38AA">
      <w:pPr>
        <w:spacing w:line="480" w:lineRule="auto"/>
        <w:rPr>
          <w:rFonts w:ascii="Times New Roman" w:hAnsi="Times New Roman" w:cs="Times New Roman"/>
          <w:color w:val="000000" w:themeColor="text1"/>
          <w:szCs w:val="24"/>
        </w:rPr>
      </w:pPr>
    </w:p>
    <w:p w14:paraId="07E49D22" w14:textId="77777777" w:rsidR="00111DCE" w:rsidRPr="003B00D5" w:rsidRDefault="00111DCE" w:rsidP="000C38AA">
      <w:pPr>
        <w:spacing w:line="480" w:lineRule="auto"/>
        <w:rPr>
          <w:rFonts w:ascii="Times New Roman" w:hAnsi="Times New Roman" w:cs="Times New Roman"/>
          <w:color w:val="000000" w:themeColor="text1"/>
          <w:szCs w:val="24"/>
        </w:rPr>
      </w:pPr>
    </w:p>
    <w:p w14:paraId="3324CF91" w14:textId="77777777" w:rsidR="00111DCE" w:rsidRPr="003B00D5" w:rsidRDefault="00111DCE" w:rsidP="000C38AA">
      <w:pPr>
        <w:spacing w:line="480" w:lineRule="auto"/>
        <w:rPr>
          <w:rFonts w:ascii="Times New Roman" w:hAnsi="Times New Roman" w:cs="Times New Roman"/>
          <w:color w:val="000000" w:themeColor="text1"/>
          <w:szCs w:val="24"/>
        </w:rPr>
      </w:pPr>
    </w:p>
    <w:p w14:paraId="5CF1F52D" w14:textId="77777777" w:rsidR="00111DCE" w:rsidRPr="003B00D5" w:rsidRDefault="00111DCE" w:rsidP="000C38AA">
      <w:pPr>
        <w:spacing w:line="480" w:lineRule="auto"/>
        <w:rPr>
          <w:rFonts w:ascii="Times New Roman" w:hAnsi="Times New Roman" w:cs="Times New Roman"/>
          <w:color w:val="000000" w:themeColor="text1"/>
          <w:szCs w:val="24"/>
        </w:rPr>
      </w:pPr>
    </w:p>
    <w:p w14:paraId="44DB2739" w14:textId="77777777" w:rsidR="00111DCE" w:rsidRPr="003B00D5" w:rsidRDefault="00111DCE" w:rsidP="000C38AA">
      <w:pPr>
        <w:spacing w:line="480" w:lineRule="auto"/>
        <w:rPr>
          <w:rFonts w:ascii="Times New Roman" w:hAnsi="Times New Roman" w:cs="Times New Roman"/>
          <w:color w:val="000000" w:themeColor="text1"/>
          <w:szCs w:val="24"/>
        </w:rPr>
      </w:pPr>
    </w:p>
    <w:p w14:paraId="15CF2630" w14:textId="77777777" w:rsidR="00111DCE" w:rsidRPr="003B00D5" w:rsidRDefault="00111DCE" w:rsidP="000C38AA">
      <w:pPr>
        <w:spacing w:line="480" w:lineRule="auto"/>
        <w:rPr>
          <w:rFonts w:ascii="Times New Roman" w:hAnsi="Times New Roman" w:cs="Times New Roman"/>
          <w:color w:val="000000" w:themeColor="text1"/>
          <w:szCs w:val="24"/>
        </w:rPr>
      </w:pPr>
    </w:p>
    <w:p w14:paraId="4D92D114" w14:textId="77777777" w:rsidR="00111DCE" w:rsidRPr="003B00D5" w:rsidRDefault="00111DCE" w:rsidP="000C38AA">
      <w:pPr>
        <w:spacing w:line="480" w:lineRule="auto"/>
        <w:rPr>
          <w:rFonts w:ascii="Times New Roman" w:hAnsi="Times New Roman" w:cs="Times New Roman"/>
          <w:color w:val="000000" w:themeColor="text1"/>
          <w:szCs w:val="24"/>
        </w:rPr>
      </w:pPr>
    </w:p>
    <w:p w14:paraId="038AE348" w14:textId="77777777" w:rsidR="00111DCE" w:rsidRPr="003B00D5" w:rsidRDefault="00111DCE" w:rsidP="000C38AA">
      <w:pPr>
        <w:spacing w:line="480" w:lineRule="auto"/>
        <w:rPr>
          <w:rFonts w:ascii="Times New Roman" w:hAnsi="Times New Roman" w:cs="Times New Roman"/>
          <w:color w:val="000000" w:themeColor="text1"/>
          <w:szCs w:val="24"/>
        </w:rPr>
      </w:pPr>
    </w:p>
    <w:p w14:paraId="1C748CD2" w14:textId="77777777" w:rsidR="00111DCE" w:rsidRPr="003B00D5" w:rsidRDefault="00111DCE" w:rsidP="000C38AA">
      <w:pPr>
        <w:spacing w:line="480" w:lineRule="auto"/>
        <w:rPr>
          <w:rFonts w:ascii="Times New Roman" w:hAnsi="Times New Roman" w:cs="Times New Roman"/>
          <w:color w:val="000000" w:themeColor="text1"/>
          <w:szCs w:val="24"/>
        </w:rPr>
      </w:pPr>
    </w:p>
    <w:p w14:paraId="62783038" w14:textId="77777777" w:rsidR="00111DCE" w:rsidRPr="003B00D5" w:rsidRDefault="00111DCE" w:rsidP="000C38AA">
      <w:pPr>
        <w:spacing w:line="480" w:lineRule="auto"/>
        <w:rPr>
          <w:rFonts w:ascii="Times New Roman" w:hAnsi="Times New Roman" w:cs="Times New Roman"/>
          <w:color w:val="000000" w:themeColor="text1"/>
          <w:szCs w:val="24"/>
        </w:rPr>
      </w:pPr>
    </w:p>
    <w:p w14:paraId="1249DBC5" w14:textId="77777777" w:rsidR="000C38AA" w:rsidRPr="003B00D5" w:rsidRDefault="00843EDD" w:rsidP="000C38AA">
      <w:pPr>
        <w:spacing w:line="480" w:lineRule="auto"/>
        <w:rPr>
          <w:rFonts w:ascii="Times New Roman" w:hAnsi="Times New Roman" w:cs="Times New Roman"/>
          <w:b/>
          <w:bCs/>
          <w:color w:val="000000" w:themeColor="text1"/>
          <w:szCs w:val="24"/>
        </w:rPr>
      </w:pPr>
      <w:r w:rsidRPr="003B00D5">
        <w:rPr>
          <w:rStyle w:val="Heading1Char"/>
          <w:rFonts w:ascii="Times New Roman" w:hAnsi="Times New Roman" w:cs="Times New Roman"/>
          <w:b/>
          <w:bCs/>
          <w:color w:val="000000" w:themeColor="text1"/>
          <w:sz w:val="24"/>
          <w:szCs w:val="24"/>
        </w:rPr>
        <w:lastRenderedPageBreak/>
        <w:t>3</w:t>
      </w:r>
      <w:r w:rsidR="00582227" w:rsidRPr="003B00D5">
        <w:rPr>
          <w:rStyle w:val="Heading1Char"/>
          <w:rFonts w:ascii="Times New Roman" w:hAnsi="Times New Roman" w:cs="Times New Roman"/>
          <w:b/>
          <w:bCs/>
          <w:color w:val="000000" w:themeColor="text1"/>
          <w:sz w:val="24"/>
          <w:szCs w:val="24"/>
        </w:rPr>
        <w:t xml:space="preserve"> Methodology</w:t>
      </w:r>
      <w:bookmarkEnd w:id="3"/>
      <w:r w:rsidR="00582227" w:rsidRPr="003B00D5">
        <w:rPr>
          <w:rFonts w:ascii="Times New Roman" w:hAnsi="Times New Roman" w:cs="Times New Roman"/>
          <w:b/>
          <w:bCs/>
          <w:color w:val="000000" w:themeColor="text1"/>
          <w:szCs w:val="24"/>
        </w:rPr>
        <w:t xml:space="preserve"> </w:t>
      </w:r>
    </w:p>
    <w:p w14:paraId="35367467" w14:textId="77777777" w:rsidR="00111DCE" w:rsidRPr="003B00D5" w:rsidRDefault="00111DCE" w:rsidP="00111DCE">
      <w:pPr>
        <w:spacing w:line="480" w:lineRule="auto"/>
        <w:rPr>
          <w:rFonts w:ascii="Times New Roman" w:hAnsi="Times New Roman" w:cs="Times New Roman"/>
          <w:color w:val="000000" w:themeColor="text1"/>
          <w:szCs w:val="24"/>
        </w:rPr>
      </w:pPr>
      <w:bookmarkStart w:id="4" w:name="_Toc215261173"/>
      <w:r w:rsidRPr="003B00D5">
        <w:rPr>
          <w:rFonts w:ascii="Times New Roman" w:hAnsi="Times New Roman" w:cs="Times New Roman"/>
          <w:color w:val="000000" w:themeColor="text1"/>
          <w:szCs w:val="24"/>
        </w:rPr>
        <w:t>3.1 Research Approach</w:t>
      </w:r>
    </w:p>
    <w:p w14:paraId="051C7654"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This study adopts a qualitative secondary research approach to examine how companies create and sustain competitive advantage in highly competitive industries. The approach is appropriate because the study is concerned with interpreting and comparing established strategic management theories and understanding their application in real organizational contexts rather than measuring relationships through primary quantitative data. Specifically, the research examines Porter’s Generic Strategies, the Resource-Based View (RBV), and Blue Ocean Strategy and evaluates how each framework contributes to strategic positioning and long-term profitability.</w:t>
      </w:r>
    </w:p>
    <w:p w14:paraId="2FF41F00"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A qualitative approach enables the study to consider different explanations of competitive advantage rather than assuming that one strategic model is universally applicable. Porter’s perspective primarily emphasizes external market positioning, whereas the RBV focuses on internal resources and capabilities. Blue Ocean Strategy provides an additional perspective by examining how organizations can create new market space through value innovation. Comparing these approaches provides a broader basis for understanding why some firms maintain superior performance while others experience erosion of their competitive position.</w:t>
      </w:r>
    </w:p>
    <w:p w14:paraId="43561C77"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3.2 Research Design</w:t>
      </w:r>
    </w:p>
    <w:p w14:paraId="598ED66C"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study uses a descriptive and analytical research design. The descriptive component is used to explain the major principles and characteristics of each strategic framework. This includes cost leadership, differentiation and focus within Porter’s Generic Strategies; valuable, rare and </w:t>
      </w:r>
      <w:r w:rsidRPr="003B00D5">
        <w:rPr>
          <w:rFonts w:ascii="Times New Roman" w:hAnsi="Times New Roman" w:cs="Times New Roman"/>
          <w:color w:val="000000" w:themeColor="text1"/>
          <w:szCs w:val="24"/>
        </w:rPr>
        <w:lastRenderedPageBreak/>
        <w:t>difficult-to-imitate resources within the RBV; and value innovation and uncontested market space within Blue Ocean Strategy.</w:t>
      </w:r>
    </w:p>
    <w:p w14:paraId="57C4DB3A"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analytical component goes beyond describing these frameworks by critically evaluating their contribution to competitive advantage and long-term profitability. </w:t>
      </w:r>
      <w:proofErr w:type="gramStart"/>
      <w:r w:rsidRPr="003B00D5">
        <w:rPr>
          <w:rFonts w:ascii="Times New Roman" w:hAnsi="Times New Roman" w:cs="Times New Roman"/>
          <w:color w:val="000000" w:themeColor="text1"/>
          <w:szCs w:val="24"/>
        </w:rPr>
        <w:t>Particular attention</w:t>
      </w:r>
      <w:proofErr w:type="gramEnd"/>
      <w:r w:rsidRPr="003B00D5">
        <w:rPr>
          <w:rFonts w:ascii="Times New Roman" w:hAnsi="Times New Roman" w:cs="Times New Roman"/>
          <w:color w:val="000000" w:themeColor="text1"/>
          <w:szCs w:val="24"/>
        </w:rPr>
        <w:t xml:space="preserve"> is given to the conditions under which each approach may be effective and the limitations that may reduce its usefulness. For example, cost leadership may strengthen price competitiveness but become difficult to sustain if competitors achieve similar efficiencies. Similarly, valuable resources can lose strategic relevance when technologies or customer expectations change. Blue Ocean opportunities may also attract imitation once their commercial potential becomes visible. This analytical design therefore supports a more balanced assessment of competitive advantage as a dynamic rather than permanent condition.</w:t>
      </w:r>
    </w:p>
    <w:p w14:paraId="361B32C9"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3.3 Data Collection</w:t>
      </w:r>
    </w:p>
    <w:p w14:paraId="4C782661"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research relies exclusively on secondary data. No surveys, interviews, observations or experiments are conducted because the assignment focuses on theoretical frameworks and their application to established business examples. Secondary evidence is collected primarily from peer-reviewed journal articles, academic books and credible business and organizational publications.</w:t>
      </w:r>
    </w:p>
    <w:p w14:paraId="38653D84"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Relevant academic literature is identified through scholarly databases and search platforms such as Google Scholar, ScienceDirect, SpringerLink, Wiley Online Library and academic journal databases. Searches use combinations of terms including </w:t>
      </w:r>
      <w:r w:rsidRPr="003B00D5">
        <w:rPr>
          <w:rFonts w:ascii="Times New Roman" w:hAnsi="Times New Roman" w:cs="Times New Roman"/>
          <w:i/>
          <w:iCs/>
          <w:color w:val="000000" w:themeColor="text1"/>
          <w:szCs w:val="24"/>
        </w:rPr>
        <w:t>competitive advantage</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strategic positioning</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Porter’s Generic Strategies</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cost leadership</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differentiation strategy</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Resource-</w:t>
      </w:r>
      <w:r w:rsidRPr="003B00D5">
        <w:rPr>
          <w:rFonts w:ascii="Times New Roman" w:hAnsi="Times New Roman" w:cs="Times New Roman"/>
          <w:i/>
          <w:iCs/>
          <w:color w:val="000000" w:themeColor="text1"/>
          <w:szCs w:val="24"/>
        </w:rPr>
        <w:lastRenderedPageBreak/>
        <w:t>Based View</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RBV</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sustainable competitive advantage</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Blue Ocean Strategy</w:t>
      </w:r>
      <w:r w:rsidRPr="003B00D5">
        <w:rPr>
          <w:rFonts w:ascii="Times New Roman" w:hAnsi="Times New Roman" w:cs="Times New Roman"/>
          <w:color w:val="000000" w:themeColor="text1"/>
          <w:szCs w:val="24"/>
        </w:rPr>
        <w:t xml:space="preserve">, </w:t>
      </w:r>
      <w:r w:rsidRPr="003B00D5">
        <w:rPr>
          <w:rFonts w:ascii="Times New Roman" w:hAnsi="Times New Roman" w:cs="Times New Roman"/>
          <w:i/>
          <w:iCs/>
          <w:color w:val="000000" w:themeColor="text1"/>
          <w:szCs w:val="24"/>
        </w:rPr>
        <w:t>value innovation</w:t>
      </w:r>
      <w:r w:rsidRPr="003B00D5">
        <w:rPr>
          <w:rFonts w:ascii="Times New Roman" w:hAnsi="Times New Roman" w:cs="Times New Roman"/>
          <w:color w:val="000000" w:themeColor="text1"/>
          <w:szCs w:val="24"/>
        </w:rPr>
        <w:t xml:space="preserve"> and </w:t>
      </w:r>
      <w:r w:rsidRPr="003B00D5">
        <w:rPr>
          <w:rFonts w:ascii="Times New Roman" w:hAnsi="Times New Roman" w:cs="Times New Roman"/>
          <w:i/>
          <w:iCs/>
          <w:color w:val="000000" w:themeColor="text1"/>
          <w:szCs w:val="24"/>
        </w:rPr>
        <w:t>long-term profitability</w:t>
      </w:r>
      <w:r w:rsidRPr="003B00D5">
        <w:rPr>
          <w:rFonts w:ascii="Times New Roman" w:hAnsi="Times New Roman" w:cs="Times New Roman"/>
          <w:color w:val="000000" w:themeColor="text1"/>
          <w:szCs w:val="24"/>
        </w:rPr>
        <w:t>.</w:t>
      </w:r>
    </w:p>
    <w:p w14:paraId="1EF5C879"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Seminal studies are retained because they provide the theoretical foundations of the frameworks. For example, Barney (1991) provides a foundational explanation of the relationship between firm resources and sustained competitive advantage, while Porter’s work provides the theoretical basis for strategic positioning. More recent research is also considered to evaluate whether these established theories remain applicable under contemporary competitive conditions.</w:t>
      </w:r>
    </w:p>
    <w:p w14:paraId="5618836D"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3.4 Source Selection Criteria</w:t>
      </w:r>
    </w:p>
    <w:p w14:paraId="0576D2A7"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Clear inclusion and exclusion criteria are applied to improve the relevance and academic quality of the evidence. Sources are included when they directly address competitive strategy, strategic positioning, organizational resources, value innovation, competitive advantage or business performance. Priority is given to peer-reviewed academic studies with clearly identifiable authors, publication details and DOI information where available.</w:t>
      </w:r>
    </w:p>
    <w:p w14:paraId="3A7C1348"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Sources are also selected to achieve a balance between seminal and contemporary research. Older studies are included when necessary to explain the origins and theoretical principles of the three strategic frameworks, while newer literature is used to evaluate subsequent developments, criticism and contemporary applications.</w:t>
      </w:r>
    </w:p>
    <w:p w14:paraId="44FC76FD"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Sources with unclear authorship, unsupported claims or limited academic credibility are excluded from the principal evidence base. General blogs, promotional material and unverified online commentary are not used to establish theoretical arguments. Company and credible business sources may be used selectively for organizational examples, but academic evidence remains the primary basis of the analysis.</w:t>
      </w:r>
    </w:p>
    <w:p w14:paraId="246DACD7"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3.5 Data Analysis</w:t>
      </w:r>
    </w:p>
    <w:p w14:paraId="1E8C8149"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collected secondary evidence is analysed through thematic analysis. The literature is organized around major themes derived directly from the research question. These themes include sources of competitive advantage, cost leadership, differentiation, focused positioning, strategic resources and capabilities, barriers to imitation, value innovation, market creation, competitive sustainability and long-term profitability.</w:t>
      </w:r>
    </w:p>
    <w:p w14:paraId="0F488472"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three frameworks are initially analysed individually to establish their underlying assumptions and mechanisms. They are then compared to identify similarities, differences and potential complementarities. For example, Porter’s framework is evaluated primarily in terms of external competitive positioning, whereas the RBV is examined in relation to internal organizational strengths. Blue Ocean Strategy is analysed according to its capacity to challenge existing market boundaries and create new demand.</w:t>
      </w:r>
    </w:p>
    <w:p w14:paraId="6C0DC25B"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analysis also examines areas of criticism and disagreement within the literature. This prevents the research from </w:t>
      </w:r>
      <w:proofErr w:type="gramStart"/>
      <w:r w:rsidRPr="003B00D5">
        <w:rPr>
          <w:rFonts w:ascii="Times New Roman" w:hAnsi="Times New Roman" w:cs="Times New Roman"/>
          <w:color w:val="000000" w:themeColor="text1"/>
          <w:szCs w:val="24"/>
        </w:rPr>
        <w:t>assuming that</w:t>
      </w:r>
      <w:proofErr w:type="gramEnd"/>
      <w:r w:rsidRPr="003B00D5">
        <w:rPr>
          <w:rFonts w:ascii="Times New Roman" w:hAnsi="Times New Roman" w:cs="Times New Roman"/>
          <w:color w:val="000000" w:themeColor="text1"/>
          <w:szCs w:val="24"/>
        </w:rPr>
        <w:t xml:space="preserve"> successful application of a particular framework will automatically generate superior performance. Instead, evidence is interpreted according to organizational and competitive circumstances.</w:t>
      </w:r>
    </w:p>
    <w:p w14:paraId="66E61F0F"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3.6 Application of Real-World Examples</w:t>
      </w:r>
    </w:p>
    <w:p w14:paraId="254261FC"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A case-based illustrative approach is used to connect theoretical concepts with organizational practice. Selected companies are examined as examples of how different strategic approaches can operate in real markets. For instance, firms competing through strong operational efficiency can illustrate cost leadership, while companies with distinctive brands, technological ecosystems </w:t>
      </w:r>
      <w:r w:rsidRPr="003B00D5">
        <w:rPr>
          <w:rFonts w:ascii="Times New Roman" w:hAnsi="Times New Roman" w:cs="Times New Roman"/>
          <w:color w:val="000000" w:themeColor="text1"/>
          <w:szCs w:val="24"/>
        </w:rPr>
        <w:lastRenderedPageBreak/>
        <w:t>or innovation capabilities can demonstrate differentiation and RBV principles. Organizations that have redefined conventional market offerings can illustrate Blue Ocean Strategy.</w:t>
      </w:r>
    </w:p>
    <w:p w14:paraId="7EB5CAB9"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examples are not treated as full independent case studies because the research does not collect comprehensive primary evidence from individual companies. Rather, they are used to demonstrate and critically assess the practical relevance of concepts identified in the academic literature. This approach helps determine whether theoretical explanations of competitive advantage are observable in real organizational strategies.</w:t>
      </w:r>
    </w:p>
    <w:p w14:paraId="1F2F14AB"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3.7 Reliability, Validity and Ethical Considerations</w:t>
      </w:r>
    </w:p>
    <w:p w14:paraId="6C38A887"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reliability of the study is strengthened </w:t>
      </w:r>
      <w:proofErr w:type="gramStart"/>
      <w:r w:rsidRPr="003B00D5">
        <w:rPr>
          <w:rFonts w:ascii="Times New Roman" w:hAnsi="Times New Roman" w:cs="Times New Roman"/>
          <w:color w:val="000000" w:themeColor="text1"/>
          <w:szCs w:val="24"/>
        </w:rPr>
        <w:t>through the use of</w:t>
      </w:r>
      <w:proofErr w:type="gramEnd"/>
      <w:r w:rsidRPr="003B00D5">
        <w:rPr>
          <w:rFonts w:ascii="Times New Roman" w:hAnsi="Times New Roman" w:cs="Times New Roman"/>
          <w:color w:val="000000" w:themeColor="text1"/>
          <w:szCs w:val="24"/>
        </w:rPr>
        <w:t xml:space="preserve"> multiple academic sources rather than relying on a single author or theoretical perspective. Evidence from different researchers is compared to identify consistent findings and competing arguments. The use of explicit search terms, selection criteria and thematic categories also increases transparency in the research process.</w:t>
      </w:r>
    </w:p>
    <w:p w14:paraId="54A63D06"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Validity is supported by maintaining direct alignment between the research question, selected literature and analytical themes. The study specifically investigates competitive advantage and long-term profitability rather than addressing unrelated aspects of strategic management.</w:t>
      </w:r>
    </w:p>
    <w:p w14:paraId="0880044C"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Because the study uses publicly available secondary information and does not involve human participants, risks involving informed consent, confidentiality and participant welfare are minimal. Nevertheless, academic integrity is maintained through accurate APA 7th edition citation and referencing, ensuring that theories, arguments and evidence are appropriately attributed to their original authors.</w:t>
      </w:r>
    </w:p>
    <w:p w14:paraId="74967533" w14:textId="77777777" w:rsidR="00111DCE" w:rsidRPr="003B00D5" w:rsidRDefault="00111DCE" w:rsidP="00111DCE">
      <w:pPr>
        <w:spacing w:line="480" w:lineRule="auto"/>
        <w:rPr>
          <w:rFonts w:ascii="Times New Roman" w:hAnsi="Times New Roman" w:cs="Times New Roman"/>
          <w:color w:val="000000" w:themeColor="text1"/>
          <w:szCs w:val="24"/>
        </w:rPr>
      </w:pPr>
    </w:p>
    <w:p w14:paraId="3231876A"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3.8 Methodological Limitations</w:t>
      </w:r>
    </w:p>
    <w:p w14:paraId="3124C301"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Several limitations should be acknowledged. Secondary research depends on the quality and scope of existing literature and does not provide direct access to managers responsible for strategic decisions. Furthermore, company performance can be influenced by numerous economic, technological and industry-specific factors, making it difficult to attribute long-term profitability exclusively to one strategic framework.</w:t>
      </w:r>
    </w:p>
    <w:p w14:paraId="6A59BA81"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selected organizational examples may also simplify complex strategies because large companies frequently combine multiple competitive approaches. Finally, competitive advantage changes over time as competitors imitate successful strategies and markets evolve. These limitations are addressed by comparing multiple theoretical perspectives and avoiding the assumption that any single framework provides a universally superior strategy. Overall, the methodology provides an appropriate foundation for critically evaluating how strategic positioning, distinctive organizational resources and value innovation collectively contribute to sustainable competitive advantage and long-term profitability.</w:t>
      </w:r>
    </w:p>
    <w:p w14:paraId="7E500C01" w14:textId="77777777" w:rsidR="00527F49" w:rsidRPr="003B00D5" w:rsidRDefault="00527F49" w:rsidP="00B37028">
      <w:pPr>
        <w:spacing w:line="480" w:lineRule="auto"/>
        <w:rPr>
          <w:rStyle w:val="Heading1Char"/>
          <w:rFonts w:ascii="Times New Roman" w:hAnsi="Times New Roman" w:cs="Times New Roman"/>
          <w:b/>
          <w:bCs/>
          <w:color w:val="000000" w:themeColor="text1"/>
          <w:sz w:val="24"/>
          <w:szCs w:val="24"/>
        </w:rPr>
      </w:pPr>
    </w:p>
    <w:p w14:paraId="361598CF" w14:textId="77777777" w:rsidR="00527F49" w:rsidRPr="003B00D5" w:rsidRDefault="00527F49" w:rsidP="00B37028">
      <w:pPr>
        <w:spacing w:line="480" w:lineRule="auto"/>
        <w:rPr>
          <w:rStyle w:val="Heading1Char"/>
          <w:rFonts w:ascii="Times New Roman" w:hAnsi="Times New Roman" w:cs="Times New Roman"/>
          <w:b/>
          <w:bCs/>
          <w:color w:val="000000" w:themeColor="text1"/>
          <w:sz w:val="24"/>
          <w:szCs w:val="24"/>
        </w:rPr>
      </w:pPr>
    </w:p>
    <w:p w14:paraId="4AAF8A0D" w14:textId="77777777" w:rsidR="00527F49" w:rsidRPr="003B00D5" w:rsidRDefault="00527F49" w:rsidP="00B37028">
      <w:pPr>
        <w:spacing w:line="480" w:lineRule="auto"/>
        <w:rPr>
          <w:rStyle w:val="Heading1Char"/>
          <w:rFonts w:ascii="Times New Roman" w:hAnsi="Times New Roman" w:cs="Times New Roman"/>
          <w:b/>
          <w:bCs/>
          <w:color w:val="000000" w:themeColor="text1"/>
          <w:sz w:val="24"/>
          <w:szCs w:val="24"/>
        </w:rPr>
      </w:pPr>
    </w:p>
    <w:p w14:paraId="6BAE66D0" w14:textId="77777777" w:rsidR="00111DCE" w:rsidRPr="003B00D5" w:rsidRDefault="00111DCE" w:rsidP="00B37028">
      <w:pPr>
        <w:spacing w:line="480" w:lineRule="auto"/>
        <w:rPr>
          <w:rStyle w:val="Heading1Char"/>
          <w:rFonts w:ascii="Times New Roman" w:hAnsi="Times New Roman" w:cs="Times New Roman"/>
          <w:b/>
          <w:bCs/>
          <w:color w:val="000000" w:themeColor="text1"/>
          <w:sz w:val="24"/>
          <w:szCs w:val="24"/>
        </w:rPr>
      </w:pPr>
    </w:p>
    <w:p w14:paraId="6E559739" w14:textId="77777777" w:rsidR="00111DCE" w:rsidRPr="003B00D5" w:rsidRDefault="00111DCE" w:rsidP="00B37028">
      <w:pPr>
        <w:spacing w:line="480" w:lineRule="auto"/>
        <w:rPr>
          <w:rStyle w:val="Heading1Char"/>
          <w:rFonts w:ascii="Times New Roman" w:hAnsi="Times New Roman" w:cs="Times New Roman"/>
          <w:b/>
          <w:bCs/>
          <w:color w:val="000000" w:themeColor="text1"/>
          <w:sz w:val="24"/>
          <w:szCs w:val="24"/>
        </w:rPr>
      </w:pPr>
    </w:p>
    <w:p w14:paraId="52BF7029" w14:textId="77777777" w:rsidR="00527F49" w:rsidRPr="003B00D5" w:rsidRDefault="00527F49" w:rsidP="00B37028">
      <w:pPr>
        <w:spacing w:line="480" w:lineRule="auto"/>
        <w:rPr>
          <w:rStyle w:val="Heading1Char"/>
          <w:rFonts w:ascii="Times New Roman" w:hAnsi="Times New Roman" w:cs="Times New Roman"/>
          <w:b/>
          <w:bCs/>
          <w:color w:val="000000" w:themeColor="text1"/>
          <w:sz w:val="24"/>
          <w:szCs w:val="24"/>
        </w:rPr>
      </w:pPr>
    </w:p>
    <w:p w14:paraId="1F4C84C9" w14:textId="77777777" w:rsidR="00527F49" w:rsidRPr="003B00D5" w:rsidRDefault="00527F49"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3B00D5" w:rsidRDefault="00A433D7" w:rsidP="00B37028">
      <w:pPr>
        <w:spacing w:line="480" w:lineRule="auto"/>
        <w:rPr>
          <w:rStyle w:val="Heading1Char"/>
          <w:rFonts w:ascii="Times New Roman" w:hAnsi="Times New Roman" w:cs="Times New Roman"/>
          <w:b/>
          <w:bCs/>
          <w:color w:val="000000" w:themeColor="text1"/>
          <w:sz w:val="24"/>
          <w:szCs w:val="24"/>
        </w:rPr>
      </w:pPr>
      <w:r w:rsidRPr="003B00D5">
        <w:rPr>
          <w:rStyle w:val="Heading1Char"/>
          <w:rFonts w:ascii="Times New Roman" w:hAnsi="Times New Roman" w:cs="Times New Roman"/>
          <w:b/>
          <w:bCs/>
          <w:color w:val="000000" w:themeColor="text1"/>
          <w:sz w:val="24"/>
          <w:szCs w:val="24"/>
        </w:rPr>
        <w:lastRenderedPageBreak/>
        <w:t>4</w:t>
      </w:r>
      <w:r w:rsidR="00582227" w:rsidRPr="003B00D5">
        <w:rPr>
          <w:rStyle w:val="Heading1Char"/>
          <w:rFonts w:ascii="Times New Roman" w:hAnsi="Times New Roman" w:cs="Times New Roman"/>
          <w:b/>
          <w:bCs/>
          <w:color w:val="000000" w:themeColor="text1"/>
          <w:sz w:val="24"/>
          <w:szCs w:val="24"/>
        </w:rPr>
        <w:t xml:space="preserve"> </w:t>
      </w:r>
      <w:r w:rsidR="00160E9C" w:rsidRPr="003B00D5">
        <w:rPr>
          <w:rStyle w:val="Heading1Char"/>
          <w:rFonts w:ascii="Times New Roman" w:hAnsi="Times New Roman" w:cs="Times New Roman"/>
          <w:b/>
          <w:bCs/>
          <w:color w:val="000000" w:themeColor="text1"/>
          <w:sz w:val="24"/>
          <w:szCs w:val="24"/>
        </w:rPr>
        <w:t>Finding</w:t>
      </w:r>
      <w:bookmarkEnd w:id="4"/>
    </w:p>
    <w:p w14:paraId="28ADD87B"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analysis indicates that companies can create competitive advantage through different strategic </w:t>
      </w:r>
      <w:proofErr w:type="gramStart"/>
      <w:r w:rsidRPr="003B00D5">
        <w:rPr>
          <w:rFonts w:ascii="Times New Roman" w:hAnsi="Times New Roman" w:cs="Times New Roman"/>
          <w:color w:val="000000" w:themeColor="text1"/>
          <w:szCs w:val="24"/>
        </w:rPr>
        <w:t>pathways, but</w:t>
      </w:r>
      <w:proofErr w:type="gramEnd"/>
      <w:r w:rsidRPr="003B00D5">
        <w:rPr>
          <w:rFonts w:ascii="Times New Roman" w:hAnsi="Times New Roman" w:cs="Times New Roman"/>
          <w:color w:val="000000" w:themeColor="text1"/>
          <w:szCs w:val="24"/>
        </w:rPr>
        <w:t xml:space="preserve"> sustaining that advantage requires more than selecting a single competitive strategy. The findings show that </w:t>
      </w:r>
      <w:r w:rsidRPr="003B00D5">
        <w:rPr>
          <w:rFonts w:ascii="Times New Roman" w:hAnsi="Times New Roman" w:cs="Times New Roman"/>
          <w:b/>
          <w:bCs/>
          <w:color w:val="000000" w:themeColor="text1"/>
          <w:szCs w:val="24"/>
        </w:rPr>
        <w:t>Porter’s Generic Strategies, the Resource-Based View (RBV), and Blue Ocean Strategy</w:t>
      </w:r>
      <w:r w:rsidRPr="003B00D5">
        <w:rPr>
          <w:rFonts w:ascii="Times New Roman" w:hAnsi="Times New Roman" w:cs="Times New Roman"/>
          <w:color w:val="000000" w:themeColor="text1"/>
          <w:szCs w:val="24"/>
        </w:rPr>
        <w:t xml:space="preserve"> explain different dimensions of superior performance. Together, they demonstrate that long-term profitability depends on strategic positioning, distinctive resources, continuous innovation, and the ability to respond to competitive change.</w:t>
      </w:r>
    </w:p>
    <w:p w14:paraId="3056B1EA"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4.1 Porter’s Generic Strategies and Competitive Positioning</w:t>
      </w:r>
    </w:p>
    <w:p w14:paraId="08F41F93"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findings show that Porter’s Generic Strategies provide firms with clear alternatives for establishing a competitive position through </w:t>
      </w:r>
      <w:r w:rsidRPr="003B00D5">
        <w:rPr>
          <w:rFonts w:ascii="Times New Roman" w:hAnsi="Times New Roman" w:cs="Times New Roman"/>
          <w:b/>
          <w:bCs/>
          <w:color w:val="000000" w:themeColor="text1"/>
          <w:szCs w:val="24"/>
        </w:rPr>
        <w:t>cost leadership, differentiation, or focus</w:t>
      </w:r>
      <w:r w:rsidRPr="003B00D5">
        <w:rPr>
          <w:rFonts w:ascii="Times New Roman" w:hAnsi="Times New Roman" w:cs="Times New Roman"/>
          <w:color w:val="000000" w:themeColor="text1"/>
          <w:szCs w:val="24"/>
        </w:rPr>
        <w:t>. Cost leadership enables firms to compete by developing an efficient cost structure through economies of scale, supply-chain efficiency, standardized processes, and cost control. This can support lower prices or allow firms to retain stronger margins than competitors.</w:t>
      </w:r>
    </w:p>
    <w:p w14:paraId="186BFB68"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Differentiation creates advantage through attributes that customers consider valuable and distinctive. These may include product quality, innovation, design, customer service, technology, or brand reputation. Porter (1996) argues that sustainable strategy requires organizations to establish a distinctive position supported by an integrated set of activities. The evidence therefore suggests that differentiation is strongest when multiple organizational activities reinforce the value proposition rather than when advantage depends on one product characteristic.</w:t>
      </w:r>
    </w:p>
    <w:p w14:paraId="019896AF"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However, the findings also indicate that rigid separation between cost leadership and differentiation may not always reflect contemporary competition. Murray (1988) questioned the mutual exclusivity of generic strategies, while subsequent research suggests that </w:t>
      </w:r>
      <w:proofErr w:type="gramStart"/>
      <w:r w:rsidRPr="003B00D5">
        <w:rPr>
          <w:rFonts w:ascii="Times New Roman" w:hAnsi="Times New Roman" w:cs="Times New Roman"/>
          <w:color w:val="000000" w:themeColor="text1"/>
          <w:szCs w:val="24"/>
        </w:rPr>
        <w:t xml:space="preserve">particular </w:t>
      </w:r>
      <w:r w:rsidRPr="003B00D5">
        <w:rPr>
          <w:rFonts w:ascii="Times New Roman" w:hAnsi="Times New Roman" w:cs="Times New Roman"/>
          <w:color w:val="000000" w:themeColor="text1"/>
          <w:szCs w:val="24"/>
        </w:rPr>
        <w:lastRenderedPageBreak/>
        <w:t>combinations</w:t>
      </w:r>
      <w:proofErr w:type="gramEnd"/>
      <w:r w:rsidRPr="003B00D5">
        <w:rPr>
          <w:rFonts w:ascii="Times New Roman" w:hAnsi="Times New Roman" w:cs="Times New Roman"/>
          <w:color w:val="000000" w:themeColor="text1"/>
          <w:szCs w:val="24"/>
        </w:rPr>
        <w:t xml:space="preserve"> can generate strong performance under appropriate circumstances. Organizations must therefore align their competitive positioning with industry conditions and internal capabilities.</w:t>
      </w:r>
    </w:p>
    <w:p w14:paraId="55D95924"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4.2 Internal Resources as Sources of Sustainable Advantage</w:t>
      </w:r>
    </w:p>
    <w:p w14:paraId="0E3DA24F"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RBV findings shift attention from market position toward the </w:t>
      </w:r>
      <w:r w:rsidRPr="003B00D5">
        <w:rPr>
          <w:rFonts w:ascii="Times New Roman" w:hAnsi="Times New Roman" w:cs="Times New Roman"/>
          <w:b/>
          <w:bCs/>
          <w:color w:val="000000" w:themeColor="text1"/>
          <w:szCs w:val="24"/>
        </w:rPr>
        <w:t>resources and capabilities underlying organizational performance</w:t>
      </w:r>
      <w:r w:rsidRPr="003B00D5">
        <w:rPr>
          <w:rFonts w:ascii="Times New Roman" w:hAnsi="Times New Roman" w:cs="Times New Roman"/>
          <w:color w:val="000000" w:themeColor="text1"/>
          <w:szCs w:val="24"/>
        </w:rPr>
        <w:t>. Barney (1991) demonstrates that resources can support sustained competitive advantage when they are valuable, rare, difficult to imitate, and difficult to substitute. Consequently, firms competing within the same industry may achieve different performance outcomes despite facing similar external conditions.</w:t>
      </w:r>
    </w:p>
    <w:p w14:paraId="6D8862AD"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evidence particularly highlights the importance of intangible resources. Brand reputation, proprietary knowledge, organizational culture, employee expertise, intellectual property, and innovation capabilities may be more difficult to reproduce than physical assets. Apple provides a useful illustration because its competitive position cannot be explained exclusively by individual products. Its brand, technological knowledge, integrated ecosystem, design capabilities, and customer relationships collectively contribute to its differentiation.</w:t>
      </w:r>
    </w:p>
    <w:p w14:paraId="243E669C"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Nevertheless, the findings indicate that resources cannot be considered permanently valuable. Technological disruption and changing consumer preferences can reduce the strategic importance of previously successful capabilities. Sustainable advantage therefore requires firms to continuously develop and reconfigure their resource base rather than simply protect existing strengths.</w:t>
      </w:r>
    </w:p>
    <w:p w14:paraId="08F3278C"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4.3 Blue Ocean Strategy and Value Innovation</w:t>
      </w:r>
    </w:p>
    <w:p w14:paraId="7340D42A"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 xml:space="preserve">The analysis finds that Blue Ocean Strategy offers an alternative to direct rivalry by encouraging organizations to create new demand and redefine conventional market boundaries. Kim and Mauborgne (2005) emphasize </w:t>
      </w:r>
      <w:r w:rsidRPr="003B00D5">
        <w:rPr>
          <w:rFonts w:ascii="Times New Roman" w:hAnsi="Times New Roman" w:cs="Times New Roman"/>
          <w:b/>
          <w:bCs/>
          <w:color w:val="000000" w:themeColor="text1"/>
          <w:szCs w:val="24"/>
        </w:rPr>
        <w:t>value innovation</w:t>
      </w:r>
      <w:r w:rsidRPr="003B00D5">
        <w:rPr>
          <w:rFonts w:ascii="Times New Roman" w:hAnsi="Times New Roman" w:cs="Times New Roman"/>
          <w:color w:val="000000" w:themeColor="text1"/>
          <w:szCs w:val="24"/>
        </w:rPr>
        <w:t>, through which companies attempt to increase buyer value while reconsidering the cost structure of existing industry offerings.</w:t>
      </w:r>
    </w:p>
    <w:p w14:paraId="191832D7"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Cirque du Soleil demonstrates this principle by combining aspects of circus entertainment with theatrical performance rather than competing directly according to traditional circus conventions. The example indicates that organizations can improve profitability by changing the basis of competition and attracting customers who were previously outside the traditional market.</w:t>
      </w:r>
    </w:p>
    <w:p w14:paraId="50632504"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However, the findings also identify an important sustainability issue. Successful blue oceans can eventually attract competitors. Market creation therefore provides an opportunity for competitive advantage but does not permanently remove competitive pressure. Continued innovation remains necessary as competitors respond to commercially successful ideas.</w:t>
      </w:r>
    </w:p>
    <w:p w14:paraId="068FEC2A"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4.4 Strategic Approaches and Long-Term Profitability</w:t>
      </w:r>
    </w:p>
    <w:p w14:paraId="5A63B556"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Comparative analysis reveals that the three frameworks are more valuable when viewed as </w:t>
      </w:r>
      <w:r w:rsidRPr="003B00D5">
        <w:rPr>
          <w:rFonts w:ascii="Times New Roman" w:hAnsi="Times New Roman" w:cs="Times New Roman"/>
          <w:b/>
          <w:bCs/>
          <w:color w:val="000000" w:themeColor="text1"/>
          <w:szCs w:val="24"/>
        </w:rPr>
        <w:t>complementary rather than competing explanations</w:t>
      </w:r>
      <w:r w:rsidRPr="003B00D5">
        <w:rPr>
          <w:rFonts w:ascii="Times New Roman" w:hAnsi="Times New Roman" w:cs="Times New Roman"/>
          <w:color w:val="000000" w:themeColor="text1"/>
          <w:szCs w:val="24"/>
        </w:rPr>
        <w:t>. Porter explains how an organization can establish a distinctive market position; the RBV explains the internal resources required to support and defend that position; and Blue Ocean Strategy demonstrates how firms can escape established competitive boundaries through innovation.</w:t>
      </w:r>
    </w:p>
    <w:p w14:paraId="3E309948"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For example, a differentiation strategy may initially attract customers, but competitors may imitate visible product characteristics. An organization with unique knowledge, brand equity, intellectual property, and integrated capabilities may be better positioned to protect that </w:t>
      </w:r>
      <w:r w:rsidRPr="003B00D5">
        <w:rPr>
          <w:rFonts w:ascii="Times New Roman" w:hAnsi="Times New Roman" w:cs="Times New Roman"/>
          <w:color w:val="000000" w:themeColor="text1"/>
          <w:szCs w:val="24"/>
        </w:rPr>
        <w:lastRenderedPageBreak/>
        <w:t>differentiation. Similarly, a company creating a new market through value innovation requires organizational resources capable of developing and continuously renewing the offering.</w:t>
      </w:r>
    </w:p>
    <w:p w14:paraId="69752E5A"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4.5 Overall Findings</w:t>
      </w:r>
    </w:p>
    <w:p w14:paraId="4F8032AC"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Overall, the findings establish that </w:t>
      </w:r>
      <w:r w:rsidRPr="003B00D5">
        <w:rPr>
          <w:rFonts w:ascii="Times New Roman" w:hAnsi="Times New Roman" w:cs="Times New Roman"/>
          <w:b/>
          <w:bCs/>
          <w:color w:val="000000" w:themeColor="text1"/>
          <w:szCs w:val="24"/>
        </w:rPr>
        <w:t>sustainable competitive advantage is dynamic rather than permanent</w:t>
      </w:r>
      <w:r w:rsidRPr="003B00D5">
        <w:rPr>
          <w:rFonts w:ascii="Times New Roman" w:hAnsi="Times New Roman" w:cs="Times New Roman"/>
          <w:color w:val="000000" w:themeColor="text1"/>
          <w:szCs w:val="24"/>
        </w:rPr>
        <w:t>. Cost efficiency, differentiation, valuable resources, or market innovation can establish an initial advantage, but long-term profitability depends on maintaining its relevance while limiting imitation. Competitive advantage is strongest when firms combine clear strategic positioning with difficult-to-replicate resources and continuous value innovation.</w:t>
      </w:r>
    </w:p>
    <w:p w14:paraId="0424D39E"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evidence therefore suggests that no single strategic framework guarantees superior long-term performance. Firms need to understand their competitive environment, exploit distinctive internal strengths, and remain willing to redefine existing strategies as markets evolve. Companies that achieve this alignment are more likely to protect profitability, respond to competitive threats, and sustain superior customer value over time (Barney, 1991; Porter, 1996).</w:t>
      </w:r>
    </w:p>
    <w:p w14:paraId="7903FA15" w14:textId="77777777" w:rsidR="002F5997" w:rsidRPr="003B00D5" w:rsidRDefault="002F5997" w:rsidP="00166C1B">
      <w:pPr>
        <w:spacing w:line="480" w:lineRule="auto"/>
        <w:rPr>
          <w:rStyle w:val="Heading1Char"/>
          <w:rFonts w:ascii="Times New Roman" w:hAnsi="Times New Roman" w:cs="Times New Roman"/>
          <w:b/>
          <w:bCs/>
          <w:color w:val="000000" w:themeColor="text1"/>
          <w:sz w:val="24"/>
          <w:szCs w:val="24"/>
        </w:rPr>
      </w:pPr>
    </w:p>
    <w:p w14:paraId="137582BA" w14:textId="77777777" w:rsidR="002F5997" w:rsidRPr="003B00D5" w:rsidRDefault="002F5997" w:rsidP="00166C1B">
      <w:pPr>
        <w:spacing w:line="480" w:lineRule="auto"/>
        <w:rPr>
          <w:rStyle w:val="Heading1Char"/>
          <w:rFonts w:ascii="Times New Roman" w:hAnsi="Times New Roman" w:cs="Times New Roman"/>
          <w:b/>
          <w:bCs/>
          <w:color w:val="000000" w:themeColor="text1"/>
          <w:sz w:val="24"/>
          <w:szCs w:val="24"/>
        </w:rPr>
      </w:pPr>
    </w:p>
    <w:p w14:paraId="77A8E1B8" w14:textId="77777777" w:rsidR="002F5997" w:rsidRPr="003B00D5" w:rsidRDefault="002F5997" w:rsidP="00166C1B">
      <w:pPr>
        <w:spacing w:line="480" w:lineRule="auto"/>
        <w:rPr>
          <w:rStyle w:val="Heading1Char"/>
          <w:rFonts w:ascii="Times New Roman" w:hAnsi="Times New Roman" w:cs="Times New Roman"/>
          <w:b/>
          <w:bCs/>
          <w:color w:val="000000" w:themeColor="text1"/>
          <w:sz w:val="24"/>
          <w:szCs w:val="24"/>
        </w:rPr>
      </w:pPr>
    </w:p>
    <w:p w14:paraId="529F7DEF" w14:textId="77777777" w:rsidR="002F5997" w:rsidRPr="003B00D5" w:rsidRDefault="002F5997" w:rsidP="00166C1B">
      <w:pPr>
        <w:spacing w:line="480" w:lineRule="auto"/>
        <w:rPr>
          <w:rStyle w:val="Heading1Char"/>
          <w:rFonts w:ascii="Times New Roman" w:hAnsi="Times New Roman" w:cs="Times New Roman"/>
          <w:b/>
          <w:bCs/>
          <w:color w:val="000000" w:themeColor="text1"/>
          <w:sz w:val="24"/>
          <w:szCs w:val="24"/>
        </w:rPr>
      </w:pPr>
    </w:p>
    <w:p w14:paraId="3164316C" w14:textId="77777777" w:rsidR="002F5997" w:rsidRPr="003B00D5" w:rsidRDefault="002F5997" w:rsidP="00166C1B">
      <w:pPr>
        <w:spacing w:line="480" w:lineRule="auto"/>
        <w:rPr>
          <w:rStyle w:val="Heading1Char"/>
          <w:rFonts w:ascii="Times New Roman" w:hAnsi="Times New Roman" w:cs="Times New Roman"/>
          <w:b/>
          <w:bCs/>
          <w:color w:val="000000" w:themeColor="text1"/>
          <w:sz w:val="24"/>
          <w:szCs w:val="24"/>
        </w:rPr>
      </w:pPr>
    </w:p>
    <w:p w14:paraId="3F0596E1" w14:textId="77777777" w:rsidR="002F5997" w:rsidRPr="003B00D5" w:rsidRDefault="002F5997" w:rsidP="00166C1B">
      <w:pPr>
        <w:spacing w:line="480" w:lineRule="auto"/>
        <w:rPr>
          <w:rStyle w:val="Heading1Char"/>
          <w:rFonts w:ascii="Times New Roman" w:hAnsi="Times New Roman" w:cs="Times New Roman"/>
          <w:b/>
          <w:bCs/>
          <w:color w:val="000000" w:themeColor="text1"/>
          <w:sz w:val="24"/>
          <w:szCs w:val="24"/>
        </w:rPr>
      </w:pPr>
    </w:p>
    <w:p w14:paraId="18805570" w14:textId="77777777" w:rsidR="002F5997" w:rsidRPr="003B00D5" w:rsidRDefault="002F5997" w:rsidP="00166C1B">
      <w:pPr>
        <w:spacing w:line="480" w:lineRule="auto"/>
        <w:rPr>
          <w:rStyle w:val="Heading1Char"/>
          <w:rFonts w:ascii="Times New Roman" w:hAnsi="Times New Roman" w:cs="Times New Roman"/>
          <w:b/>
          <w:bCs/>
          <w:color w:val="000000" w:themeColor="text1"/>
          <w:sz w:val="24"/>
          <w:szCs w:val="24"/>
        </w:rPr>
      </w:pPr>
    </w:p>
    <w:p w14:paraId="0A56D378" w14:textId="77777777" w:rsidR="00111DCE" w:rsidRPr="003B00D5" w:rsidRDefault="005809E5" w:rsidP="00111DCE">
      <w:pPr>
        <w:spacing w:line="480" w:lineRule="auto"/>
        <w:rPr>
          <w:rFonts w:ascii="Times New Roman" w:hAnsi="Times New Roman" w:cs="Times New Roman"/>
          <w:color w:val="000000" w:themeColor="text1"/>
          <w:szCs w:val="24"/>
        </w:rPr>
      </w:pPr>
      <w:bookmarkStart w:id="5" w:name="_Toc215261174"/>
      <w:r w:rsidRPr="003B00D5">
        <w:rPr>
          <w:rStyle w:val="Heading1Char"/>
          <w:rFonts w:ascii="Times New Roman" w:hAnsi="Times New Roman" w:cs="Times New Roman"/>
          <w:b/>
          <w:bCs/>
          <w:color w:val="000000" w:themeColor="text1"/>
          <w:sz w:val="24"/>
          <w:szCs w:val="24"/>
        </w:rPr>
        <w:lastRenderedPageBreak/>
        <w:t>5</w:t>
      </w:r>
      <w:r w:rsidR="00F11085" w:rsidRPr="003B00D5">
        <w:rPr>
          <w:rStyle w:val="Heading1Char"/>
          <w:rFonts w:ascii="Times New Roman" w:hAnsi="Times New Roman" w:cs="Times New Roman"/>
          <w:b/>
          <w:bCs/>
          <w:color w:val="000000" w:themeColor="text1"/>
          <w:sz w:val="24"/>
          <w:szCs w:val="24"/>
        </w:rPr>
        <w:t>. Discussion</w:t>
      </w:r>
      <w:bookmarkEnd w:id="5"/>
      <w:r w:rsidR="00F11085" w:rsidRPr="003B00D5">
        <w:rPr>
          <w:rFonts w:ascii="Times New Roman" w:hAnsi="Times New Roman" w:cs="Times New Roman"/>
          <w:color w:val="000000" w:themeColor="text1"/>
          <w:szCs w:val="24"/>
        </w:rPr>
        <w:t xml:space="preserve"> </w:t>
      </w:r>
      <w:r w:rsidR="00F11085" w:rsidRPr="003B00D5">
        <w:rPr>
          <w:rFonts w:ascii="Times New Roman" w:hAnsi="Times New Roman" w:cs="Times New Roman"/>
          <w:color w:val="000000" w:themeColor="text1"/>
          <w:szCs w:val="24"/>
        </w:rPr>
        <w:br/>
      </w:r>
      <w:r w:rsidR="00111DCE" w:rsidRPr="003B00D5">
        <w:rPr>
          <w:rFonts w:ascii="Times New Roman" w:hAnsi="Times New Roman" w:cs="Times New Roman"/>
          <w:color w:val="000000" w:themeColor="text1"/>
          <w:szCs w:val="24"/>
        </w:rPr>
        <w:t xml:space="preserve">The findings demonstrate that sustainable competitive advantage cannot be explained through a single strategic perspective. </w:t>
      </w:r>
      <w:r w:rsidR="00111DCE" w:rsidRPr="003B00D5">
        <w:rPr>
          <w:rFonts w:ascii="Times New Roman" w:hAnsi="Times New Roman" w:cs="Times New Roman"/>
          <w:b/>
          <w:bCs/>
          <w:color w:val="000000" w:themeColor="text1"/>
          <w:szCs w:val="24"/>
        </w:rPr>
        <w:t>Porter’s Generic Strategies, the Resource-Based View (RBV), and Blue Ocean Strategy</w:t>
      </w:r>
      <w:r w:rsidR="00111DCE" w:rsidRPr="003B00D5">
        <w:rPr>
          <w:rFonts w:ascii="Times New Roman" w:hAnsi="Times New Roman" w:cs="Times New Roman"/>
          <w:color w:val="000000" w:themeColor="text1"/>
          <w:szCs w:val="24"/>
        </w:rPr>
        <w:t xml:space="preserve"> address different but interconnected dimensions of competitiveness. Porter emphasizes how firms position themselves within existing markets, the RBV explains how distinctive internal resources protect an advantage, and Blue Ocean Strategy focuses on creating new demand through value innovation. Their combined application provides a stronger explanation of how organizations can achieve long-term profitability.</w:t>
      </w:r>
    </w:p>
    <w:p w14:paraId="3FFB6428"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5.1 Strategic Positioning and Competitive Performance</w:t>
      </w:r>
    </w:p>
    <w:p w14:paraId="2A3E29E6"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Porter’s Generic Strategies demonstrate that companies need a clear basis for competition. Cost leadership can strengthen profitability when organizations develop efficient operations and maintain lower costs than rivals, while differentiation allows firms to command customer preference through superior quality, innovation, design, service, or brand value. A focus strategy can also provide advantages where companies understand the requirements of a specific customer segment better than broadly positioned competitors.</w:t>
      </w:r>
    </w:p>
    <w:p w14:paraId="2DDA2E74"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However, competitive positioning is difficult to sustain when competitors can imitate successful practices. Porter (1996) argues that operational effectiveness alone does not constitute strategy because best practices can diffuse rapidly across competitors. Sustainable positioning therefore requires a system of interconnected activities that reinforces a distinctive value proposition. This explains why simply reducing prices or introducing new product features may produce only temporary benefits. Firms need consistency between their strategic positioning and the activities supporting it.</w:t>
      </w:r>
    </w:p>
    <w:p w14:paraId="2634E013"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lastRenderedPageBreak/>
        <w:t>5.2 RBV and Protection of Competitive Advantage</w:t>
      </w:r>
    </w:p>
    <w:p w14:paraId="5584FAC3"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RBV strengthens this explanation by focusing on the resources behind a company's market position. Barney (1991) argues that sustained competitive advantage depends on resources that are valuable, rare, imperfectly imitable, and strategically difficult to substitute. This perspective is particularly relevant because competitors can observe a firm's market strategy more easily than they can reproduce the organizational capabilities supporting it.</w:t>
      </w:r>
    </w:p>
    <w:p w14:paraId="6994FE14"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Apple illustrates the relationship between positioning and resources. Its differentiation is supported not only by product design but also by brand equity, technological capabilities, intellectual property, ecosystem integration, and accumulated customer relationships. Replicating an individual smartphone feature is considerably easier than reproducing the complete combination of capabilities supporting the company's strategic position. The RBV therefore explains why some differentiation strategies may be more defensible than others.</w:t>
      </w:r>
    </w:p>
    <w:p w14:paraId="13E42D0B"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Nevertheless, the RBV should not encourage firms to become overly dependent on historically successful resources. A valuable capability can lose relevance when technology, customer expectations, or industry structures change. Organizations must therefore continually renew and adapt their resource base.</w:t>
      </w:r>
    </w:p>
    <w:p w14:paraId="33A0C86D"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5.3 Blue Ocean Strategy and Market Creation</w:t>
      </w:r>
    </w:p>
    <w:p w14:paraId="3A35D7BD"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Blue Ocean Strategy extends the analysis by challenging the assumption that competitive advantage must always result from outperforming existing rivals. Kim and Mauborgne (2005) argue that firms can achieve growth through </w:t>
      </w:r>
      <w:r w:rsidRPr="003B00D5">
        <w:rPr>
          <w:rFonts w:ascii="Times New Roman" w:hAnsi="Times New Roman" w:cs="Times New Roman"/>
          <w:b/>
          <w:bCs/>
          <w:color w:val="000000" w:themeColor="text1"/>
          <w:szCs w:val="24"/>
        </w:rPr>
        <w:t>value innovation</w:t>
      </w:r>
      <w:r w:rsidRPr="003B00D5">
        <w:rPr>
          <w:rFonts w:ascii="Times New Roman" w:hAnsi="Times New Roman" w:cs="Times New Roman"/>
          <w:color w:val="000000" w:themeColor="text1"/>
          <w:szCs w:val="24"/>
        </w:rPr>
        <w:t xml:space="preserve">, creating new demand while changing the conventional basis of competition. This approach can be especially useful in mature </w:t>
      </w:r>
      <w:r w:rsidRPr="003B00D5">
        <w:rPr>
          <w:rFonts w:ascii="Times New Roman" w:hAnsi="Times New Roman" w:cs="Times New Roman"/>
          <w:color w:val="000000" w:themeColor="text1"/>
          <w:szCs w:val="24"/>
        </w:rPr>
        <w:lastRenderedPageBreak/>
        <w:t>industries where established competitors offer increasingly similar products and intense rivalry places pressure on profitability.</w:t>
      </w:r>
    </w:p>
    <w:p w14:paraId="3EA234D8"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experience of Cirque du Soleil illustrates this strategic logic. Instead of competing directly with traditional circuses on established factors, it incorporated theatrical characteristics and targeted audiences willing to pay for a distinctive entertainment experience. This demonstrates how changing the value proposition can reduce dependence on conventional industry competition.</w:t>
      </w:r>
    </w:p>
    <w:p w14:paraId="6FD20B5F"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However, Blue Ocean Strategy does not permanently eliminate rivalry. Successful new markets can attract competitors, while innovative offerings may eventually become industry standards. Therefore, firms must treat value innovation as an ongoing capability rather than a one-time strategic action.</w:t>
      </w:r>
    </w:p>
    <w:p w14:paraId="680B3199"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t>5.4 Integrating the Three Strategic Perspectives</w:t>
      </w:r>
    </w:p>
    <w:p w14:paraId="107A9E9D"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The strongest implication of the analysis is that the frameworks can be </w:t>
      </w:r>
      <w:r w:rsidRPr="003B00D5">
        <w:rPr>
          <w:rFonts w:ascii="Times New Roman" w:hAnsi="Times New Roman" w:cs="Times New Roman"/>
          <w:b/>
          <w:bCs/>
          <w:color w:val="000000" w:themeColor="text1"/>
          <w:szCs w:val="24"/>
        </w:rPr>
        <w:t>complementary</w:t>
      </w:r>
      <w:r w:rsidRPr="003B00D5">
        <w:rPr>
          <w:rFonts w:ascii="Times New Roman" w:hAnsi="Times New Roman" w:cs="Times New Roman"/>
          <w:color w:val="000000" w:themeColor="text1"/>
          <w:szCs w:val="24"/>
        </w:rPr>
        <w:t>. Porter helps managers determine how the company should compete, the RBV identifies whether the organization possesses resources capable of supporting that position, and Blue Ocean Strategy encourages managers to question existing market boundaries.</w:t>
      </w:r>
    </w:p>
    <w:p w14:paraId="4B23B351"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For example, differentiation without distinctive resources can be easily imitated, while valuable resources without an effective market position may remain commercially underutilized. Similarly, identifying an attractive blue ocean is insufficient if the organization lacks the capabilities required to exploit and defend the opportunity. Combining external positioning, internal capabilities, and market innovation therefore provides a more comprehensive foundation for strategy.</w:t>
      </w:r>
    </w:p>
    <w:p w14:paraId="33A312CD" w14:textId="77777777" w:rsidR="00111DCE" w:rsidRPr="003B00D5" w:rsidRDefault="00111DCE" w:rsidP="00111DCE">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lastRenderedPageBreak/>
        <w:t>5.5 Long-Term Profitability and Sustainability</w:t>
      </w:r>
    </w:p>
    <w:p w14:paraId="12151D4A"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Long-term profitability ultimately depends on the organization's ability to </w:t>
      </w:r>
      <w:r w:rsidRPr="003B00D5">
        <w:rPr>
          <w:rFonts w:ascii="Times New Roman" w:hAnsi="Times New Roman" w:cs="Times New Roman"/>
          <w:b/>
          <w:bCs/>
          <w:color w:val="000000" w:themeColor="text1"/>
          <w:szCs w:val="24"/>
        </w:rPr>
        <w:t>create value while continually renewing the sources of that value</w:t>
      </w:r>
      <w:r w:rsidRPr="003B00D5">
        <w:rPr>
          <w:rFonts w:ascii="Times New Roman" w:hAnsi="Times New Roman" w:cs="Times New Roman"/>
          <w:color w:val="000000" w:themeColor="text1"/>
          <w:szCs w:val="24"/>
        </w:rPr>
        <w:t>. Competitive advantage should not be regarded as a permanent condition. Competitor imitation, technological disruption, new entrants, and changing customer preferences can weaken previously successful positions.</w:t>
      </w:r>
    </w:p>
    <w:p w14:paraId="4F11590D"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Companies must consequently balance strategic consistency with adaptability. They need sufficient consistency to develop strong brands, capabilities, and activity systems, while remaining flexible enough to recognize when existing strategies require modification. This means sustainable competitive advantage emerges from the interaction of positioning, resources, innovation, and organizational learning rather than from one isolated strategic decision.</w:t>
      </w:r>
    </w:p>
    <w:p w14:paraId="67923843" w14:textId="77777777" w:rsidR="00111DCE" w:rsidRPr="003B00D5" w:rsidRDefault="00111DCE" w:rsidP="00111DCE">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Overall, the analysis indicates that Porter’s Generic Strategies, RBV, and Blue Ocean Strategy remain useful when applied critically rather than mechanically. Porter provides direction for competitive positioning, RBV explains the defensibility of organizational strengths, and Blue Ocean Strategy encourages continuous value creation. Integrating these perspectives enables firms to establish distinctive positions, protect them through difficult-to-imitate capabilities, and continually explore new sources of customer value. This combination provides a stronger foundation for sustaining competitiveness and profitability in highly competitive and evolving industries.</w:t>
      </w:r>
    </w:p>
    <w:p w14:paraId="7FA28392" w14:textId="6F855BCC" w:rsidR="00106D2C" w:rsidRPr="003B00D5" w:rsidRDefault="00106D2C" w:rsidP="00111DCE">
      <w:pPr>
        <w:spacing w:line="480" w:lineRule="auto"/>
        <w:rPr>
          <w:rFonts w:ascii="Times New Roman" w:hAnsi="Times New Roman" w:cs="Times New Roman"/>
          <w:color w:val="000000" w:themeColor="text1"/>
          <w:szCs w:val="24"/>
        </w:rPr>
      </w:pPr>
    </w:p>
    <w:p w14:paraId="552EC82C" w14:textId="77777777" w:rsidR="00111DCE" w:rsidRPr="003B00D5" w:rsidRDefault="00111DCE" w:rsidP="00111DCE">
      <w:pPr>
        <w:spacing w:line="480" w:lineRule="auto"/>
        <w:rPr>
          <w:rFonts w:ascii="Times New Roman" w:hAnsi="Times New Roman" w:cs="Times New Roman"/>
          <w:color w:val="000000" w:themeColor="text1"/>
          <w:szCs w:val="24"/>
        </w:rPr>
      </w:pPr>
    </w:p>
    <w:p w14:paraId="7AC3DE86" w14:textId="77777777" w:rsidR="00111DCE" w:rsidRPr="003B00D5" w:rsidRDefault="00111DCE" w:rsidP="00111DCE">
      <w:pPr>
        <w:spacing w:line="480" w:lineRule="auto"/>
        <w:rPr>
          <w:rFonts w:ascii="Times New Roman" w:hAnsi="Times New Roman" w:cs="Times New Roman"/>
          <w:color w:val="000000" w:themeColor="text1"/>
          <w:szCs w:val="24"/>
        </w:rPr>
      </w:pPr>
    </w:p>
    <w:p w14:paraId="4B6A7C9C" w14:textId="77777777" w:rsidR="00040A40" w:rsidRPr="003B00D5" w:rsidRDefault="00816829" w:rsidP="00040A40">
      <w:pPr>
        <w:spacing w:line="480" w:lineRule="auto"/>
        <w:rPr>
          <w:rFonts w:ascii="Times New Roman" w:hAnsi="Times New Roman" w:cs="Times New Roman"/>
          <w:color w:val="000000" w:themeColor="text1"/>
          <w:szCs w:val="24"/>
        </w:rPr>
      </w:pPr>
      <w:bookmarkStart w:id="6" w:name="_Toc215261176"/>
      <w:r w:rsidRPr="003B00D5">
        <w:rPr>
          <w:rStyle w:val="Heading1Char"/>
          <w:rFonts w:ascii="Times New Roman" w:hAnsi="Times New Roman" w:cs="Times New Roman"/>
          <w:b/>
          <w:bCs/>
          <w:color w:val="000000" w:themeColor="text1"/>
          <w:sz w:val="24"/>
          <w:szCs w:val="24"/>
        </w:rPr>
        <w:lastRenderedPageBreak/>
        <w:t>6</w:t>
      </w:r>
      <w:r w:rsidR="00F11085" w:rsidRPr="003B00D5">
        <w:rPr>
          <w:rStyle w:val="Heading1Char"/>
          <w:rFonts w:ascii="Times New Roman" w:hAnsi="Times New Roman" w:cs="Times New Roman"/>
          <w:b/>
          <w:bCs/>
          <w:color w:val="000000" w:themeColor="text1"/>
          <w:sz w:val="24"/>
          <w:szCs w:val="24"/>
        </w:rPr>
        <w:t>. Conclusion</w:t>
      </w:r>
      <w:bookmarkEnd w:id="6"/>
      <w:r w:rsidR="00F11085" w:rsidRPr="003B00D5">
        <w:rPr>
          <w:rFonts w:ascii="Times New Roman" w:hAnsi="Times New Roman" w:cs="Times New Roman"/>
          <w:b/>
          <w:bCs/>
          <w:color w:val="000000" w:themeColor="text1"/>
          <w:szCs w:val="24"/>
        </w:rPr>
        <w:t xml:space="preserve"> </w:t>
      </w:r>
      <w:r w:rsidR="00F11085" w:rsidRPr="003B00D5">
        <w:rPr>
          <w:rFonts w:ascii="Times New Roman" w:hAnsi="Times New Roman" w:cs="Times New Roman"/>
          <w:color w:val="000000" w:themeColor="text1"/>
          <w:szCs w:val="24"/>
        </w:rPr>
        <w:br/>
      </w:r>
      <w:r w:rsidR="00040A40" w:rsidRPr="003B00D5">
        <w:rPr>
          <w:rFonts w:ascii="Times New Roman" w:hAnsi="Times New Roman" w:cs="Times New Roman"/>
          <w:color w:val="000000" w:themeColor="text1"/>
          <w:szCs w:val="24"/>
        </w:rPr>
        <w:t xml:space="preserve">Competitive advantage remains fundamental to organizational success, particularly in industries characterized by intense rivalry, technological change, and rapidly evolving customer expectations. This study demonstrates that </w:t>
      </w:r>
      <w:r w:rsidR="00040A40" w:rsidRPr="003B00D5">
        <w:rPr>
          <w:rFonts w:ascii="Times New Roman" w:hAnsi="Times New Roman" w:cs="Times New Roman"/>
          <w:b/>
          <w:bCs/>
          <w:color w:val="000000" w:themeColor="text1"/>
          <w:szCs w:val="24"/>
        </w:rPr>
        <w:t>Porter’s Generic Strategies, the Resource-Based View (RBV), and Blue Ocean Strategy</w:t>
      </w:r>
      <w:r w:rsidR="00040A40" w:rsidRPr="003B00D5">
        <w:rPr>
          <w:rFonts w:ascii="Times New Roman" w:hAnsi="Times New Roman" w:cs="Times New Roman"/>
          <w:color w:val="000000" w:themeColor="text1"/>
          <w:szCs w:val="24"/>
        </w:rPr>
        <w:t xml:space="preserve"> provide different but complementary explanations of how firms can establish and sustain superior competitive positions.</w:t>
      </w:r>
    </w:p>
    <w:p w14:paraId="4F3B5B57"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Porter’s Generic Strategies highlight the importance of establishing a clear competitive position through cost leadership, differentiation, or focus. However, positioning alone may not provide lasting advantage when competitors can imitate successful practices. The RBV addresses this limitation by demonstrating that sustainable advantage is more likely when firms possess valuable, rare, and difficult-to-imitate resources and capabilities (Barney, 1991). Blue Ocean Strategy extends these perspectives by showing how organizations can move beyond direct competition and generate new demand through value innovation (Kim &amp; Mauborgne, 2005).</w:t>
      </w:r>
    </w:p>
    <w:p w14:paraId="332BFD4F"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The analysis also demonstrates that no strategic approach guarantees permanent success. Competitive positions can weaken as rivals imitate successful strategies, technologies evolve, and customer expectations change. Organizations must therefore continuously develop their capabilities and reassess the value they provide to customers.</w:t>
      </w:r>
    </w:p>
    <w:p w14:paraId="39A19E56"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Overall, long-term profitability is most likely when organizations combine </w:t>
      </w:r>
      <w:r w:rsidRPr="003B00D5">
        <w:rPr>
          <w:rFonts w:ascii="Times New Roman" w:hAnsi="Times New Roman" w:cs="Times New Roman"/>
          <w:b/>
          <w:bCs/>
          <w:color w:val="000000" w:themeColor="text1"/>
          <w:szCs w:val="24"/>
        </w:rPr>
        <w:t>clear strategic positioning, distinctive internal capabilities, and continuous value innovation</w:t>
      </w:r>
      <w:r w:rsidRPr="003B00D5">
        <w:rPr>
          <w:rFonts w:ascii="Times New Roman" w:hAnsi="Times New Roman" w:cs="Times New Roman"/>
          <w:color w:val="000000" w:themeColor="text1"/>
          <w:szCs w:val="24"/>
        </w:rPr>
        <w:t>. Firms that successfully integrate these elements can strengthen barriers to imitation while remaining responsive to emerging opportunities and threats. Sustainable competitive advantage should therefore be viewed as a dynamic process requiring continuous strategic renewal rather than as a fixed position achieved through a single strategic decision.</w:t>
      </w:r>
    </w:p>
    <w:p w14:paraId="08440C88" w14:textId="77777777" w:rsidR="00040A40" w:rsidRPr="003B00D5" w:rsidRDefault="00040A40" w:rsidP="00040A40">
      <w:pPr>
        <w:spacing w:line="480" w:lineRule="auto"/>
        <w:rPr>
          <w:rFonts w:ascii="Times New Roman" w:hAnsi="Times New Roman" w:cs="Times New Roman"/>
          <w:b/>
          <w:bCs/>
          <w:color w:val="000000" w:themeColor="text1"/>
          <w:szCs w:val="24"/>
        </w:rPr>
      </w:pPr>
      <w:r w:rsidRPr="003B00D5">
        <w:rPr>
          <w:rFonts w:ascii="Times New Roman" w:hAnsi="Times New Roman" w:cs="Times New Roman"/>
          <w:b/>
          <w:bCs/>
          <w:color w:val="000000" w:themeColor="text1"/>
          <w:szCs w:val="24"/>
        </w:rPr>
        <w:lastRenderedPageBreak/>
        <w:t>References</w:t>
      </w:r>
    </w:p>
    <w:p w14:paraId="35A1753B"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Barney, J. (1991). Firm resources and sustained competitive advantage. </w:t>
      </w:r>
      <w:r w:rsidRPr="003B00D5">
        <w:rPr>
          <w:rFonts w:ascii="Times New Roman" w:hAnsi="Times New Roman" w:cs="Times New Roman"/>
          <w:i/>
          <w:iCs/>
          <w:color w:val="000000" w:themeColor="text1"/>
          <w:szCs w:val="24"/>
        </w:rPr>
        <w:t>Journal of Management, 17</w:t>
      </w:r>
      <w:r w:rsidRPr="003B00D5">
        <w:rPr>
          <w:rFonts w:ascii="Times New Roman" w:hAnsi="Times New Roman" w:cs="Times New Roman"/>
          <w:color w:val="000000" w:themeColor="text1"/>
          <w:szCs w:val="24"/>
        </w:rPr>
        <w:t>(1), 99–120.</w:t>
      </w:r>
      <w:r w:rsidRPr="003B00D5">
        <w:rPr>
          <w:rFonts w:ascii="Times New Roman" w:hAnsi="Times New Roman" w:cs="Times New Roman"/>
          <w:color w:val="000000" w:themeColor="text1"/>
          <w:szCs w:val="24"/>
        </w:rPr>
        <w:br/>
      </w:r>
      <w:hyperlink r:id="rId7" w:tgtFrame="_blank" w:history="1">
        <w:r w:rsidRPr="003B00D5">
          <w:rPr>
            <w:rStyle w:val="Hyperlink"/>
            <w:rFonts w:ascii="Times New Roman" w:hAnsi="Times New Roman" w:cs="Times New Roman"/>
            <w:szCs w:val="24"/>
          </w:rPr>
          <w:t>https://doi.org/10.1177/014920639101700108</w:t>
        </w:r>
      </w:hyperlink>
    </w:p>
    <w:p w14:paraId="0E1B1847"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Barney, J. B. (2001). Resource-based theories of competitive advantage: A ten-year retrospective on the resource-based view. </w:t>
      </w:r>
      <w:r w:rsidRPr="003B00D5">
        <w:rPr>
          <w:rFonts w:ascii="Times New Roman" w:hAnsi="Times New Roman" w:cs="Times New Roman"/>
          <w:i/>
          <w:iCs/>
          <w:color w:val="000000" w:themeColor="text1"/>
          <w:szCs w:val="24"/>
        </w:rPr>
        <w:t>Journal of Management, 27</w:t>
      </w:r>
      <w:r w:rsidRPr="003B00D5">
        <w:rPr>
          <w:rFonts w:ascii="Times New Roman" w:hAnsi="Times New Roman" w:cs="Times New Roman"/>
          <w:color w:val="000000" w:themeColor="text1"/>
          <w:szCs w:val="24"/>
        </w:rPr>
        <w:t>(6), 643–650.</w:t>
      </w:r>
      <w:r w:rsidRPr="003B00D5">
        <w:rPr>
          <w:rFonts w:ascii="Times New Roman" w:hAnsi="Times New Roman" w:cs="Times New Roman"/>
          <w:color w:val="000000" w:themeColor="text1"/>
          <w:szCs w:val="24"/>
        </w:rPr>
        <w:br/>
      </w:r>
      <w:hyperlink r:id="rId8" w:tgtFrame="_blank" w:history="1">
        <w:r w:rsidRPr="003B00D5">
          <w:rPr>
            <w:rStyle w:val="Hyperlink"/>
            <w:rFonts w:ascii="Times New Roman" w:hAnsi="Times New Roman" w:cs="Times New Roman"/>
            <w:szCs w:val="24"/>
          </w:rPr>
          <w:t>https://doi.org/10.1177/014920630102700602</w:t>
        </w:r>
      </w:hyperlink>
    </w:p>
    <w:p w14:paraId="407F05FA"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Campbell-Hunt, C. (2000). What have we learned about generic competitive strategy? A meta-analysis. </w:t>
      </w:r>
      <w:r w:rsidRPr="003B00D5">
        <w:rPr>
          <w:rFonts w:ascii="Times New Roman" w:hAnsi="Times New Roman" w:cs="Times New Roman"/>
          <w:i/>
          <w:iCs/>
          <w:color w:val="000000" w:themeColor="text1"/>
          <w:szCs w:val="24"/>
        </w:rPr>
        <w:t>Strategic Management Journal, 21</w:t>
      </w:r>
      <w:r w:rsidRPr="003B00D5">
        <w:rPr>
          <w:rFonts w:ascii="Times New Roman" w:hAnsi="Times New Roman" w:cs="Times New Roman"/>
          <w:color w:val="000000" w:themeColor="text1"/>
          <w:szCs w:val="24"/>
        </w:rPr>
        <w:t>(2), 127–154.</w:t>
      </w:r>
      <w:r w:rsidRPr="003B00D5">
        <w:rPr>
          <w:rFonts w:ascii="Times New Roman" w:hAnsi="Times New Roman" w:cs="Times New Roman"/>
          <w:color w:val="000000" w:themeColor="text1"/>
          <w:szCs w:val="24"/>
        </w:rPr>
        <w:br/>
        <w:t>https://doi.org/10.1002/(SICI)1097-0266(200002)21:2%3C127::AID-SMJ75%3E3.0.CO;2-1</w:t>
      </w:r>
    </w:p>
    <w:p w14:paraId="64152BC6"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González-Benito, J. (2010). Supply strategy and business performance: An analysis based on the relative importance assigned to generic competitive objectives. </w:t>
      </w:r>
      <w:r w:rsidRPr="003B00D5">
        <w:rPr>
          <w:rFonts w:ascii="Times New Roman" w:hAnsi="Times New Roman" w:cs="Times New Roman"/>
          <w:i/>
          <w:iCs/>
          <w:color w:val="000000" w:themeColor="text1"/>
          <w:szCs w:val="24"/>
        </w:rPr>
        <w:t>International Journal of Operations &amp; Production Management, 30</w:t>
      </w:r>
      <w:r w:rsidRPr="003B00D5">
        <w:rPr>
          <w:rFonts w:ascii="Times New Roman" w:hAnsi="Times New Roman" w:cs="Times New Roman"/>
          <w:color w:val="000000" w:themeColor="text1"/>
          <w:szCs w:val="24"/>
        </w:rPr>
        <w:t>(8), 774–797.</w:t>
      </w:r>
      <w:r w:rsidRPr="003B00D5">
        <w:rPr>
          <w:rFonts w:ascii="Times New Roman" w:hAnsi="Times New Roman" w:cs="Times New Roman"/>
          <w:color w:val="000000" w:themeColor="text1"/>
          <w:szCs w:val="24"/>
        </w:rPr>
        <w:br/>
      </w:r>
      <w:hyperlink r:id="rId9" w:tgtFrame="_blank" w:history="1">
        <w:r w:rsidRPr="003B00D5">
          <w:rPr>
            <w:rStyle w:val="Hyperlink"/>
            <w:rFonts w:ascii="Times New Roman" w:hAnsi="Times New Roman" w:cs="Times New Roman"/>
            <w:szCs w:val="24"/>
          </w:rPr>
          <w:t>https://doi.org/10.1108/01443571011068162</w:t>
        </w:r>
      </w:hyperlink>
    </w:p>
    <w:p w14:paraId="1B3D309C"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Karnani, A. (1984). Generic competitive strategies—An analytical approach. </w:t>
      </w:r>
      <w:r w:rsidRPr="003B00D5">
        <w:rPr>
          <w:rFonts w:ascii="Times New Roman" w:hAnsi="Times New Roman" w:cs="Times New Roman"/>
          <w:i/>
          <w:iCs/>
          <w:color w:val="000000" w:themeColor="text1"/>
          <w:szCs w:val="24"/>
        </w:rPr>
        <w:t>Strategic Management Journal, 5</w:t>
      </w:r>
      <w:r w:rsidRPr="003B00D5">
        <w:rPr>
          <w:rFonts w:ascii="Times New Roman" w:hAnsi="Times New Roman" w:cs="Times New Roman"/>
          <w:color w:val="000000" w:themeColor="text1"/>
          <w:szCs w:val="24"/>
        </w:rPr>
        <w:t>(4), 367–380.</w:t>
      </w:r>
      <w:r w:rsidRPr="003B00D5">
        <w:rPr>
          <w:rFonts w:ascii="Times New Roman" w:hAnsi="Times New Roman" w:cs="Times New Roman"/>
          <w:color w:val="000000" w:themeColor="text1"/>
          <w:szCs w:val="24"/>
        </w:rPr>
        <w:br/>
      </w:r>
      <w:hyperlink r:id="rId10" w:tgtFrame="_blank" w:history="1">
        <w:r w:rsidRPr="003B00D5">
          <w:rPr>
            <w:rStyle w:val="Hyperlink"/>
            <w:rFonts w:ascii="Times New Roman" w:hAnsi="Times New Roman" w:cs="Times New Roman"/>
            <w:szCs w:val="24"/>
          </w:rPr>
          <w:t>https://doi.org/10.1002/smj.4250050406</w:t>
        </w:r>
      </w:hyperlink>
    </w:p>
    <w:p w14:paraId="157E96CF"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Kim, W. C., &amp; Mauborgne, R. (1999). Strategy, value innovation, and the knowledge economy. </w:t>
      </w:r>
      <w:r w:rsidRPr="003B00D5">
        <w:rPr>
          <w:rFonts w:ascii="Times New Roman" w:hAnsi="Times New Roman" w:cs="Times New Roman"/>
          <w:i/>
          <w:iCs/>
          <w:color w:val="000000" w:themeColor="text1"/>
          <w:szCs w:val="24"/>
        </w:rPr>
        <w:t>Sloan Management Review, 40</w:t>
      </w:r>
      <w:r w:rsidRPr="003B00D5">
        <w:rPr>
          <w:rFonts w:ascii="Times New Roman" w:hAnsi="Times New Roman" w:cs="Times New Roman"/>
          <w:color w:val="000000" w:themeColor="text1"/>
          <w:szCs w:val="24"/>
        </w:rPr>
        <w:t>(3), 41–54.</w:t>
      </w:r>
    </w:p>
    <w:p w14:paraId="346C3747"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 xml:space="preserve">Kim, W. C., &amp; Mauborgne, R. (2005). Value innovation: A leap into the blue ocean. </w:t>
      </w:r>
      <w:r w:rsidRPr="003B00D5">
        <w:rPr>
          <w:rFonts w:ascii="Times New Roman" w:hAnsi="Times New Roman" w:cs="Times New Roman"/>
          <w:i/>
          <w:iCs/>
          <w:color w:val="000000" w:themeColor="text1"/>
          <w:szCs w:val="24"/>
        </w:rPr>
        <w:t>Journal of Business Strategy, 26</w:t>
      </w:r>
      <w:r w:rsidRPr="003B00D5">
        <w:rPr>
          <w:rFonts w:ascii="Times New Roman" w:hAnsi="Times New Roman" w:cs="Times New Roman"/>
          <w:color w:val="000000" w:themeColor="text1"/>
          <w:szCs w:val="24"/>
        </w:rPr>
        <w:t>(4), 22–28.</w:t>
      </w:r>
      <w:r w:rsidRPr="003B00D5">
        <w:rPr>
          <w:rFonts w:ascii="Times New Roman" w:hAnsi="Times New Roman" w:cs="Times New Roman"/>
          <w:color w:val="000000" w:themeColor="text1"/>
          <w:szCs w:val="24"/>
        </w:rPr>
        <w:br/>
      </w:r>
      <w:hyperlink r:id="rId11" w:tgtFrame="_blank" w:history="1">
        <w:r w:rsidRPr="003B00D5">
          <w:rPr>
            <w:rStyle w:val="Hyperlink"/>
            <w:rFonts w:ascii="Times New Roman" w:hAnsi="Times New Roman" w:cs="Times New Roman"/>
            <w:szCs w:val="24"/>
          </w:rPr>
          <w:t>https://doi.org/10.1108/02756660510608521</w:t>
        </w:r>
      </w:hyperlink>
    </w:p>
    <w:p w14:paraId="36915B7C"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Miller, D., &amp; Dess, G. G. (1993). Assessing Porter’s (1980) model in terms of its generalizability, accuracy and simplicity. </w:t>
      </w:r>
      <w:r w:rsidRPr="003B00D5">
        <w:rPr>
          <w:rFonts w:ascii="Times New Roman" w:hAnsi="Times New Roman" w:cs="Times New Roman"/>
          <w:i/>
          <w:iCs/>
          <w:color w:val="000000" w:themeColor="text1"/>
          <w:szCs w:val="24"/>
        </w:rPr>
        <w:t>Journal of Management Studies, 30</w:t>
      </w:r>
      <w:r w:rsidRPr="003B00D5">
        <w:rPr>
          <w:rFonts w:ascii="Times New Roman" w:hAnsi="Times New Roman" w:cs="Times New Roman"/>
          <w:color w:val="000000" w:themeColor="text1"/>
          <w:szCs w:val="24"/>
        </w:rPr>
        <w:t>(4), 553–585.</w:t>
      </w:r>
      <w:r w:rsidRPr="003B00D5">
        <w:rPr>
          <w:rFonts w:ascii="Times New Roman" w:hAnsi="Times New Roman" w:cs="Times New Roman"/>
          <w:color w:val="000000" w:themeColor="text1"/>
          <w:szCs w:val="24"/>
        </w:rPr>
        <w:br/>
        <w:t>https://doi.org/10.1111/j.1467-6486.1993.tb00316.x</w:t>
      </w:r>
    </w:p>
    <w:p w14:paraId="016F82D6"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Murray, A. I. (1988). A contingency view of Porter’s “generic strategies.” </w:t>
      </w:r>
      <w:r w:rsidRPr="003B00D5">
        <w:rPr>
          <w:rFonts w:ascii="Times New Roman" w:hAnsi="Times New Roman" w:cs="Times New Roman"/>
          <w:i/>
          <w:iCs/>
          <w:color w:val="000000" w:themeColor="text1"/>
          <w:szCs w:val="24"/>
        </w:rPr>
        <w:t>Academy of Management Review, 13</w:t>
      </w:r>
      <w:r w:rsidRPr="003B00D5">
        <w:rPr>
          <w:rFonts w:ascii="Times New Roman" w:hAnsi="Times New Roman" w:cs="Times New Roman"/>
          <w:color w:val="000000" w:themeColor="text1"/>
          <w:szCs w:val="24"/>
        </w:rPr>
        <w:t>(3), 390–400.</w:t>
      </w:r>
      <w:r w:rsidRPr="003B00D5">
        <w:rPr>
          <w:rFonts w:ascii="Times New Roman" w:hAnsi="Times New Roman" w:cs="Times New Roman"/>
          <w:color w:val="000000" w:themeColor="text1"/>
          <w:szCs w:val="24"/>
        </w:rPr>
        <w:br/>
        <w:t>https://doi.org/10.5465/amr.1988.4306951</w:t>
      </w:r>
    </w:p>
    <w:p w14:paraId="2DFAF69A"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Peteraf, M. A. (1993). The cornerstones of competitive advantage: A resource-based view. </w:t>
      </w:r>
      <w:r w:rsidRPr="003B00D5">
        <w:rPr>
          <w:rFonts w:ascii="Times New Roman" w:hAnsi="Times New Roman" w:cs="Times New Roman"/>
          <w:i/>
          <w:iCs/>
          <w:color w:val="000000" w:themeColor="text1"/>
          <w:szCs w:val="24"/>
        </w:rPr>
        <w:t>Strategic Management Journal, 14</w:t>
      </w:r>
      <w:r w:rsidRPr="003B00D5">
        <w:rPr>
          <w:rFonts w:ascii="Times New Roman" w:hAnsi="Times New Roman" w:cs="Times New Roman"/>
          <w:color w:val="000000" w:themeColor="text1"/>
          <w:szCs w:val="24"/>
        </w:rPr>
        <w:t>(3), 179–191.</w:t>
      </w:r>
      <w:r w:rsidRPr="003B00D5">
        <w:rPr>
          <w:rFonts w:ascii="Times New Roman" w:hAnsi="Times New Roman" w:cs="Times New Roman"/>
          <w:color w:val="000000" w:themeColor="text1"/>
          <w:szCs w:val="24"/>
        </w:rPr>
        <w:br/>
      </w:r>
      <w:hyperlink r:id="rId12" w:tgtFrame="_blank" w:history="1">
        <w:r w:rsidRPr="003B00D5">
          <w:rPr>
            <w:rStyle w:val="Hyperlink"/>
            <w:rFonts w:ascii="Times New Roman" w:hAnsi="Times New Roman" w:cs="Times New Roman"/>
            <w:szCs w:val="24"/>
          </w:rPr>
          <w:t>https://doi.org/10.1002/smj.4250140303</w:t>
        </w:r>
      </w:hyperlink>
    </w:p>
    <w:p w14:paraId="0FD347E4"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Porter, M. E. (1996). What is strategy? </w:t>
      </w:r>
      <w:r w:rsidRPr="003B00D5">
        <w:rPr>
          <w:rFonts w:ascii="Times New Roman" w:hAnsi="Times New Roman" w:cs="Times New Roman"/>
          <w:i/>
          <w:iCs/>
          <w:color w:val="000000" w:themeColor="text1"/>
          <w:szCs w:val="24"/>
        </w:rPr>
        <w:t>Harvard Business Review, 74</w:t>
      </w:r>
      <w:r w:rsidRPr="003B00D5">
        <w:rPr>
          <w:rFonts w:ascii="Times New Roman" w:hAnsi="Times New Roman" w:cs="Times New Roman"/>
          <w:color w:val="000000" w:themeColor="text1"/>
          <w:szCs w:val="24"/>
        </w:rPr>
        <w:t>(6), 61–78.</w:t>
      </w:r>
    </w:p>
    <w:p w14:paraId="3779C1EB"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Spanos, Y. E., &amp; </w:t>
      </w:r>
      <w:proofErr w:type="spellStart"/>
      <w:r w:rsidRPr="003B00D5">
        <w:rPr>
          <w:rFonts w:ascii="Times New Roman" w:hAnsi="Times New Roman" w:cs="Times New Roman"/>
          <w:color w:val="000000" w:themeColor="text1"/>
          <w:szCs w:val="24"/>
        </w:rPr>
        <w:t>Lioukas</w:t>
      </w:r>
      <w:proofErr w:type="spellEnd"/>
      <w:r w:rsidRPr="003B00D5">
        <w:rPr>
          <w:rFonts w:ascii="Times New Roman" w:hAnsi="Times New Roman" w:cs="Times New Roman"/>
          <w:color w:val="000000" w:themeColor="text1"/>
          <w:szCs w:val="24"/>
        </w:rPr>
        <w:t xml:space="preserve">, S. (2001). An examination into the causal logic of rent generation: Contrasting Porter’s competitive strategy framework and the resource-based perspective. </w:t>
      </w:r>
      <w:r w:rsidRPr="003B00D5">
        <w:rPr>
          <w:rFonts w:ascii="Times New Roman" w:hAnsi="Times New Roman" w:cs="Times New Roman"/>
          <w:i/>
          <w:iCs/>
          <w:color w:val="000000" w:themeColor="text1"/>
          <w:szCs w:val="24"/>
        </w:rPr>
        <w:t>Strategic Management Journal, 22</w:t>
      </w:r>
      <w:r w:rsidRPr="003B00D5">
        <w:rPr>
          <w:rFonts w:ascii="Times New Roman" w:hAnsi="Times New Roman" w:cs="Times New Roman"/>
          <w:color w:val="000000" w:themeColor="text1"/>
          <w:szCs w:val="24"/>
        </w:rPr>
        <w:t>(10), 907–934.</w:t>
      </w:r>
      <w:r w:rsidRPr="003B00D5">
        <w:rPr>
          <w:rFonts w:ascii="Times New Roman" w:hAnsi="Times New Roman" w:cs="Times New Roman"/>
          <w:color w:val="000000" w:themeColor="text1"/>
          <w:szCs w:val="24"/>
        </w:rPr>
        <w:br/>
      </w:r>
      <w:hyperlink r:id="rId13" w:tgtFrame="_blank" w:history="1">
        <w:r w:rsidRPr="003B00D5">
          <w:rPr>
            <w:rStyle w:val="Hyperlink"/>
            <w:rFonts w:ascii="Times New Roman" w:hAnsi="Times New Roman" w:cs="Times New Roman"/>
            <w:szCs w:val="24"/>
          </w:rPr>
          <w:t>https://doi.org/10.1002/smj.174</w:t>
        </w:r>
      </w:hyperlink>
    </w:p>
    <w:p w14:paraId="55112C86"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Wernerfelt, B. (1984). A resource-based view of the firm. </w:t>
      </w:r>
      <w:r w:rsidRPr="003B00D5">
        <w:rPr>
          <w:rFonts w:ascii="Times New Roman" w:hAnsi="Times New Roman" w:cs="Times New Roman"/>
          <w:i/>
          <w:iCs/>
          <w:color w:val="000000" w:themeColor="text1"/>
          <w:szCs w:val="24"/>
        </w:rPr>
        <w:t>Strategic Management Journal, 5</w:t>
      </w:r>
      <w:r w:rsidRPr="003B00D5">
        <w:rPr>
          <w:rFonts w:ascii="Times New Roman" w:hAnsi="Times New Roman" w:cs="Times New Roman"/>
          <w:color w:val="000000" w:themeColor="text1"/>
          <w:szCs w:val="24"/>
        </w:rPr>
        <w:t>(2), 171–180.</w:t>
      </w:r>
      <w:r w:rsidRPr="003B00D5">
        <w:rPr>
          <w:rFonts w:ascii="Times New Roman" w:hAnsi="Times New Roman" w:cs="Times New Roman"/>
          <w:color w:val="000000" w:themeColor="text1"/>
          <w:szCs w:val="24"/>
        </w:rPr>
        <w:br/>
      </w:r>
      <w:hyperlink r:id="rId14" w:tgtFrame="_blank" w:history="1">
        <w:r w:rsidRPr="003B00D5">
          <w:rPr>
            <w:rStyle w:val="Hyperlink"/>
            <w:rFonts w:ascii="Times New Roman" w:hAnsi="Times New Roman" w:cs="Times New Roman"/>
            <w:szCs w:val="24"/>
          </w:rPr>
          <w:t>https://doi.org/10.1002/smj.4250050207</w:t>
        </w:r>
      </w:hyperlink>
    </w:p>
    <w:p w14:paraId="0EE5F23D"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lastRenderedPageBreak/>
        <w:t xml:space="preserve">Wright, P., Kroll, M., Tu, H., &amp; Helms, M. (1991). Generic strategies and business performance: An empirical study of the screw machine products industry. </w:t>
      </w:r>
      <w:r w:rsidRPr="003B00D5">
        <w:rPr>
          <w:rFonts w:ascii="Times New Roman" w:hAnsi="Times New Roman" w:cs="Times New Roman"/>
          <w:i/>
          <w:iCs/>
          <w:color w:val="000000" w:themeColor="text1"/>
          <w:szCs w:val="24"/>
        </w:rPr>
        <w:t>British Journal of Management, 2</w:t>
      </w:r>
      <w:r w:rsidRPr="003B00D5">
        <w:rPr>
          <w:rFonts w:ascii="Times New Roman" w:hAnsi="Times New Roman" w:cs="Times New Roman"/>
          <w:color w:val="000000" w:themeColor="text1"/>
          <w:szCs w:val="24"/>
        </w:rPr>
        <w:t>(1), 57–65.</w:t>
      </w:r>
      <w:r w:rsidRPr="003B00D5">
        <w:rPr>
          <w:rFonts w:ascii="Times New Roman" w:hAnsi="Times New Roman" w:cs="Times New Roman"/>
          <w:color w:val="000000" w:themeColor="text1"/>
          <w:szCs w:val="24"/>
        </w:rPr>
        <w:br/>
        <w:t>https://doi.org/10.1111/j.1467-8551.1991.tb00016.x</w:t>
      </w:r>
    </w:p>
    <w:p w14:paraId="268AD4AB" w14:textId="77777777" w:rsidR="00040A40" w:rsidRPr="003B00D5" w:rsidRDefault="00040A40" w:rsidP="00040A40">
      <w:pPr>
        <w:spacing w:line="480" w:lineRule="auto"/>
        <w:rPr>
          <w:rFonts w:ascii="Times New Roman" w:hAnsi="Times New Roman" w:cs="Times New Roman"/>
          <w:color w:val="000000" w:themeColor="text1"/>
          <w:szCs w:val="24"/>
        </w:rPr>
      </w:pPr>
      <w:r w:rsidRPr="003B00D5">
        <w:rPr>
          <w:rFonts w:ascii="Times New Roman" w:hAnsi="Times New Roman" w:cs="Times New Roman"/>
          <w:color w:val="000000" w:themeColor="text1"/>
          <w:szCs w:val="24"/>
        </w:rPr>
        <w:t xml:space="preserve">Zahra, S. A., &amp; Covin, J. G. (1993). Business strategy, technology policy and firm performance. </w:t>
      </w:r>
      <w:r w:rsidRPr="003B00D5">
        <w:rPr>
          <w:rFonts w:ascii="Times New Roman" w:hAnsi="Times New Roman" w:cs="Times New Roman"/>
          <w:i/>
          <w:iCs/>
          <w:color w:val="000000" w:themeColor="text1"/>
          <w:szCs w:val="24"/>
        </w:rPr>
        <w:t>Strategic Management Journal, 14</w:t>
      </w:r>
      <w:r w:rsidRPr="003B00D5">
        <w:rPr>
          <w:rFonts w:ascii="Times New Roman" w:hAnsi="Times New Roman" w:cs="Times New Roman"/>
          <w:color w:val="000000" w:themeColor="text1"/>
          <w:szCs w:val="24"/>
        </w:rPr>
        <w:t>(6), 451–478.</w:t>
      </w:r>
      <w:r w:rsidRPr="003B00D5">
        <w:rPr>
          <w:rFonts w:ascii="Times New Roman" w:hAnsi="Times New Roman" w:cs="Times New Roman"/>
          <w:color w:val="000000" w:themeColor="text1"/>
          <w:szCs w:val="24"/>
        </w:rPr>
        <w:br/>
      </w:r>
      <w:hyperlink r:id="rId15" w:tgtFrame="_blank" w:history="1">
        <w:r w:rsidRPr="003B00D5">
          <w:rPr>
            <w:rStyle w:val="Hyperlink"/>
            <w:rFonts w:ascii="Times New Roman" w:hAnsi="Times New Roman" w:cs="Times New Roman"/>
            <w:szCs w:val="24"/>
          </w:rPr>
          <w:t>https://doi.org/10.1002/smj.4250140605</w:t>
        </w:r>
      </w:hyperlink>
    </w:p>
    <w:p w14:paraId="18D123F1" w14:textId="370D7B0A" w:rsidR="00F11085" w:rsidRPr="003B00D5" w:rsidRDefault="00F11085" w:rsidP="00040A40">
      <w:pPr>
        <w:spacing w:line="480" w:lineRule="auto"/>
        <w:rPr>
          <w:rFonts w:ascii="Times New Roman" w:hAnsi="Times New Roman" w:cs="Times New Roman"/>
          <w:szCs w:val="24"/>
        </w:rPr>
      </w:pPr>
    </w:p>
    <w:sectPr w:rsidR="00F11085" w:rsidRPr="003B00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0A40"/>
    <w:rsid w:val="00046D3E"/>
    <w:rsid w:val="0008443C"/>
    <w:rsid w:val="000B6830"/>
    <w:rsid w:val="000C38AA"/>
    <w:rsid w:val="000C4AFA"/>
    <w:rsid w:val="000D12EF"/>
    <w:rsid w:val="000D1EAB"/>
    <w:rsid w:val="000D5FB8"/>
    <w:rsid w:val="000E04F4"/>
    <w:rsid w:val="000F2A84"/>
    <w:rsid w:val="00106D2C"/>
    <w:rsid w:val="00111DCE"/>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5997"/>
    <w:rsid w:val="002F73F5"/>
    <w:rsid w:val="00333E43"/>
    <w:rsid w:val="00342C51"/>
    <w:rsid w:val="003448DA"/>
    <w:rsid w:val="00391380"/>
    <w:rsid w:val="00394C39"/>
    <w:rsid w:val="003A4FAA"/>
    <w:rsid w:val="003B00D5"/>
    <w:rsid w:val="003B22C9"/>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27F49"/>
    <w:rsid w:val="005451DE"/>
    <w:rsid w:val="005636D9"/>
    <w:rsid w:val="005809E5"/>
    <w:rsid w:val="00582227"/>
    <w:rsid w:val="00590BBC"/>
    <w:rsid w:val="005A727F"/>
    <w:rsid w:val="005B2DFD"/>
    <w:rsid w:val="005C1B21"/>
    <w:rsid w:val="005D4F3C"/>
    <w:rsid w:val="005E61DA"/>
    <w:rsid w:val="005F274A"/>
    <w:rsid w:val="00607C62"/>
    <w:rsid w:val="00615398"/>
    <w:rsid w:val="00626634"/>
    <w:rsid w:val="00650645"/>
    <w:rsid w:val="00654B4B"/>
    <w:rsid w:val="006640E0"/>
    <w:rsid w:val="006843B4"/>
    <w:rsid w:val="006918AA"/>
    <w:rsid w:val="006D483F"/>
    <w:rsid w:val="0073081D"/>
    <w:rsid w:val="00736C04"/>
    <w:rsid w:val="00770D56"/>
    <w:rsid w:val="007B0823"/>
    <w:rsid w:val="007D6ADC"/>
    <w:rsid w:val="007F2D81"/>
    <w:rsid w:val="00806230"/>
    <w:rsid w:val="00810849"/>
    <w:rsid w:val="00816829"/>
    <w:rsid w:val="0081723C"/>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A43C8"/>
    <w:rsid w:val="00AD05F9"/>
    <w:rsid w:val="00AF2CB5"/>
    <w:rsid w:val="00B02610"/>
    <w:rsid w:val="00B06124"/>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85764"/>
    <w:rsid w:val="00CA0B43"/>
    <w:rsid w:val="00CA49B5"/>
    <w:rsid w:val="00CC17BF"/>
    <w:rsid w:val="00CE374D"/>
    <w:rsid w:val="00D1330E"/>
    <w:rsid w:val="00D16F09"/>
    <w:rsid w:val="00D33052"/>
    <w:rsid w:val="00D424BE"/>
    <w:rsid w:val="00D67892"/>
    <w:rsid w:val="00D74358"/>
    <w:rsid w:val="00D74A74"/>
    <w:rsid w:val="00D76B0C"/>
    <w:rsid w:val="00DD2AB5"/>
    <w:rsid w:val="00DD48B2"/>
    <w:rsid w:val="00DD4BFF"/>
    <w:rsid w:val="00DE2CD6"/>
    <w:rsid w:val="00DF3FD0"/>
    <w:rsid w:val="00E031DE"/>
    <w:rsid w:val="00E0339E"/>
    <w:rsid w:val="00E151DF"/>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D2BB3"/>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0102700602?utm_source=chatgpt.com" TargetMode="External"/><Relationship Id="rId13" Type="http://schemas.openxmlformats.org/officeDocument/2006/relationships/hyperlink" Target="https://doi.org/10.1002/smj.174?utm_source=chatgpt.com" TargetMode="External"/><Relationship Id="rId3" Type="http://schemas.openxmlformats.org/officeDocument/2006/relationships/styles" Target="styles.xml"/><Relationship Id="rId7" Type="http://schemas.openxmlformats.org/officeDocument/2006/relationships/hyperlink" Target="https://doi.org/10.1177/014920639101700108?utm_source=chatgpt.com" TargetMode="External"/><Relationship Id="rId12" Type="http://schemas.openxmlformats.org/officeDocument/2006/relationships/hyperlink" Target="https://doi.org/10.1002/smj.4250140303?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8/02756660510608521?utm_source=chatgpt.com" TargetMode="External"/><Relationship Id="rId5" Type="http://schemas.openxmlformats.org/officeDocument/2006/relationships/webSettings" Target="webSettings.xml"/><Relationship Id="rId15" Type="http://schemas.openxmlformats.org/officeDocument/2006/relationships/hyperlink" Target="https://doi.org/10.1002/smj.4250140605?utm_source=chatgpt.com" TargetMode="External"/><Relationship Id="rId10" Type="http://schemas.openxmlformats.org/officeDocument/2006/relationships/hyperlink" Target="https://doi.org/10.1002/smj.4250050406?utm_source=chatgpt.com" TargetMode="External"/><Relationship Id="rId4" Type="http://schemas.openxmlformats.org/officeDocument/2006/relationships/settings" Target="settings.xml"/><Relationship Id="rId9" Type="http://schemas.openxmlformats.org/officeDocument/2006/relationships/hyperlink" Target="https://doi.org/10.1108/01443571011068162?utm_source=chatgpt.com" TargetMode="External"/><Relationship Id="rId14" Type="http://schemas.openxmlformats.org/officeDocument/2006/relationships/hyperlink" Target="https://doi.org/10.1002/smj.425005020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6637</Words>
  <Characters>37836</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xx5949@365mak.com</cp:lastModifiedBy>
  <cp:revision>2</cp:revision>
  <dcterms:created xsi:type="dcterms:W3CDTF">2026-09-21T07:39:00Z</dcterms:created>
  <dcterms:modified xsi:type="dcterms:W3CDTF">2026-09-21T07:39:00Z</dcterms:modified>
</cp:coreProperties>
</file>