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0CCB8" w14:textId="77777777" w:rsidR="0070246B" w:rsidRDefault="0070246B" w:rsidP="0019504D">
      <w:pPr>
        <w:rPr>
          <w:lang w:val="en-US"/>
        </w:rPr>
      </w:pPr>
    </w:p>
    <w:p w14:paraId="72BA79F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064702B" wp14:editId="282FDEF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6E70C97"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8DAFEDC" w14:textId="77777777" w:rsidR="0019504D" w:rsidRDefault="0019504D" w:rsidP="0019504D">
      <w:pPr>
        <w:rPr>
          <w:lang w:val="en-US"/>
        </w:rPr>
      </w:pPr>
      <w:r w:rsidRPr="0019504D">
        <w:rPr>
          <w:lang w:val="en-US"/>
        </w:rPr>
        <w:t>Ass</w:t>
      </w:r>
      <w:r>
        <w:rPr>
          <w:lang w:val="en-US"/>
        </w:rPr>
        <w:t xml:space="preserve">ignment </w:t>
      </w:r>
      <w:r w:rsidR="0070246B">
        <w:rPr>
          <w:lang w:val="en-US"/>
        </w:rPr>
        <w:t>11</w:t>
      </w:r>
    </w:p>
    <w:p w14:paraId="246FF718" w14:textId="77777777" w:rsidR="00637F36" w:rsidRDefault="0070246B" w:rsidP="0019504D">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76671DE5" w14:textId="62595369" w:rsidR="0019504D" w:rsidRPr="0019504D" w:rsidRDefault="00637F36" w:rsidP="0019504D">
      <w:pPr>
        <w:rPr>
          <w:lang w:val="en-US"/>
        </w:rPr>
      </w:pPr>
      <w:r>
        <w:rPr>
          <w:lang w:val="en-US"/>
        </w:rPr>
        <w:br/>
      </w:r>
      <w:r w:rsidRPr="00C21EA3">
        <w:rPr>
          <w:b/>
          <w:bCs/>
          <w:lang w:val="en-US"/>
        </w:rPr>
        <w:br/>
      </w:r>
      <w:r>
        <w:rPr>
          <w:lang w:val="en-US"/>
        </w:rPr>
        <w:br/>
      </w:r>
    </w:p>
    <w:p w14:paraId="6CF2D3A6" w14:textId="77777777" w:rsidR="0019504D" w:rsidRDefault="0019504D"/>
    <w:p w14:paraId="3AAE7214" w14:textId="77777777" w:rsidR="0019504D" w:rsidRDefault="0019504D"/>
    <w:p w14:paraId="515B3CF6" w14:textId="77777777" w:rsidR="0019504D" w:rsidRDefault="0019504D"/>
    <w:p w14:paraId="343E7F16" w14:textId="77777777" w:rsidR="00CD620A" w:rsidRDefault="00CD620A"/>
    <w:p w14:paraId="5C9E410A" w14:textId="77777777" w:rsidR="009673A4" w:rsidRDefault="009673A4"/>
    <w:p w14:paraId="3E31F280" w14:textId="77777777" w:rsidR="009673A4" w:rsidRDefault="009673A4"/>
    <w:p w14:paraId="1D30F87C" w14:textId="77777777" w:rsidR="009673A4" w:rsidRDefault="009673A4"/>
    <w:p w14:paraId="7AB97AAB" w14:textId="77777777" w:rsidR="009673A4" w:rsidRDefault="009673A4"/>
    <w:p w14:paraId="38A3F938" w14:textId="77777777" w:rsidR="009673A4" w:rsidRDefault="009673A4"/>
    <w:p w14:paraId="059CA001" w14:textId="77777777" w:rsidR="009673A4" w:rsidRDefault="009673A4"/>
    <w:p w14:paraId="64B304DA" w14:textId="77777777" w:rsidR="009673A4" w:rsidRDefault="009673A4"/>
    <w:p w14:paraId="42CE0BC4"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75A63F9B" w14:textId="77777777" w:rsidR="0070246B" w:rsidRDefault="0070246B" w:rsidP="0070246B">
      <w:pPr>
        <w:spacing w:line="276" w:lineRule="auto"/>
        <w:rPr>
          <w:b/>
          <w:bCs/>
          <w:lang w:val="en-US"/>
        </w:rPr>
      </w:pPr>
    </w:p>
    <w:p w14:paraId="05E3229C" w14:textId="77777777" w:rsidR="0070246B" w:rsidRPr="0070246B" w:rsidRDefault="0070246B" w:rsidP="0070246B">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75B3738A" w14:textId="77777777" w:rsidR="0070246B" w:rsidRDefault="0070246B" w:rsidP="0070246B">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6E098E37" w14:textId="77777777" w:rsidR="00C21EA3" w:rsidRDefault="00C21EA3" w:rsidP="00C21EA3">
      <w:pPr>
        <w:pStyle w:val="ListParagraph"/>
        <w:spacing w:line="276" w:lineRule="auto"/>
        <w:ind w:left="360"/>
        <w:rPr>
          <w:lang w:val="en-US"/>
        </w:rPr>
      </w:pPr>
    </w:p>
    <w:p w14:paraId="7DFFA4B3" w14:textId="77777777" w:rsidR="00C21EA3" w:rsidRDefault="00C21EA3" w:rsidP="00C21EA3">
      <w:pPr>
        <w:pStyle w:val="ListParagraph"/>
        <w:spacing w:line="276" w:lineRule="auto"/>
        <w:ind w:left="360"/>
        <w:rPr>
          <w:lang w:val="en-US"/>
        </w:rPr>
      </w:pPr>
    </w:p>
    <w:p w14:paraId="642FFC45" w14:textId="77777777" w:rsidR="00C21EA3" w:rsidRDefault="00C21EA3" w:rsidP="00C21EA3">
      <w:pPr>
        <w:pStyle w:val="ListParagraph"/>
        <w:spacing w:line="276" w:lineRule="auto"/>
        <w:ind w:left="360"/>
        <w:rPr>
          <w:lang w:val="en-US"/>
        </w:rPr>
      </w:pPr>
    </w:p>
    <w:p w14:paraId="0129A2CA" w14:textId="77777777" w:rsidR="00C21EA3" w:rsidRDefault="00C21EA3" w:rsidP="00C21EA3">
      <w:pPr>
        <w:pStyle w:val="ListParagraph"/>
        <w:spacing w:line="276" w:lineRule="auto"/>
        <w:ind w:left="360"/>
        <w:rPr>
          <w:lang w:val="en-US"/>
        </w:rPr>
      </w:pPr>
    </w:p>
    <w:p w14:paraId="5F76ACFF" w14:textId="77777777" w:rsidR="00C21EA3" w:rsidRDefault="00C21EA3" w:rsidP="00C21EA3">
      <w:pPr>
        <w:pStyle w:val="ListParagraph"/>
        <w:spacing w:line="276" w:lineRule="auto"/>
        <w:ind w:left="360"/>
        <w:rPr>
          <w:lang w:val="en-US"/>
        </w:rPr>
      </w:pPr>
    </w:p>
    <w:p w14:paraId="7ADC7059" w14:textId="77777777" w:rsidR="00C21EA3" w:rsidRDefault="00C21EA3" w:rsidP="00C21EA3">
      <w:pPr>
        <w:pStyle w:val="ListParagraph"/>
        <w:spacing w:line="276" w:lineRule="auto"/>
        <w:ind w:left="360"/>
        <w:rPr>
          <w:lang w:val="en-US"/>
        </w:rPr>
      </w:pPr>
    </w:p>
    <w:p w14:paraId="1E9CF129" w14:textId="77777777" w:rsidR="00C21EA3" w:rsidRDefault="00C21EA3" w:rsidP="00C21EA3">
      <w:pPr>
        <w:pStyle w:val="ListParagraph"/>
        <w:spacing w:line="276" w:lineRule="auto"/>
        <w:ind w:left="360"/>
        <w:rPr>
          <w:lang w:val="en-US"/>
        </w:rPr>
      </w:pPr>
    </w:p>
    <w:p w14:paraId="778ACCBE" w14:textId="77777777" w:rsidR="00C21EA3" w:rsidRDefault="00C21EA3" w:rsidP="00C21EA3">
      <w:pPr>
        <w:pStyle w:val="ListParagraph"/>
        <w:spacing w:line="276" w:lineRule="auto"/>
        <w:ind w:left="360"/>
        <w:rPr>
          <w:lang w:val="en-US"/>
        </w:rPr>
      </w:pPr>
    </w:p>
    <w:p w14:paraId="2A3C9D9C" w14:textId="77777777" w:rsidR="00C21EA3" w:rsidRDefault="00C21EA3" w:rsidP="00C21EA3">
      <w:pPr>
        <w:pStyle w:val="ListParagraph"/>
        <w:spacing w:line="276" w:lineRule="auto"/>
        <w:ind w:left="360"/>
        <w:rPr>
          <w:lang w:val="en-US"/>
        </w:rPr>
      </w:pPr>
    </w:p>
    <w:p w14:paraId="6479E95B" w14:textId="77777777" w:rsidR="00C21EA3" w:rsidRDefault="00C21EA3" w:rsidP="00C21EA3">
      <w:pPr>
        <w:pStyle w:val="ListParagraph"/>
        <w:spacing w:line="276" w:lineRule="auto"/>
        <w:ind w:left="360"/>
        <w:rPr>
          <w:lang w:val="en-US"/>
        </w:rPr>
      </w:pPr>
    </w:p>
    <w:p w14:paraId="1F51F673" w14:textId="77777777" w:rsidR="00C21EA3" w:rsidRDefault="00C21EA3" w:rsidP="00C21EA3">
      <w:pPr>
        <w:pStyle w:val="ListParagraph"/>
        <w:spacing w:line="276" w:lineRule="auto"/>
        <w:ind w:left="360"/>
        <w:rPr>
          <w:lang w:val="en-US"/>
        </w:rPr>
      </w:pPr>
    </w:p>
    <w:p w14:paraId="0F7BCDD5" w14:textId="77777777" w:rsidR="00C21EA3" w:rsidRDefault="00C21EA3" w:rsidP="00C21EA3">
      <w:pPr>
        <w:pStyle w:val="ListParagraph"/>
        <w:spacing w:line="276" w:lineRule="auto"/>
        <w:ind w:left="360"/>
        <w:rPr>
          <w:lang w:val="en-US"/>
        </w:rPr>
      </w:pPr>
    </w:p>
    <w:p w14:paraId="1DE22186" w14:textId="77777777" w:rsidR="00C21EA3" w:rsidRDefault="00C21EA3" w:rsidP="00C21EA3">
      <w:pPr>
        <w:pStyle w:val="ListParagraph"/>
        <w:spacing w:line="276" w:lineRule="auto"/>
        <w:ind w:left="360"/>
        <w:rPr>
          <w:lang w:val="en-US"/>
        </w:rPr>
      </w:pPr>
    </w:p>
    <w:p w14:paraId="5C6357E4" w14:textId="77777777" w:rsidR="00C21EA3" w:rsidRDefault="00C21EA3" w:rsidP="00C21EA3">
      <w:pPr>
        <w:pStyle w:val="ListParagraph"/>
        <w:spacing w:line="276" w:lineRule="auto"/>
        <w:ind w:left="360"/>
        <w:rPr>
          <w:lang w:val="en-US"/>
        </w:rPr>
      </w:pPr>
    </w:p>
    <w:p w14:paraId="4182E3FB" w14:textId="77777777" w:rsidR="00C21EA3" w:rsidRDefault="00C21EA3" w:rsidP="00C21EA3">
      <w:pPr>
        <w:pStyle w:val="ListParagraph"/>
        <w:spacing w:line="276" w:lineRule="auto"/>
        <w:ind w:left="360"/>
        <w:rPr>
          <w:lang w:val="en-US"/>
        </w:rPr>
      </w:pPr>
    </w:p>
    <w:p w14:paraId="688AAC4C" w14:textId="77777777" w:rsidR="00C21EA3" w:rsidRDefault="00C21EA3" w:rsidP="00C21EA3">
      <w:pPr>
        <w:pStyle w:val="ListParagraph"/>
        <w:spacing w:line="276" w:lineRule="auto"/>
        <w:ind w:left="360"/>
        <w:rPr>
          <w:lang w:val="en-US"/>
        </w:rPr>
      </w:pPr>
    </w:p>
    <w:p w14:paraId="59DC5426" w14:textId="77777777" w:rsidR="00C21EA3" w:rsidRDefault="00C21EA3" w:rsidP="00C21EA3">
      <w:pPr>
        <w:pStyle w:val="ListParagraph"/>
        <w:spacing w:line="276" w:lineRule="auto"/>
        <w:ind w:left="360"/>
        <w:rPr>
          <w:lang w:val="en-US"/>
        </w:rPr>
      </w:pPr>
    </w:p>
    <w:p w14:paraId="1893DB70" w14:textId="77777777" w:rsidR="00C21EA3" w:rsidRDefault="00C21EA3" w:rsidP="00C21EA3">
      <w:pPr>
        <w:pStyle w:val="ListParagraph"/>
        <w:spacing w:line="276" w:lineRule="auto"/>
        <w:ind w:left="360"/>
        <w:rPr>
          <w:lang w:val="en-US"/>
        </w:rPr>
      </w:pPr>
    </w:p>
    <w:p w14:paraId="7E85918F" w14:textId="77777777" w:rsidR="00C21EA3" w:rsidRPr="00C21EA3" w:rsidRDefault="00C21EA3" w:rsidP="00C21EA3">
      <w:pPr>
        <w:pStyle w:val="ListParagraph"/>
        <w:spacing w:line="276" w:lineRule="auto"/>
        <w:ind w:left="360"/>
        <w:rPr>
          <w:b/>
          <w:bCs/>
        </w:rPr>
      </w:pPr>
      <w:r w:rsidRPr="00C21EA3">
        <w:rPr>
          <w:b/>
          <w:bCs/>
        </w:rPr>
        <w:lastRenderedPageBreak/>
        <w:t>Applying the PATA Crisis Management Strategy to Reduce Tourism Crisis Impacts</w:t>
      </w:r>
    </w:p>
    <w:p w14:paraId="652E1B73" w14:textId="77777777" w:rsidR="00C21EA3" w:rsidRPr="00C21EA3" w:rsidRDefault="00C21EA3" w:rsidP="00C21EA3">
      <w:pPr>
        <w:pStyle w:val="ListParagraph"/>
        <w:spacing w:line="276" w:lineRule="auto"/>
        <w:ind w:left="360"/>
        <w:rPr>
          <w:b/>
          <w:bCs/>
        </w:rPr>
      </w:pPr>
      <w:r w:rsidRPr="00C21EA3">
        <w:rPr>
          <w:b/>
          <w:bCs/>
        </w:rPr>
        <w:t>Case Study: Australia’s Tourism Recovery After the 2019–2020 Bushfire Crisis</w:t>
      </w:r>
    </w:p>
    <w:p w14:paraId="336968B8" w14:textId="77777777" w:rsidR="00C21EA3" w:rsidRDefault="00C21EA3" w:rsidP="00C21EA3">
      <w:pPr>
        <w:pStyle w:val="ListParagraph"/>
        <w:spacing w:line="276" w:lineRule="auto"/>
        <w:ind w:left="360"/>
        <w:rPr>
          <w:lang w:val="en-US"/>
        </w:rPr>
      </w:pPr>
    </w:p>
    <w:p w14:paraId="1937FD61" w14:textId="77777777" w:rsidR="00767518" w:rsidRPr="00767518" w:rsidRDefault="00767518" w:rsidP="00767518">
      <w:pPr>
        <w:pStyle w:val="ListParagraph"/>
        <w:spacing w:line="276" w:lineRule="auto"/>
        <w:ind w:left="360"/>
      </w:pPr>
      <w:r w:rsidRPr="00767518">
        <w:t>Case Study: The Recovering Tourism Industry in Australia Following the Bushfire Crisis of 2019–2020</w:t>
      </w:r>
      <w:r w:rsidRPr="00767518">
        <w:br/>
      </w:r>
      <w:r w:rsidRPr="00767518">
        <w:br/>
        <w:t>The environmental problems that are caused by climate change, such as wildfires, floods, and extreme weather events, are becoming more and more likely to affect tourist locations. Among these, large-scale bushfires present considerable problems to the tourism industry because of the widespread physical destruction they cause, the lengthy attention they receive in the media, and the bad effects they have on the image of the destination. A structured framework for managing tourism-related crises is provided by the crisis management strategy of the Pacific Asia Travel Association (PATA). This framework allows for coordinated response, recovery planning, and resilience building to be implemented. With Australia's tourist recovery following the 2019–2020 bushfire crisis serving as a case study, this essay takes a critical look at how the PATA crisis management method might be used to minimize and mitigate the repercussions of a tourism-related disaster. The research places a special emphasis on post-crisis recovery strategies.</w:t>
      </w:r>
      <w:r w:rsidRPr="00767518">
        <w:br/>
      </w:r>
      <w:r w:rsidRPr="00767518">
        <w:br/>
        <w:t>Crisis Management Strategy Implemented by the PATA</w:t>
      </w:r>
      <w:r w:rsidRPr="00767518">
        <w:br/>
      </w:r>
      <w:r w:rsidRPr="00767518">
        <w:br/>
        <w:t>Risk reduction, preparedness, reaction, and recovery are the four phases that make up the cycle model that serves as the foundation for the crisis management strategy that is implemented by PATA. According to PATA (2016), the framework places an emphasis on proactive planning, collaboration among stakeholders, communication during times of crisis, and long-term resilience. Destinations are encouraged by the PATA to incorporate crisis learning into tourism governance and planning processes. This is in contrast to the traditional approach of treating crises as isolated events.</w:t>
      </w:r>
      <w:r w:rsidRPr="00767518">
        <w:br/>
      </w:r>
      <w:r w:rsidRPr="00767518">
        <w:br/>
        <w:t>According to Faulkner (2001) and Ritchie (2009), the academic research provides significant support for the use of organized crisis management frameworks. It is seen that locations that have formalized crisis tactics recover more efficiently and have less long-term damage because of these methods. There is a strong congruence between the PATA approach and these theoretical establishments.</w:t>
      </w:r>
      <w:r w:rsidRPr="00767518">
        <w:br/>
      </w:r>
      <w:r w:rsidRPr="00767518">
        <w:br/>
        <w:t>Background information about the crisis: the bushfire crisis in Australia</w:t>
      </w:r>
      <w:r w:rsidRPr="00767518">
        <w:br/>
      </w:r>
      <w:r w:rsidRPr="00767518">
        <w:br/>
        <w:t xml:space="preserve">One of the most catastrophic wildfire seasons in Australia's history occurred between the end of 2019 and the beginning of 2020. These flames, which are widely referred to as the "Black Summer" fires, occurred during this interval. As a result of the fires that </w:t>
      </w:r>
      <w:r w:rsidRPr="00767518">
        <w:lastRenderedPageBreak/>
        <w:t>occurred across millions of hectares, there were fatalities, the destruction of habitats for species, and substantial damage to the infrastructure of tourism, particularly in the states of New South Wales, Victoria, and South Australia. Because of worries about public safety and extensive coverage in international media, communities that are dependent on tourism have seen significant drops in the number of tourists visiting their areas (Hall et al., 2021).</w:t>
      </w:r>
      <w:r w:rsidRPr="00767518">
        <w:br/>
      </w:r>
      <w:r w:rsidRPr="00767518">
        <w:br/>
        <w:t>Tourism makes a considerable contribution to Australia's economy, and it is responsible for around ten percent of employment in the regions that are impacted by it. Consequently, the problem caused by the bushfires was not only a catastrophe for the environment, but it also caused a significant economic shock that was tied to tourism.</w:t>
      </w:r>
      <w:r w:rsidRPr="00767518">
        <w:br/>
      </w:r>
      <w:r w:rsidRPr="00767518">
        <w:br/>
        <w:t>In accordance with the principles of the PATA, crisis response</w:t>
      </w:r>
      <w:r w:rsidRPr="00767518">
        <w:br/>
      </w:r>
      <w:r w:rsidRPr="00767518">
        <w:br/>
        <w:t>1. Management of safety and maintenance of open and honest communication</w:t>
      </w:r>
      <w:r w:rsidRPr="00767518">
        <w:br/>
      </w:r>
      <w:r w:rsidRPr="00767518">
        <w:br/>
        <w:t>In a manner that was consistent with the PATA response phase, the authorities in Australia placed a high priority on the transmission of information in an open and honest manner. Official tourism and emergency management channels were utilized in order to disseminate information regarding travel advisories, evacuation notices, and destination safety updates. When it comes to controlling perceived risk and maintaining destination credibility during times of crisis, PATA emphasizes the importance of transparent communication as a vital component (PATA, 2016).</w:t>
      </w:r>
      <w:r w:rsidRPr="00767518">
        <w:br/>
      </w:r>
      <w:r w:rsidRPr="00767518">
        <w:br/>
        <w:t>According to the findings of academic study, accurate and timely crisis communication helps to prevent fear, lessen reputational damage, and encourage a faster recovery of tourism (Beirman, 2011).</w:t>
      </w:r>
      <w:r w:rsidRPr="00767518">
        <w:br/>
      </w:r>
      <w:r w:rsidRPr="00767518">
        <w:br/>
        <w:t>2. Interactions with Stakeholders and Financial Assistance Provision</w:t>
      </w:r>
      <w:r w:rsidRPr="00767518">
        <w:br/>
      </w:r>
      <w:r w:rsidRPr="00767518">
        <w:br/>
        <w:t>Coordination between the federal and state governments, tourism boards, local councils, and industry associations was required in order to successfully restore tourism in Australia. The protection of tourism businesses and job opportunities was accomplished through the implementation of financial assistance packages, marketing recovery funds, and business support grants. As stated by Ritchie (2009), it is crucial to ensure the protection of tourist infrastructure and worker capacity during times of crisis in order to facilitate recovery after the crisis has passed.</w:t>
      </w:r>
      <w:r w:rsidRPr="00767518">
        <w:br/>
      </w:r>
      <w:r w:rsidRPr="00767518">
        <w:br/>
        <w:t>Planning for Recovery Following a Crisis</w:t>
      </w:r>
      <w:r w:rsidRPr="00767518">
        <w:br/>
      </w:r>
      <w:r w:rsidRPr="00767518">
        <w:br/>
        <w:t>Restoring the Image of the Destination and Providing Market Reassurance</w:t>
      </w:r>
      <w:r w:rsidRPr="00767518">
        <w:br/>
      </w:r>
      <w:r w:rsidRPr="00767518">
        <w:lastRenderedPageBreak/>
        <w:br/>
        <w:t>In the aftermath of the emergency phase, Australia launched a series of significant destination recovery initiatives, such as "Holiday Here This Year," with the objective of regaining the confidence of tourists and improving the country's domestic tourism industry. The recovery paradigm developed by the PATA places an emphasis on the significance of targeted marketing and narrative reframing as a means of combating unfavourable media depictions and reconstructing the image of the destination (PATA, 2016).</w:t>
      </w:r>
      <w:r w:rsidRPr="00767518">
        <w:br/>
      </w:r>
      <w:r w:rsidRPr="00767518">
        <w:br/>
        <w:t>(Hall et al., 2021) Research conducted in academic institutions suggests that the most effective method for repairing the image of a destination after a disaster is to emphasize the importance of resilience, safety improvements, and community strength in recovery messaging.</w:t>
      </w:r>
      <w:r w:rsidRPr="00767518">
        <w:br/>
      </w:r>
      <w:r w:rsidRPr="00767518">
        <w:br/>
        <w:t>2. The Development of Tourism That Is Both Climate-Resilient and Sustainable</w:t>
      </w:r>
      <w:r w:rsidRPr="00767518">
        <w:br/>
      </w:r>
      <w:r w:rsidRPr="00767518">
        <w:br/>
        <w:t>As a result of the bushfire catastrophe, there has been a renewed emphasis placed on climate resilience and sustainable tourism. Environmental restoration, the design of infrastructure that is resilient to disasters, and the diversification of tourism goods were all components of recovery planning. This was done in order to lessen reliance on particularly high-risk regions. This is in line with the long-term recovery aims of the PATA, which advocate for the utilization of crises as chances to improve sustainability and prevent future vulnerability (Faulkner, 2001).</w:t>
      </w:r>
      <w:r w:rsidRPr="00767518">
        <w:br/>
      </w:r>
      <w:r w:rsidRPr="00767518">
        <w:br/>
        <w:t>Efforts were also made to strengthen community-based tourism activities, which increased the likelihood of local engagement in recovery efforts. The findings of research conducted by Biggs et al. (2012) indicate that community engagement enhances social resilience and contributes to the achievement of more sustainable tourist recovery results.</w:t>
      </w:r>
      <w:r w:rsidRPr="00767518">
        <w:br/>
      </w:r>
      <w:r w:rsidRPr="00767518">
        <w:br/>
        <w:t>How Effective Is the PATA Strategy When Considered Within the Australian Context?</w:t>
      </w:r>
      <w:r w:rsidRPr="00767518">
        <w:br/>
      </w:r>
      <w:r w:rsidRPr="00767518">
        <w:br/>
        <w:t>In the years leading up to the COVID-19 pandemic, the tourist industry in Australia continued to show signs of steady recovery, with domestic tourism playing an essential part in maintaining stability. In order to limit permanent business closures, maintain job opportunities in the tourism industry, and restore destination reputation, the implementation of measures associated with the PATA was helpful. When viewed from an academic point of view, the instance of Australia lends support to the contention that organized crisis management frameworks improve the ability for adaptation and resilience in tourism systems (Ritchie, 2009).</w:t>
      </w:r>
      <w:r w:rsidRPr="00767518">
        <w:br/>
      </w:r>
      <w:r w:rsidRPr="00767518">
        <w:br/>
      </w:r>
      <w:r w:rsidRPr="00767518">
        <w:lastRenderedPageBreak/>
        <w:t>Final Thoughts</w:t>
      </w:r>
      <w:r w:rsidRPr="00767518">
        <w:br/>
      </w:r>
      <w:r w:rsidRPr="00767518">
        <w:br/>
        <w:t>It is clear that the PATA crisis management technique is both relevant and effective in dealing with complex environmental disasters that are related to tourism, as demonstrated by the current situation in Australia with the bushfires. By using strategies such as transparent communication, collaboration among stakeholders, phased recovery, and sustainable rebuilding, Australia was able to reduce the damages to tourism over the long run and increase the resilience of the destination. The instance indicates that the PATA framework offers tourism destinations a crisis management approach that is both scientifically grounded and practical. This approach not only enables recovery, but also enables long-term development toward tourism systems that are more robust.</w:t>
      </w:r>
    </w:p>
    <w:p w14:paraId="35C0CA58" w14:textId="77777777" w:rsidR="00C21EA3" w:rsidRDefault="00C21EA3" w:rsidP="00C21EA3">
      <w:pPr>
        <w:pStyle w:val="ListParagraph"/>
        <w:spacing w:line="276" w:lineRule="auto"/>
        <w:ind w:left="360"/>
        <w:rPr>
          <w:lang w:val="en-US"/>
        </w:rPr>
      </w:pPr>
    </w:p>
    <w:p w14:paraId="2CEA8295" w14:textId="6033FEB4" w:rsidR="00767518" w:rsidRPr="00767518" w:rsidRDefault="00767518" w:rsidP="00C21EA3">
      <w:pPr>
        <w:pStyle w:val="ListParagraph"/>
        <w:spacing w:line="276" w:lineRule="auto"/>
        <w:ind w:left="360"/>
        <w:rPr>
          <w:b/>
          <w:bCs/>
          <w:lang w:val="en-US"/>
        </w:rPr>
      </w:pPr>
      <w:r w:rsidRPr="00767518">
        <w:rPr>
          <w:b/>
          <w:bCs/>
          <w:lang w:val="en-US"/>
        </w:rPr>
        <w:t xml:space="preserve">References </w:t>
      </w:r>
    </w:p>
    <w:p w14:paraId="506E3023" w14:textId="77777777" w:rsidR="00767518" w:rsidRDefault="00767518" w:rsidP="00C21EA3">
      <w:pPr>
        <w:pStyle w:val="ListParagraph"/>
        <w:spacing w:line="276" w:lineRule="auto"/>
        <w:ind w:left="360"/>
        <w:rPr>
          <w:lang w:val="en-US"/>
        </w:rPr>
      </w:pPr>
    </w:p>
    <w:p w14:paraId="7164C16A" w14:textId="77777777" w:rsidR="00767518" w:rsidRPr="00767518" w:rsidRDefault="00767518" w:rsidP="00767518">
      <w:pPr>
        <w:pStyle w:val="ListParagraph"/>
        <w:spacing w:line="276" w:lineRule="auto"/>
        <w:ind w:left="360"/>
      </w:pPr>
      <w:r w:rsidRPr="00767518">
        <w:t xml:space="preserve">Beirman, D. (2011) </w:t>
      </w:r>
      <w:r w:rsidRPr="00767518">
        <w:rPr>
          <w:i/>
          <w:iCs/>
        </w:rPr>
        <w:t>Tourism Crisis and Disaster Management in the Asia-Pacific</w:t>
      </w:r>
      <w:r w:rsidRPr="00767518">
        <w:t>. Wallingford: CABI.</w:t>
      </w:r>
    </w:p>
    <w:p w14:paraId="415CE483" w14:textId="77777777" w:rsidR="00767518" w:rsidRPr="00767518" w:rsidRDefault="00767518" w:rsidP="00767518">
      <w:pPr>
        <w:pStyle w:val="ListParagraph"/>
        <w:spacing w:line="276" w:lineRule="auto"/>
        <w:ind w:left="360"/>
      </w:pPr>
      <w:r w:rsidRPr="00767518">
        <w:t xml:space="preserve">Biggs, D., Hall, C.M. and Stoeckl, N. (2012) ‘The resilience of formal and informal tourism enterprises to disasters’, </w:t>
      </w:r>
      <w:r w:rsidRPr="00767518">
        <w:rPr>
          <w:i/>
          <w:iCs/>
        </w:rPr>
        <w:t>Journal of Sustainable Tourism</w:t>
      </w:r>
      <w:r w:rsidRPr="00767518">
        <w:t>, 20(5), pp. 645–665.</w:t>
      </w:r>
    </w:p>
    <w:p w14:paraId="23B749BD" w14:textId="77777777" w:rsidR="00767518" w:rsidRPr="00767518" w:rsidRDefault="00767518" w:rsidP="00767518">
      <w:pPr>
        <w:pStyle w:val="ListParagraph"/>
        <w:spacing w:line="276" w:lineRule="auto"/>
        <w:ind w:left="360"/>
      </w:pPr>
      <w:r w:rsidRPr="00767518">
        <w:t xml:space="preserve">Faulkner, B. (2001) ‘Towards a framework for tourism disaster management’, </w:t>
      </w:r>
      <w:r w:rsidRPr="00767518">
        <w:rPr>
          <w:i/>
          <w:iCs/>
        </w:rPr>
        <w:t>Tourism Management</w:t>
      </w:r>
      <w:r w:rsidRPr="00767518">
        <w:t>, 22(2), pp. 135–147.</w:t>
      </w:r>
    </w:p>
    <w:p w14:paraId="49948A76" w14:textId="77777777" w:rsidR="00767518" w:rsidRPr="00767518" w:rsidRDefault="00767518" w:rsidP="00767518">
      <w:pPr>
        <w:pStyle w:val="ListParagraph"/>
        <w:spacing w:line="276" w:lineRule="auto"/>
        <w:ind w:left="360"/>
      </w:pPr>
      <w:r w:rsidRPr="00767518">
        <w:t xml:space="preserve">Hall, C.M., Prayag, G. and Amore, A. (2021) </w:t>
      </w:r>
      <w:r w:rsidRPr="00767518">
        <w:rPr>
          <w:i/>
          <w:iCs/>
        </w:rPr>
        <w:t>Tourism and Resilience: Individual, Organisational and Destination Perspectives</w:t>
      </w:r>
      <w:r w:rsidRPr="00767518">
        <w:t>. Bristol: Channel View Publications.</w:t>
      </w:r>
    </w:p>
    <w:p w14:paraId="6290B08D" w14:textId="77777777" w:rsidR="00767518" w:rsidRPr="00767518" w:rsidRDefault="00767518" w:rsidP="00767518">
      <w:pPr>
        <w:pStyle w:val="ListParagraph"/>
        <w:spacing w:line="276" w:lineRule="auto"/>
        <w:ind w:left="360"/>
      </w:pPr>
      <w:r w:rsidRPr="00767518">
        <w:t xml:space="preserve">PATA (2016) </w:t>
      </w:r>
      <w:r w:rsidRPr="00767518">
        <w:rPr>
          <w:i/>
          <w:iCs/>
        </w:rPr>
        <w:t>Tourism Crisis Management Guidelines</w:t>
      </w:r>
      <w:r w:rsidRPr="00767518">
        <w:t>. Bangkok: Pacific Asia Travel Association.</w:t>
      </w:r>
    </w:p>
    <w:p w14:paraId="63D1E956" w14:textId="77777777" w:rsidR="00767518" w:rsidRPr="00767518" w:rsidRDefault="00767518" w:rsidP="00767518">
      <w:pPr>
        <w:pStyle w:val="ListParagraph"/>
        <w:spacing w:line="276" w:lineRule="auto"/>
        <w:ind w:left="360"/>
      </w:pPr>
      <w:r w:rsidRPr="00767518">
        <w:t xml:space="preserve">Ritchie, B.W. (2009) </w:t>
      </w:r>
      <w:r w:rsidRPr="00767518">
        <w:rPr>
          <w:i/>
          <w:iCs/>
        </w:rPr>
        <w:t>Crisis and Disaster Management for Tourism</w:t>
      </w:r>
      <w:r w:rsidRPr="00767518">
        <w:t>. Bristol: Channel View Publications.</w:t>
      </w:r>
    </w:p>
    <w:p w14:paraId="7271A7A6" w14:textId="77777777" w:rsidR="00767518" w:rsidRDefault="00767518" w:rsidP="00C21EA3">
      <w:pPr>
        <w:pStyle w:val="ListParagraph"/>
        <w:spacing w:line="276" w:lineRule="auto"/>
        <w:ind w:left="360"/>
        <w:rPr>
          <w:lang w:val="en-US"/>
        </w:rPr>
      </w:pPr>
    </w:p>
    <w:p w14:paraId="3D441375" w14:textId="77777777" w:rsidR="00C21EA3" w:rsidRDefault="00C21EA3" w:rsidP="00C21EA3">
      <w:pPr>
        <w:pStyle w:val="ListParagraph"/>
        <w:spacing w:line="276" w:lineRule="auto"/>
        <w:ind w:left="360"/>
        <w:rPr>
          <w:lang w:val="en-US"/>
        </w:rPr>
      </w:pPr>
    </w:p>
    <w:p w14:paraId="019101FD" w14:textId="77777777" w:rsidR="00C21EA3" w:rsidRDefault="00C21EA3" w:rsidP="00C21EA3">
      <w:pPr>
        <w:pStyle w:val="ListParagraph"/>
        <w:spacing w:line="276" w:lineRule="auto"/>
        <w:ind w:left="360"/>
        <w:rPr>
          <w:lang w:val="en-US"/>
        </w:rPr>
      </w:pPr>
    </w:p>
    <w:p w14:paraId="081B715D" w14:textId="77777777" w:rsidR="00C21EA3" w:rsidRDefault="00C21EA3" w:rsidP="00C21EA3">
      <w:pPr>
        <w:pStyle w:val="ListParagraph"/>
        <w:spacing w:line="276" w:lineRule="auto"/>
        <w:ind w:left="360"/>
        <w:rPr>
          <w:lang w:val="en-US"/>
        </w:rPr>
      </w:pPr>
    </w:p>
    <w:p w14:paraId="594EC0A8" w14:textId="77777777" w:rsidR="00C21EA3" w:rsidRDefault="00C21EA3" w:rsidP="00C21EA3">
      <w:pPr>
        <w:pStyle w:val="ListParagraph"/>
        <w:spacing w:line="276" w:lineRule="auto"/>
        <w:ind w:left="360"/>
        <w:rPr>
          <w:lang w:val="en-US"/>
        </w:rPr>
      </w:pPr>
    </w:p>
    <w:p w14:paraId="23E247D5" w14:textId="77777777" w:rsidR="00C21EA3" w:rsidRDefault="00C21EA3" w:rsidP="00C21EA3">
      <w:pPr>
        <w:pStyle w:val="ListParagraph"/>
        <w:spacing w:line="276" w:lineRule="auto"/>
        <w:ind w:left="360"/>
        <w:rPr>
          <w:lang w:val="en-US"/>
        </w:rPr>
      </w:pPr>
    </w:p>
    <w:p w14:paraId="5291D2B0" w14:textId="77777777" w:rsidR="00C21EA3" w:rsidRDefault="00C21EA3" w:rsidP="00C21EA3">
      <w:pPr>
        <w:pStyle w:val="ListParagraph"/>
        <w:spacing w:line="276" w:lineRule="auto"/>
        <w:ind w:left="360"/>
        <w:rPr>
          <w:lang w:val="en-US"/>
        </w:rPr>
      </w:pPr>
    </w:p>
    <w:p w14:paraId="785F18D2" w14:textId="77777777" w:rsidR="00C21EA3" w:rsidRDefault="00C21EA3" w:rsidP="00C21EA3">
      <w:pPr>
        <w:pStyle w:val="ListParagraph"/>
        <w:spacing w:line="276" w:lineRule="auto"/>
        <w:ind w:left="360"/>
        <w:rPr>
          <w:lang w:val="en-US"/>
        </w:rPr>
      </w:pPr>
    </w:p>
    <w:p w14:paraId="3156FC18" w14:textId="77777777" w:rsidR="00C21EA3" w:rsidRDefault="00C21EA3" w:rsidP="00C21EA3">
      <w:pPr>
        <w:pStyle w:val="ListParagraph"/>
        <w:spacing w:line="276" w:lineRule="auto"/>
        <w:ind w:left="360"/>
        <w:rPr>
          <w:lang w:val="en-US"/>
        </w:rPr>
      </w:pPr>
    </w:p>
    <w:p w14:paraId="57F8614C" w14:textId="77777777" w:rsidR="00C21EA3" w:rsidRDefault="00C21EA3" w:rsidP="00C21EA3">
      <w:pPr>
        <w:pStyle w:val="ListParagraph"/>
        <w:spacing w:line="276" w:lineRule="auto"/>
        <w:ind w:left="360"/>
        <w:rPr>
          <w:lang w:val="en-US"/>
        </w:rPr>
      </w:pPr>
    </w:p>
    <w:p w14:paraId="5C78E100" w14:textId="77777777" w:rsidR="00C21EA3" w:rsidRDefault="00C21EA3" w:rsidP="00C21EA3">
      <w:pPr>
        <w:pStyle w:val="ListParagraph"/>
        <w:spacing w:line="276" w:lineRule="auto"/>
        <w:ind w:left="360"/>
        <w:rPr>
          <w:lang w:val="en-US"/>
        </w:rPr>
      </w:pPr>
    </w:p>
    <w:p w14:paraId="10B17528" w14:textId="77777777" w:rsidR="00C21EA3" w:rsidRDefault="00C21EA3" w:rsidP="00C21EA3">
      <w:pPr>
        <w:pStyle w:val="ListParagraph"/>
        <w:spacing w:line="276" w:lineRule="auto"/>
        <w:ind w:left="360"/>
        <w:rPr>
          <w:lang w:val="en-US"/>
        </w:rPr>
      </w:pPr>
    </w:p>
    <w:p w14:paraId="23F64300" w14:textId="77777777" w:rsidR="00C21EA3" w:rsidRPr="0070246B" w:rsidRDefault="00C21EA3" w:rsidP="00C21EA3">
      <w:pPr>
        <w:pStyle w:val="ListParagraph"/>
        <w:spacing w:line="276" w:lineRule="auto"/>
        <w:ind w:left="360"/>
        <w:rPr>
          <w:lang w:val="en-US"/>
        </w:rPr>
      </w:pPr>
    </w:p>
    <w:sectPr w:rsidR="00C21EA3" w:rsidRPr="0070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7404AD3-F106-4C31-81F6-EE7EA33DFA1F}"/>
    <w:embedBold r:id="rId2" w:fontKey="{7DE518C3-7839-45A8-B4B8-644DAF046A6F}"/>
    <w:embedItalic r:id="rId3" w:fontKey="{2BA957AC-77BB-4AC6-9D4C-5ED25756AF4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DE190B4-165C-4609-AAE5-BC213BE62E55}"/>
  </w:font>
  <w:font w:name="Calibri Light">
    <w:panose1 w:val="020F0302020204030204"/>
    <w:charset w:val="00"/>
    <w:family w:val="swiss"/>
    <w:pitch w:val="variable"/>
    <w:sig w:usb0="E4002EFF" w:usb1="C000247B" w:usb2="00000009" w:usb3="00000000" w:csb0="000001FF" w:csb1="00000000"/>
    <w:embedRegular r:id="rId5" w:fontKey="{6F77300D-FBF0-473E-8B9C-DF123CEAD23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67518"/>
    <w:rsid w:val="00795108"/>
    <w:rsid w:val="00817993"/>
    <w:rsid w:val="00844EC2"/>
    <w:rsid w:val="008516FE"/>
    <w:rsid w:val="00903466"/>
    <w:rsid w:val="009673A4"/>
    <w:rsid w:val="009C1D0A"/>
    <w:rsid w:val="00A044F7"/>
    <w:rsid w:val="00A21F8D"/>
    <w:rsid w:val="00A8150E"/>
    <w:rsid w:val="00B20343"/>
    <w:rsid w:val="00B85EA7"/>
    <w:rsid w:val="00BE65DD"/>
    <w:rsid w:val="00C21EA3"/>
    <w:rsid w:val="00C21EBA"/>
    <w:rsid w:val="00C612A4"/>
    <w:rsid w:val="00CC6AD1"/>
    <w:rsid w:val="00CD620A"/>
    <w:rsid w:val="00D92F0A"/>
    <w:rsid w:val="00E6778A"/>
    <w:rsid w:val="00EA737F"/>
    <w:rsid w:val="00F25F5B"/>
    <w:rsid w:val="00F4553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CED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1432</Words>
  <Characters>8164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3</cp:revision>
  <dcterms:created xsi:type="dcterms:W3CDTF">2025-12-13T10:56:00Z</dcterms:created>
  <dcterms:modified xsi:type="dcterms:W3CDTF">2026-02-10T02:25:00Z</dcterms:modified>
</cp:coreProperties>
</file>