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7211E8" w:rsidRDefault="0019504D" w:rsidP="0019504D">
      <w:pPr>
        <w:rPr>
          <w:lang w:val="en-US"/>
        </w:rPr>
      </w:pPr>
      <w:r w:rsidRPr="007211E8">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7211E8" w:rsidRDefault="00661030" w:rsidP="00661030">
      <w:pPr>
        <w:rPr>
          <w:lang w:val="en-US"/>
        </w:rPr>
      </w:pPr>
      <w:r w:rsidRPr="007211E8">
        <w:rPr>
          <w:lang w:val="en-US"/>
        </w:rPr>
        <w:t>Tourism</w:t>
      </w:r>
      <w:r w:rsidR="00C21EBA" w:rsidRPr="007211E8">
        <w:rPr>
          <w:lang w:val="en-US"/>
        </w:rPr>
        <w:t xml:space="preserve"> </w:t>
      </w:r>
      <w:r w:rsidR="00481859" w:rsidRPr="007211E8">
        <w:rPr>
          <w:lang w:val="en-US"/>
        </w:rPr>
        <w:t>Law and Legislation</w:t>
      </w:r>
    </w:p>
    <w:p w14:paraId="7AF8CAD3" w14:textId="77777777" w:rsidR="0019504D" w:rsidRPr="007211E8" w:rsidRDefault="0019504D" w:rsidP="0019504D">
      <w:pPr>
        <w:rPr>
          <w:lang w:val="en-US"/>
        </w:rPr>
      </w:pPr>
      <w:r w:rsidRPr="007211E8">
        <w:rPr>
          <w:lang w:val="en-US"/>
        </w:rPr>
        <w:t xml:space="preserve">Assignment </w:t>
      </w:r>
      <w:r w:rsidR="00716E23" w:rsidRPr="007211E8">
        <w:rPr>
          <w:lang w:val="en-US"/>
        </w:rPr>
        <w:t>2</w:t>
      </w:r>
    </w:p>
    <w:p w14:paraId="3589F145" w14:textId="77777777" w:rsidR="0019504D" w:rsidRPr="007211E8" w:rsidRDefault="00716E23" w:rsidP="0019504D">
      <w:pPr>
        <w:rPr>
          <w:lang w:val="en-US"/>
        </w:rPr>
      </w:pPr>
      <w:r w:rsidRPr="007211E8">
        <w:rPr>
          <w:lang w:val="en-US"/>
        </w:rPr>
        <w:t>14</w:t>
      </w:r>
      <w:r w:rsidR="0019504D" w:rsidRPr="007211E8">
        <w:rPr>
          <w:lang w:val="en-US"/>
        </w:rPr>
        <w:t>.0</w:t>
      </w:r>
      <w:r w:rsidR="00481859" w:rsidRPr="007211E8">
        <w:rPr>
          <w:lang w:val="en-US"/>
        </w:rPr>
        <w:t>1</w:t>
      </w:r>
      <w:r w:rsidR="0019504D" w:rsidRPr="007211E8">
        <w:rPr>
          <w:lang w:val="en-US"/>
        </w:rPr>
        <w:t>.2025</w:t>
      </w:r>
    </w:p>
    <w:p w14:paraId="07F9BE35" w14:textId="77777777" w:rsidR="0019504D" w:rsidRPr="007211E8" w:rsidRDefault="0019504D"/>
    <w:p w14:paraId="4ADA8BBE" w14:textId="77777777" w:rsidR="00DA47A1" w:rsidRPr="007211E8" w:rsidRDefault="00DA47A1" w:rsidP="00DA47A1">
      <w:pPr>
        <w:rPr>
          <w:rFonts w:ascii="Aptos Narrow" w:eastAsia="Times New Roman" w:hAnsi="Aptos Narrow" w:cs="Times New Roman"/>
          <w:color w:val="000000"/>
          <w:kern w:val="0"/>
          <w:sz w:val="22"/>
          <w:szCs w:val="22"/>
          <w:lang w:val="en-GB" w:eastAsia="en-GB" w:bidi="hi-IN"/>
          <w14:ligatures w14:val="none"/>
        </w:rPr>
      </w:pPr>
      <w:r w:rsidRPr="00DA47A1">
        <w:rPr>
          <w:rFonts w:ascii="Aptos Narrow" w:eastAsia="Times New Roman" w:hAnsi="Aptos Narrow" w:cs="Times New Roman"/>
          <w:color w:val="000000"/>
          <w:kern w:val="0"/>
          <w:sz w:val="22"/>
          <w:szCs w:val="22"/>
          <w:lang w:val="en-GB" w:eastAsia="en-GB" w:bidi="hi-IN"/>
          <w14:ligatures w14:val="none"/>
        </w:rPr>
        <w:t xml:space="preserve">Komal Bishnoi </w:t>
      </w:r>
    </w:p>
    <w:p w14:paraId="0DD471F2" w14:textId="77777777" w:rsidR="0019504D" w:rsidRPr="007211E8" w:rsidRDefault="0019504D"/>
    <w:p w14:paraId="2A240E95" w14:textId="77777777" w:rsidR="0019504D" w:rsidRPr="007211E8" w:rsidRDefault="0019504D"/>
    <w:p w14:paraId="44503069" w14:textId="77777777" w:rsidR="00CD620A" w:rsidRPr="007211E8" w:rsidRDefault="00CD620A"/>
    <w:p w14:paraId="535E1485" w14:textId="77777777" w:rsidR="00CD620A" w:rsidRPr="007211E8" w:rsidRDefault="00CD620A"/>
    <w:p w14:paraId="5B460D21" w14:textId="77777777" w:rsidR="00CD620A" w:rsidRPr="007211E8" w:rsidRDefault="00CD620A"/>
    <w:p w14:paraId="29728A86" w14:textId="77777777" w:rsidR="00CD620A" w:rsidRPr="007211E8" w:rsidRDefault="00CD620A"/>
    <w:p w14:paraId="2A3900DC" w14:textId="77777777" w:rsidR="00CD620A" w:rsidRPr="007211E8" w:rsidRDefault="00CD620A"/>
    <w:p w14:paraId="67E2CB04" w14:textId="77777777" w:rsidR="00EA737F" w:rsidRPr="007211E8" w:rsidRDefault="00EA737F"/>
    <w:p w14:paraId="02934328" w14:textId="77777777" w:rsidR="0019504D" w:rsidRPr="007211E8" w:rsidRDefault="0019504D"/>
    <w:p w14:paraId="6683FBD1" w14:textId="77777777" w:rsidR="0019504D" w:rsidRPr="007211E8" w:rsidRDefault="0019504D"/>
    <w:p w14:paraId="70607A29" w14:textId="77777777" w:rsidR="00EA737F" w:rsidRPr="007211E8" w:rsidRDefault="00CD620A" w:rsidP="00EA737F">
      <w:pPr>
        <w:spacing w:line="276" w:lineRule="auto"/>
        <w:rPr>
          <w:lang w:val="en-US"/>
        </w:rPr>
      </w:pPr>
      <w:r w:rsidRPr="007211E8">
        <w:rPr>
          <w:lang w:val="en-US"/>
        </w:rPr>
        <w:t>In no more than 500 words</w:t>
      </w:r>
      <w:r w:rsidR="00716E23" w:rsidRPr="007211E8">
        <w:rPr>
          <w:lang w:val="en-US"/>
        </w:rPr>
        <w:t>,</w:t>
      </w:r>
      <w:r w:rsidR="00481859" w:rsidRPr="007211E8">
        <w:rPr>
          <w:lang w:val="en-US"/>
        </w:rPr>
        <w:t xml:space="preserve"> each explain</w:t>
      </w:r>
      <w:r w:rsidR="00716E23" w:rsidRPr="007211E8">
        <w:rPr>
          <w:lang w:val="en-US"/>
        </w:rPr>
        <w:t xml:space="preserve"> and 2-4 references:</w:t>
      </w:r>
    </w:p>
    <w:p w14:paraId="403B63B1" w14:textId="77777777" w:rsidR="00EA737F" w:rsidRPr="007211E8" w:rsidRDefault="00EA737F" w:rsidP="00EA737F">
      <w:pPr>
        <w:spacing w:line="276" w:lineRule="auto"/>
        <w:rPr>
          <w:lang w:val="en-US"/>
        </w:rPr>
      </w:pPr>
    </w:p>
    <w:p w14:paraId="3E42DFB0" w14:textId="77777777" w:rsidR="007211E8" w:rsidRDefault="007211E8" w:rsidP="007211E8">
      <w:pPr>
        <w:spacing w:line="276" w:lineRule="auto"/>
        <w:rPr>
          <w:b/>
          <w:bCs/>
          <w:lang w:val="en-US"/>
        </w:rPr>
      </w:pPr>
      <w:r w:rsidRPr="007211E8">
        <w:rPr>
          <w:b/>
          <w:bCs/>
          <w:lang w:val="en-US"/>
        </w:rPr>
        <w:t>1. What are subsidiary bodies in international tourism governance? Explain their general role within UNWTO.</w:t>
      </w:r>
    </w:p>
    <w:p w14:paraId="5457B9D2" w14:textId="77777777" w:rsidR="007211E8" w:rsidRPr="007211E8" w:rsidRDefault="007211E8" w:rsidP="007211E8">
      <w:pPr>
        <w:spacing w:line="276" w:lineRule="auto"/>
        <w:rPr>
          <w:b/>
          <w:bCs/>
          <w:lang w:val="en-US"/>
        </w:rPr>
      </w:pPr>
    </w:p>
    <w:p w14:paraId="268C3F2D" w14:textId="77777777" w:rsidR="007211E8" w:rsidRPr="007211E8" w:rsidRDefault="007211E8" w:rsidP="007211E8">
      <w:pPr>
        <w:spacing w:line="276" w:lineRule="auto"/>
        <w:rPr>
          <w:lang w:val="en-US"/>
        </w:rPr>
      </w:pPr>
      <w:r w:rsidRPr="007211E8">
        <w:rPr>
          <w:lang w:val="en-US"/>
        </w:rPr>
        <w:t>Subsidiary bodies are specialized institutional structures created to support the governance, coordination, and implementation functions of international organizations. In the context of international tourism governance, these bodies assist global institutions in managing the complexity of tourism-related policy issues. Within the World Tourism Organization (UNWTO), subsidiary bodies serve as essential mechanisms for expert consultation, regional representation, and policy execution.</w:t>
      </w:r>
    </w:p>
    <w:p w14:paraId="6D606BD3" w14:textId="77777777" w:rsidR="007211E8" w:rsidRPr="007211E8" w:rsidRDefault="007211E8" w:rsidP="007211E8">
      <w:pPr>
        <w:spacing w:line="276" w:lineRule="auto"/>
        <w:rPr>
          <w:lang w:val="en-US"/>
        </w:rPr>
      </w:pPr>
      <w:r w:rsidRPr="007211E8">
        <w:rPr>
          <w:lang w:val="en-US"/>
        </w:rPr>
        <w:t>UNWTO subsidiary bodies include Regional Commissions, standing committees, and technical groups that focus on areas such as tourism statistics, sustainability, ethics, education, and crisis management. These bodies operate under the authority of the General Assembly and the Executive Council but function independently in their assigned domains. Their structure allows UNWTO to address diverse tourism challenges across different geographic regions and levels of development.</w:t>
      </w:r>
    </w:p>
    <w:p w14:paraId="27156C9F" w14:textId="77777777" w:rsidR="007211E8" w:rsidRPr="007211E8" w:rsidRDefault="007211E8" w:rsidP="007211E8">
      <w:pPr>
        <w:spacing w:line="276" w:lineRule="auto"/>
        <w:rPr>
          <w:lang w:val="en-US"/>
        </w:rPr>
      </w:pPr>
      <w:r w:rsidRPr="007211E8">
        <w:rPr>
          <w:lang w:val="en-US"/>
        </w:rPr>
        <w:t>A key role of subsidiary bodies is policy development and advisory support. They analyze tourism trends, identify emerging risks, and propose policy recommendations that guide international tourism strategies. Their technical expertise ensures that decisions made by UNWTO’s principal organs are evidence-based and aligned with global development objectives.</w:t>
      </w:r>
    </w:p>
    <w:p w14:paraId="7BF4EA0C" w14:textId="77777777" w:rsidR="007211E8" w:rsidRPr="007211E8" w:rsidRDefault="007211E8" w:rsidP="007211E8">
      <w:pPr>
        <w:spacing w:line="276" w:lineRule="auto"/>
        <w:rPr>
          <w:lang w:val="en-US"/>
        </w:rPr>
      </w:pPr>
      <w:r w:rsidRPr="007211E8">
        <w:rPr>
          <w:lang w:val="en-US"/>
        </w:rPr>
        <w:t>Another important function is regional coordination. Through Regional Commissions, subsidiary bodies ensure that the voices of member states from different regions are represented in global tourism governance. This promotes inclusivity and enables countries to share experiences, best practices, and policy innovations.</w:t>
      </w:r>
    </w:p>
    <w:p w14:paraId="7DC3C9D6" w14:textId="77777777" w:rsidR="007211E8" w:rsidRPr="007211E8" w:rsidRDefault="007211E8" w:rsidP="007211E8">
      <w:pPr>
        <w:spacing w:line="276" w:lineRule="auto"/>
        <w:rPr>
          <w:lang w:val="en-US"/>
        </w:rPr>
      </w:pPr>
      <w:r w:rsidRPr="007211E8">
        <w:rPr>
          <w:lang w:val="en-US"/>
        </w:rPr>
        <w:lastRenderedPageBreak/>
        <w:t>Subsidiary bodies also contribute to monitoring and capacity building. They support the implementation of international tourism frameworks, encourage compliance with ethical and sustainability standards, and assist member states through training programs and knowledge-sharing initiatives.</w:t>
      </w:r>
    </w:p>
    <w:p w14:paraId="5B232421" w14:textId="77777777" w:rsidR="007211E8" w:rsidRPr="007211E8" w:rsidRDefault="007211E8" w:rsidP="007211E8">
      <w:pPr>
        <w:spacing w:line="276" w:lineRule="auto"/>
        <w:rPr>
          <w:lang w:val="en-US"/>
        </w:rPr>
      </w:pPr>
      <w:r w:rsidRPr="007211E8">
        <w:rPr>
          <w:lang w:val="en-US"/>
        </w:rPr>
        <w:t>Overall, subsidiary bodies strengthen UNWTO’s governance capacity by combining specialization, inclusiveness, and operational efficiency, making international tourism governance more responsive and effective.</w:t>
      </w:r>
    </w:p>
    <w:p w14:paraId="63FC971F" w14:textId="77777777" w:rsidR="007211E8" w:rsidRDefault="007211E8" w:rsidP="007211E8">
      <w:pPr>
        <w:spacing w:line="276" w:lineRule="auto"/>
        <w:rPr>
          <w:lang w:val="en-US"/>
        </w:rPr>
      </w:pPr>
    </w:p>
    <w:p w14:paraId="32D09E0E" w14:textId="77777777" w:rsidR="007211E8" w:rsidRDefault="007211E8" w:rsidP="007211E8">
      <w:pPr>
        <w:spacing w:line="276" w:lineRule="auto"/>
        <w:rPr>
          <w:lang w:val="en-US"/>
        </w:rPr>
      </w:pPr>
    </w:p>
    <w:p w14:paraId="754BE782" w14:textId="6C3E730D" w:rsidR="007211E8" w:rsidRDefault="007211E8" w:rsidP="007211E8">
      <w:pPr>
        <w:spacing w:line="276" w:lineRule="auto"/>
        <w:rPr>
          <w:b/>
          <w:bCs/>
          <w:lang w:val="en-US"/>
        </w:rPr>
      </w:pPr>
      <w:r w:rsidRPr="007211E8">
        <w:rPr>
          <w:b/>
          <w:bCs/>
          <w:lang w:val="en-US"/>
        </w:rPr>
        <w:t>2. What is the Manila Declaration on World Tourism (1980)? Why is it considered a milestone in tourism policy?</w:t>
      </w:r>
    </w:p>
    <w:p w14:paraId="58824B7E" w14:textId="77777777" w:rsidR="007211E8" w:rsidRPr="007211E8" w:rsidRDefault="007211E8" w:rsidP="007211E8">
      <w:pPr>
        <w:spacing w:line="276" w:lineRule="auto"/>
        <w:rPr>
          <w:b/>
          <w:bCs/>
          <w:lang w:val="en-US"/>
        </w:rPr>
      </w:pPr>
    </w:p>
    <w:p w14:paraId="7BFD4C0D" w14:textId="77777777" w:rsidR="007211E8" w:rsidRPr="007211E8" w:rsidRDefault="007211E8" w:rsidP="007211E8">
      <w:pPr>
        <w:spacing w:line="276" w:lineRule="auto"/>
        <w:rPr>
          <w:lang w:val="en-US"/>
        </w:rPr>
      </w:pPr>
      <w:r w:rsidRPr="007211E8">
        <w:rPr>
          <w:lang w:val="en-US"/>
        </w:rPr>
        <w:t>The Manila Declaration on World Tourism (1980) is a significant international policy document adopted during the World Tourism Conference held in Manila, Philippines. The Declaration provided one of the earliest comprehensive frameworks for understanding tourism as an activity with economic, social, cultural, and political dimensions.</w:t>
      </w:r>
    </w:p>
    <w:p w14:paraId="3F5B893B" w14:textId="77777777" w:rsidR="007211E8" w:rsidRPr="007211E8" w:rsidRDefault="007211E8" w:rsidP="007211E8">
      <w:pPr>
        <w:spacing w:line="276" w:lineRule="auto"/>
        <w:rPr>
          <w:lang w:val="en-US"/>
        </w:rPr>
      </w:pPr>
      <w:r w:rsidRPr="007211E8">
        <w:rPr>
          <w:lang w:val="en-US"/>
        </w:rPr>
        <w:t>The Declaration emphasized tourism’s role in economic growth, employment generation, and regional development, particularly in developing countries. It also highlighted the importance of respecting host communities, cultural heritage, and national sovereignty in tourism development processes.</w:t>
      </w:r>
    </w:p>
    <w:p w14:paraId="35AC75AD" w14:textId="77777777" w:rsidR="007211E8" w:rsidRPr="007211E8" w:rsidRDefault="007211E8" w:rsidP="007211E8">
      <w:pPr>
        <w:spacing w:line="276" w:lineRule="auto"/>
        <w:rPr>
          <w:lang w:val="en-US"/>
        </w:rPr>
      </w:pPr>
      <w:r w:rsidRPr="007211E8">
        <w:rPr>
          <w:lang w:val="en-US"/>
        </w:rPr>
        <w:t>The Manila Declaration is regarded as a milestone because it framed tourism as a fundamental human activity, closely linked to the right to leisure and freedom of movement. This perspective marked a shift from viewing tourism purely as a commercial sector to recognizing it as a legitimate subject of public policy.</w:t>
      </w:r>
    </w:p>
    <w:p w14:paraId="342B2E23" w14:textId="77777777" w:rsidR="007211E8" w:rsidRPr="007211E8" w:rsidRDefault="007211E8" w:rsidP="007211E8">
      <w:pPr>
        <w:spacing w:line="276" w:lineRule="auto"/>
        <w:rPr>
          <w:lang w:val="en-US"/>
        </w:rPr>
      </w:pPr>
      <w:r w:rsidRPr="007211E8">
        <w:rPr>
          <w:lang w:val="en-US"/>
        </w:rPr>
        <w:t>Furthermore, the Declaration laid early foundations for responsible and sustainable tourism, stressing environmental protection and balanced development long before sustainability became a global policy priority. These principles later influenced major international tourism instruments and ethical guidelines.</w:t>
      </w:r>
    </w:p>
    <w:p w14:paraId="7795C8B5" w14:textId="77777777" w:rsidR="007211E8" w:rsidRPr="007211E8" w:rsidRDefault="007211E8" w:rsidP="007211E8">
      <w:pPr>
        <w:spacing w:line="276" w:lineRule="auto"/>
        <w:rPr>
          <w:lang w:val="en-US"/>
        </w:rPr>
      </w:pPr>
      <w:r w:rsidRPr="007211E8">
        <w:rPr>
          <w:lang w:val="en-US"/>
        </w:rPr>
        <w:t>The Declaration also underscored the importance of international cooperation, calling for collaboration between governments and international organizations to address inequalities in tourism development.</w:t>
      </w:r>
    </w:p>
    <w:p w14:paraId="4841B958" w14:textId="77777777" w:rsidR="007211E8" w:rsidRPr="007211E8" w:rsidRDefault="007211E8" w:rsidP="007211E8">
      <w:pPr>
        <w:spacing w:line="276" w:lineRule="auto"/>
        <w:rPr>
          <w:lang w:val="en-US"/>
        </w:rPr>
      </w:pPr>
      <w:r w:rsidRPr="007211E8">
        <w:rPr>
          <w:lang w:val="en-US"/>
        </w:rPr>
        <w:t>As a result, the Manila Declaration remains a cornerstone of international tourism policy, shaping modern tourism governance and ethical standards.</w:t>
      </w:r>
    </w:p>
    <w:p w14:paraId="152A24A7" w14:textId="77777777" w:rsidR="007211E8" w:rsidRPr="007211E8" w:rsidRDefault="007211E8" w:rsidP="007211E8">
      <w:pPr>
        <w:spacing w:line="276" w:lineRule="auto"/>
        <w:rPr>
          <w:lang w:val="en-US"/>
        </w:rPr>
      </w:pPr>
    </w:p>
    <w:p w14:paraId="27B13741" w14:textId="77777777" w:rsidR="007211E8" w:rsidRPr="007211E8" w:rsidRDefault="007211E8" w:rsidP="007211E8">
      <w:pPr>
        <w:spacing w:line="276" w:lineRule="auto"/>
        <w:rPr>
          <w:lang w:val="en-US"/>
        </w:rPr>
      </w:pPr>
    </w:p>
    <w:p w14:paraId="522F23D5" w14:textId="77777777" w:rsidR="007211E8" w:rsidRPr="007211E8" w:rsidRDefault="007211E8" w:rsidP="007211E8">
      <w:pPr>
        <w:spacing w:line="276" w:lineRule="auto"/>
        <w:rPr>
          <w:lang w:val="en-US"/>
        </w:rPr>
      </w:pPr>
    </w:p>
    <w:p w14:paraId="13B79C41" w14:textId="77777777" w:rsidR="007211E8" w:rsidRPr="007211E8" w:rsidRDefault="007211E8" w:rsidP="007211E8">
      <w:pPr>
        <w:spacing w:line="276" w:lineRule="auto"/>
        <w:rPr>
          <w:lang w:val="en-US"/>
        </w:rPr>
      </w:pPr>
    </w:p>
    <w:p w14:paraId="37EAA3A5" w14:textId="77777777" w:rsidR="007211E8" w:rsidRPr="007211E8" w:rsidRDefault="007211E8" w:rsidP="007211E8">
      <w:pPr>
        <w:spacing w:line="276" w:lineRule="auto"/>
        <w:rPr>
          <w:lang w:val="en-US"/>
        </w:rPr>
      </w:pPr>
    </w:p>
    <w:p w14:paraId="47FB05EF" w14:textId="77777777" w:rsidR="007211E8" w:rsidRPr="007211E8" w:rsidRDefault="007211E8" w:rsidP="007211E8">
      <w:pPr>
        <w:spacing w:line="276" w:lineRule="auto"/>
        <w:rPr>
          <w:lang w:val="en-US"/>
        </w:rPr>
      </w:pPr>
    </w:p>
    <w:p w14:paraId="4853695C" w14:textId="77777777" w:rsidR="007211E8" w:rsidRPr="007211E8" w:rsidRDefault="007211E8" w:rsidP="007211E8">
      <w:pPr>
        <w:spacing w:line="276" w:lineRule="auto"/>
        <w:rPr>
          <w:lang w:val="en-US"/>
        </w:rPr>
      </w:pPr>
    </w:p>
    <w:p w14:paraId="1BDED0B0" w14:textId="77777777" w:rsidR="007211E8" w:rsidRPr="007211E8" w:rsidRDefault="007211E8" w:rsidP="007211E8">
      <w:pPr>
        <w:spacing w:line="276" w:lineRule="auto"/>
        <w:rPr>
          <w:lang w:val="en-US"/>
        </w:rPr>
      </w:pPr>
    </w:p>
    <w:p w14:paraId="5998C909" w14:textId="77777777" w:rsidR="007211E8" w:rsidRPr="007211E8" w:rsidRDefault="007211E8" w:rsidP="007211E8">
      <w:pPr>
        <w:spacing w:line="276" w:lineRule="auto"/>
        <w:rPr>
          <w:lang w:val="en-US"/>
        </w:rPr>
      </w:pPr>
    </w:p>
    <w:p w14:paraId="2AC3F234" w14:textId="77777777" w:rsidR="007211E8" w:rsidRPr="007211E8" w:rsidRDefault="007211E8" w:rsidP="007211E8">
      <w:pPr>
        <w:spacing w:line="276" w:lineRule="auto"/>
        <w:rPr>
          <w:lang w:val="en-US"/>
        </w:rPr>
      </w:pPr>
    </w:p>
    <w:p w14:paraId="4A0E1570" w14:textId="77777777" w:rsidR="007211E8" w:rsidRPr="007211E8" w:rsidRDefault="007211E8" w:rsidP="007211E8">
      <w:pPr>
        <w:spacing w:line="276" w:lineRule="auto"/>
        <w:rPr>
          <w:lang w:val="en-US"/>
        </w:rPr>
      </w:pPr>
    </w:p>
    <w:p w14:paraId="10ED9ECE" w14:textId="77777777" w:rsidR="007211E8" w:rsidRPr="007211E8" w:rsidRDefault="007211E8" w:rsidP="007211E8">
      <w:pPr>
        <w:spacing w:line="276" w:lineRule="auto"/>
        <w:rPr>
          <w:lang w:val="en-US"/>
        </w:rPr>
      </w:pPr>
    </w:p>
    <w:p w14:paraId="0B45ECF2" w14:textId="77777777" w:rsidR="007211E8" w:rsidRPr="007211E8" w:rsidRDefault="007211E8" w:rsidP="007211E8">
      <w:pPr>
        <w:spacing w:line="276" w:lineRule="auto"/>
        <w:rPr>
          <w:lang w:val="en-US"/>
        </w:rPr>
      </w:pPr>
    </w:p>
    <w:p w14:paraId="4E868B6E" w14:textId="77777777" w:rsidR="007211E8" w:rsidRPr="007211E8" w:rsidRDefault="007211E8" w:rsidP="007211E8">
      <w:pPr>
        <w:spacing w:line="276" w:lineRule="auto"/>
        <w:rPr>
          <w:lang w:val="en-US"/>
        </w:rPr>
      </w:pPr>
    </w:p>
    <w:p w14:paraId="1C704CE6" w14:textId="1A9FD64D" w:rsidR="007211E8" w:rsidRPr="007211E8" w:rsidRDefault="007211E8" w:rsidP="007211E8">
      <w:pPr>
        <w:spacing w:line="276" w:lineRule="auto"/>
        <w:rPr>
          <w:lang w:val="en-US"/>
        </w:rPr>
      </w:pPr>
      <w:r w:rsidRPr="007211E8">
        <w:rPr>
          <w:lang w:val="en-US"/>
        </w:rPr>
        <w:t xml:space="preserve">References </w:t>
      </w:r>
    </w:p>
    <w:p w14:paraId="1B42C48F" w14:textId="77777777" w:rsidR="007211E8" w:rsidRPr="007211E8" w:rsidRDefault="007211E8" w:rsidP="007211E8">
      <w:pPr>
        <w:numPr>
          <w:ilvl w:val="0"/>
          <w:numId w:val="3"/>
        </w:numPr>
        <w:spacing w:line="276" w:lineRule="auto"/>
        <w:rPr>
          <w:lang w:val="en-US"/>
        </w:rPr>
      </w:pPr>
      <w:r w:rsidRPr="007211E8">
        <w:rPr>
          <w:lang w:val="en-US"/>
        </w:rPr>
        <w:t>Dredge, D., &amp; Jenkins, J. (2011). Stories of practice: Tourism policy and planning. Ashgate.</w:t>
      </w:r>
    </w:p>
    <w:p w14:paraId="6B7B73D8" w14:textId="77777777" w:rsidR="007211E8" w:rsidRPr="007211E8" w:rsidRDefault="007211E8" w:rsidP="007211E8">
      <w:pPr>
        <w:numPr>
          <w:ilvl w:val="0"/>
          <w:numId w:val="3"/>
        </w:numPr>
        <w:spacing w:line="276" w:lineRule="auto"/>
        <w:rPr>
          <w:lang w:val="en-US"/>
        </w:rPr>
      </w:pPr>
      <w:r w:rsidRPr="007211E8">
        <w:rPr>
          <w:lang w:val="en-US"/>
        </w:rPr>
        <w:t>Page, S. J. (2019). Tourism management (6th ed.). Routledge.</w:t>
      </w:r>
    </w:p>
    <w:p w14:paraId="7A1813C3" w14:textId="77777777" w:rsidR="007211E8" w:rsidRPr="007211E8" w:rsidRDefault="007211E8" w:rsidP="007211E8">
      <w:pPr>
        <w:numPr>
          <w:ilvl w:val="0"/>
          <w:numId w:val="3"/>
        </w:numPr>
        <w:spacing w:line="276" w:lineRule="auto"/>
        <w:rPr>
          <w:lang w:val="en-US"/>
        </w:rPr>
      </w:pPr>
      <w:r w:rsidRPr="007211E8">
        <w:rPr>
          <w:lang w:val="en-US"/>
        </w:rPr>
        <w:t>United Nations World Tourism Organization (UNWTO). (1980). Manila Declaration on World Tourism. Madrid: UNWTO.</w:t>
      </w:r>
    </w:p>
    <w:p w14:paraId="08BB0812" w14:textId="77777777" w:rsidR="007211E8" w:rsidRPr="007211E8" w:rsidRDefault="007211E8" w:rsidP="007211E8">
      <w:pPr>
        <w:numPr>
          <w:ilvl w:val="0"/>
          <w:numId w:val="3"/>
        </w:numPr>
        <w:spacing w:line="276" w:lineRule="auto"/>
        <w:rPr>
          <w:lang w:val="en-US"/>
        </w:rPr>
      </w:pPr>
      <w:r w:rsidRPr="007211E8">
        <w:rPr>
          <w:lang w:val="en-US"/>
        </w:rPr>
        <w:t>United Nations World Tourism Organization (UNWTO). (2018). Tourism governance for sustainable development. Madrid: UNWTO.</w:t>
      </w:r>
    </w:p>
    <w:p w14:paraId="5829232A" w14:textId="77777777" w:rsidR="00C70025" w:rsidRPr="007211E8" w:rsidRDefault="00C70025" w:rsidP="007211E8">
      <w:pPr>
        <w:spacing w:line="276" w:lineRule="auto"/>
        <w:rPr>
          <w:lang w:val="en-US"/>
        </w:rPr>
      </w:pPr>
    </w:p>
    <w:sectPr w:rsidR="00C70025" w:rsidRPr="007211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3CDFE0B-5D92-4706-AE57-4B9AF2710D3C}"/>
    <w:embedBold r:id="rId2" w:fontKey="{D8C278AE-E045-479D-89A7-F8CB3B2E0FB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2FF51A5-9FF9-4910-B9E6-50E501FABED3}"/>
  </w:font>
  <w:font w:name="Aptos Narrow">
    <w:charset w:val="00"/>
    <w:family w:val="swiss"/>
    <w:pitch w:val="variable"/>
    <w:sig w:usb0="20000287" w:usb1="00000003" w:usb2="00000000" w:usb3="00000000" w:csb0="0000019F" w:csb1="00000000"/>
    <w:embedRegular r:id="rId4" w:fontKey="{50ACAE99-7435-4FF2-BEF8-402287EFD33B}"/>
  </w:font>
  <w:font w:name="Calibri Light">
    <w:panose1 w:val="020F0302020204030204"/>
    <w:charset w:val="00"/>
    <w:family w:val="swiss"/>
    <w:pitch w:val="variable"/>
    <w:sig w:usb0="E4002EFF" w:usb1="C000247B" w:usb2="00000009" w:usb3="00000000" w:csb0="000001FF" w:csb1="00000000"/>
    <w:embedRegular r:id="rId5" w:fontKey="{C870F7F9-A052-431B-B2CE-0D408A5BE1C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2"/>
  </w:num>
  <w:num w:numId="2" w16cid:durableId="1152258877">
    <w:abstractNumId w:val="0"/>
  </w:num>
  <w:num w:numId="3" w16cid:durableId="10343080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565DA"/>
    <w:rsid w:val="002F4AE0"/>
    <w:rsid w:val="00384E8A"/>
    <w:rsid w:val="003D1074"/>
    <w:rsid w:val="00426865"/>
    <w:rsid w:val="00477CAA"/>
    <w:rsid w:val="00481859"/>
    <w:rsid w:val="00502E29"/>
    <w:rsid w:val="00525072"/>
    <w:rsid w:val="005E458B"/>
    <w:rsid w:val="00661030"/>
    <w:rsid w:val="00686ACB"/>
    <w:rsid w:val="00687DF8"/>
    <w:rsid w:val="00716E23"/>
    <w:rsid w:val="007211E8"/>
    <w:rsid w:val="00844EC2"/>
    <w:rsid w:val="008516FE"/>
    <w:rsid w:val="00903466"/>
    <w:rsid w:val="0091369A"/>
    <w:rsid w:val="009C1D0A"/>
    <w:rsid w:val="00A044F7"/>
    <w:rsid w:val="00A22845"/>
    <w:rsid w:val="00A8150E"/>
    <w:rsid w:val="00B20343"/>
    <w:rsid w:val="00B85EA7"/>
    <w:rsid w:val="00BE65DD"/>
    <w:rsid w:val="00C21EBA"/>
    <w:rsid w:val="00C612A4"/>
    <w:rsid w:val="00C70025"/>
    <w:rsid w:val="00CC6AD1"/>
    <w:rsid w:val="00CD620A"/>
    <w:rsid w:val="00DA47A1"/>
    <w:rsid w:val="00E06B94"/>
    <w:rsid w:val="00E6778A"/>
    <w:rsid w:val="00EA737F"/>
    <w:rsid w:val="00F25F5B"/>
    <w:rsid w:val="00F837B1"/>
    <w:rsid w:val="00FB339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676</Words>
  <Characters>3856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2026-01-20T13:05:00Z</dcterms:created>
  <dcterms:modified xsi:type="dcterms:W3CDTF">2026-01-20T13:05:00Z</dcterms:modified>
</cp:coreProperties>
</file>