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695DD6CD" wp14:paraId="49603A32" wp14:textId="7D22FDF5">
      <w:pPr>
        <w:pStyle w:val="Heading2"/>
        <w:spacing w:before="299" w:beforeAutospacing="off" w:after="299" w:afterAutospacing="off"/>
        <w:rPr>
          <w:rFonts w:ascii="Aptos" w:hAnsi="Aptos" w:eastAsia="Aptos" w:cs="Aptos"/>
          <w:b w:val="0"/>
          <w:bCs w:val="0"/>
          <w:noProof w:val="0"/>
          <w:sz w:val="36"/>
          <w:szCs w:val="36"/>
          <w:lang w:val="en-US"/>
        </w:rPr>
      </w:pPr>
      <w:r w:rsidRPr="695DD6CD" w:rsidR="07888DC3">
        <w:rPr>
          <w:rFonts w:ascii="Aptos" w:hAnsi="Aptos" w:eastAsia="Aptos" w:cs="Aptos"/>
          <w:b w:val="0"/>
          <w:bCs w:val="0"/>
          <w:noProof w:val="0"/>
          <w:sz w:val="36"/>
          <w:szCs w:val="36"/>
          <w:lang w:val="en-US"/>
        </w:rPr>
        <w:t>Challenges in Harmonizing Consumer Protection Standards Globally</w:t>
      </w:r>
    </w:p>
    <w:p xmlns:wp14="http://schemas.microsoft.com/office/word/2010/wordml" w:rsidP="695DD6CD" wp14:paraId="224BA4C0" wp14:textId="6DC68485">
      <w:pPr>
        <w:spacing w:before="240" w:beforeAutospacing="off" w:after="240" w:afterAutospacing="off"/>
        <w:rPr>
          <w:rFonts w:ascii="Aptos" w:hAnsi="Aptos" w:eastAsia="Aptos" w:cs="Aptos"/>
          <w:b w:val="0"/>
          <w:bCs w:val="0"/>
          <w:noProof w:val="0"/>
          <w:sz w:val="24"/>
          <w:szCs w:val="24"/>
          <w:lang w:val="en-US"/>
        </w:rPr>
      </w:pPr>
      <w:r w:rsidRPr="695DD6CD" w:rsidR="07888DC3">
        <w:rPr>
          <w:rFonts w:ascii="Aptos" w:hAnsi="Aptos" w:eastAsia="Aptos" w:cs="Aptos"/>
          <w:b w:val="0"/>
          <w:bCs w:val="0"/>
          <w:noProof w:val="0"/>
          <w:sz w:val="24"/>
          <w:szCs w:val="24"/>
          <w:lang w:val="en-US"/>
        </w:rPr>
        <w:t xml:space="preserve">Harmonizing consumer protection in tourism is a "wicked problem" because tourism is an intangible service consumed away from the buyer's home, often involving multiple international </w:t>
      </w:r>
      <w:r w:rsidRPr="695DD6CD" w:rsidR="07888DC3">
        <w:rPr>
          <w:rFonts w:ascii="Aptos" w:hAnsi="Aptos" w:eastAsia="Aptos" w:cs="Aptos"/>
          <w:b w:val="0"/>
          <w:bCs w:val="0"/>
          <w:noProof w:val="0"/>
          <w:sz w:val="24"/>
          <w:szCs w:val="24"/>
          <w:lang w:val="en-US"/>
        </w:rPr>
        <w:t>jurisdictions</w:t>
      </w:r>
      <w:r w:rsidRPr="695DD6CD" w:rsidR="07888DC3">
        <w:rPr>
          <w:rFonts w:ascii="Aptos" w:hAnsi="Aptos" w:eastAsia="Aptos" w:cs="Aptos"/>
          <w:b w:val="0"/>
          <w:bCs w:val="0"/>
          <w:noProof w:val="0"/>
          <w:sz w:val="24"/>
          <w:szCs w:val="24"/>
          <w:lang w:val="en-US"/>
        </w:rPr>
        <w:t xml:space="preserve"> simultaneously. While the </w:t>
      </w:r>
      <w:r w:rsidRPr="695DD6CD" w:rsidR="07888DC3">
        <w:rPr>
          <w:rFonts w:ascii="Aptos" w:hAnsi="Aptos" w:eastAsia="Aptos" w:cs="Aptos"/>
          <w:b w:val="0"/>
          <w:bCs w:val="0"/>
          <w:noProof w:val="0"/>
          <w:sz w:val="24"/>
          <w:szCs w:val="24"/>
          <w:lang w:val="en-US"/>
        </w:rPr>
        <w:t>International Code for the Protection of Tourists (ICPT)</w:t>
      </w:r>
      <w:r w:rsidRPr="695DD6CD" w:rsidR="07888DC3">
        <w:rPr>
          <w:rFonts w:ascii="Aptos" w:hAnsi="Aptos" w:eastAsia="Aptos" w:cs="Aptos"/>
          <w:b w:val="0"/>
          <w:bCs w:val="0"/>
          <w:noProof w:val="0"/>
          <w:sz w:val="24"/>
          <w:szCs w:val="24"/>
          <w:lang w:val="en-US"/>
        </w:rPr>
        <w:t xml:space="preserve"> provides a blueprint, the following challenges hinder a unified global standard.</w:t>
      </w:r>
    </w:p>
    <w:p xmlns:wp14="http://schemas.microsoft.com/office/word/2010/wordml" w:rsidP="695DD6CD" wp14:paraId="7F84A515" wp14:textId="552AC1AC">
      <w:pPr>
        <w:pStyle w:val="Heading3"/>
        <w:spacing w:before="281" w:beforeAutospacing="off" w:after="281" w:afterAutospacing="off"/>
        <w:rPr>
          <w:rFonts w:ascii="Aptos" w:hAnsi="Aptos" w:eastAsia="Aptos" w:cs="Aptos"/>
          <w:b w:val="0"/>
          <w:bCs w:val="0"/>
          <w:noProof w:val="0"/>
          <w:sz w:val="28"/>
          <w:szCs w:val="28"/>
          <w:lang w:val="en-US"/>
        </w:rPr>
      </w:pPr>
      <w:r w:rsidRPr="695DD6CD" w:rsidR="07888DC3">
        <w:rPr>
          <w:rFonts w:ascii="Aptos" w:hAnsi="Aptos" w:eastAsia="Aptos" w:cs="Aptos"/>
          <w:b w:val="0"/>
          <w:bCs w:val="0"/>
          <w:noProof w:val="0"/>
          <w:sz w:val="28"/>
          <w:szCs w:val="28"/>
          <w:lang w:val="en-US"/>
        </w:rPr>
        <w:t>1. Legal and Jurisdictional Fragmentation</w:t>
      </w:r>
    </w:p>
    <w:p xmlns:wp14="http://schemas.microsoft.com/office/word/2010/wordml" w:rsidP="695DD6CD" wp14:paraId="64F990AE" wp14:textId="3FFBF721">
      <w:pPr>
        <w:spacing w:before="240" w:beforeAutospacing="off" w:after="240" w:afterAutospacing="off"/>
        <w:rPr>
          <w:rFonts w:ascii="Aptos" w:hAnsi="Aptos" w:eastAsia="Aptos" w:cs="Aptos"/>
          <w:b w:val="0"/>
          <w:bCs w:val="0"/>
          <w:noProof w:val="0"/>
          <w:sz w:val="24"/>
          <w:szCs w:val="24"/>
          <w:lang w:val="en-US"/>
        </w:rPr>
      </w:pPr>
      <w:r w:rsidRPr="695DD6CD" w:rsidR="07888DC3">
        <w:rPr>
          <w:rFonts w:ascii="Aptos" w:hAnsi="Aptos" w:eastAsia="Aptos" w:cs="Aptos"/>
          <w:b w:val="0"/>
          <w:bCs w:val="0"/>
          <w:noProof w:val="0"/>
          <w:sz w:val="24"/>
          <w:szCs w:val="24"/>
          <w:lang w:val="en-US"/>
        </w:rPr>
        <w:t xml:space="preserve">The most significant barrier is the fundamental variance between </w:t>
      </w:r>
      <w:r w:rsidRPr="695DD6CD" w:rsidR="07888DC3">
        <w:rPr>
          <w:rFonts w:ascii="Aptos" w:hAnsi="Aptos" w:eastAsia="Aptos" w:cs="Aptos"/>
          <w:b w:val="0"/>
          <w:bCs w:val="0"/>
          <w:noProof w:val="0"/>
          <w:sz w:val="24"/>
          <w:szCs w:val="24"/>
          <w:lang w:val="en-US"/>
        </w:rPr>
        <w:t>Common Law</w:t>
      </w:r>
      <w:r w:rsidRPr="695DD6CD" w:rsidR="07888DC3">
        <w:rPr>
          <w:rFonts w:ascii="Aptos" w:hAnsi="Aptos" w:eastAsia="Aptos" w:cs="Aptos"/>
          <w:b w:val="0"/>
          <w:bCs w:val="0"/>
          <w:noProof w:val="0"/>
          <w:sz w:val="24"/>
          <w:szCs w:val="24"/>
          <w:lang w:val="en-US"/>
        </w:rPr>
        <w:t xml:space="preserve"> and </w:t>
      </w:r>
      <w:r w:rsidRPr="695DD6CD" w:rsidR="07888DC3">
        <w:rPr>
          <w:rFonts w:ascii="Aptos" w:hAnsi="Aptos" w:eastAsia="Aptos" w:cs="Aptos"/>
          <w:b w:val="0"/>
          <w:bCs w:val="0"/>
          <w:noProof w:val="0"/>
          <w:sz w:val="24"/>
          <w:szCs w:val="24"/>
          <w:lang w:val="en-US"/>
        </w:rPr>
        <w:t>Civil Law</w:t>
      </w:r>
      <w:r w:rsidRPr="695DD6CD" w:rsidR="07888DC3">
        <w:rPr>
          <w:rFonts w:ascii="Aptos" w:hAnsi="Aptos" w:eastAsia="Aptos" w:cs="Aptos"/>
          <w:b w:val="0"/>
          <w:bCs w:val="0"/>
          <w:noProof w:val="0"/>
          <w:sz w:val="24"/>
          <w:szCs w:val="24"/>
          <w:lang w:val="en-US"/>
        </w:rPr>
        <w:t xml:space="preserve"> systems. These frameworks define "consumer rights" and "contractual liability" differently. For instance, in many European </w:t>
      </w:r>
      <w:r w:rsidRPr="695DD6CD" w:rsidR="07888DC3">
        <w:rPr>
          <w:rFonts w:ascii="Aptos" w:hAnsi="Aptos" w:eastAsia="Aptos" w:cs="Aptos"/>
          <w:b w:val="0"/>
          <w:bCs w:val="0"/>
          <w:noProof w:val="0"/>
          <w:sz w:val="24"/>
          <w:szCs w:val="24"/>
          <w:lang w:val="en-US"/>
        </w:rPr>
        <w:t>jurisdictions</w:t>
      </w:r>
      <w:r w:rsidRPr="695DD6CD" w:rsidR="07888DC3">
        <w:rPr>
          <w:rFonts w:ascii="Aptos" w:hAnsi="Aptos" w:eastAsia="Aptos" w:cs="Aptos"/>
          <w:b w:val="0"/>
          <w:bCs w:val="0"/>
          <w:noProof w:val="0"/>
          <w:sz w:val="24"/>
          <w:szCs w:val="24"/>
          <w:lang w:val="en-US"/>
        </w:rPr>
        <w:t xml:space="preserve"> (Civil Law), tourists can claim "moral damages" or compensation for "loss of enjoyment" if a vacation is ruined. Conversely, in other regions, compensation is </w:t>
      </w:r>
      <w:r w:rsidRPr="695DD6CD" w:rsidR="07888DC3">
        <w:rPr>
          <w:rFonts w:ascii="Aptos" w:hAnsi="Aptos" w:eastAsia="Aptos" w:cs="Aptos"/>
          <w:b w:val="0"/>
          <w:bCs w:val="0"/>
          <w:noProof w:val="0"/>
          <w:sz w:val="24"/>
          <w:szCs w:val="24"/>
          <w:lang w:val="en-US"/>
        </w:rPr>
        <w:t>strictly limited</w:t>
      </w:r>
      <w:r w:rsidRPr="695DD6CD" w:rsidR="07888DC3">
        <w:rPr>
          <w:rFonts w:ascii="Aptos" w:hAnsi="Aptos" w:eastAsia="Aptos" w:cs="Aptos"/>
          <w:b w:val="0"/>
          <w:bCs w:val="0"/>
          <w:noProof w:val="0"/>
          <w:sz w:val="24"/>
          <w:szCs w:val="24"/>
          <w:lang w:val="en-US"/>
        </w:rPr>
        <w:t xml:space="preserve"> to quantifiable </w:t>
      </w:r>
      <w:r w:rsidRPr="695DD6CD" w:rsidR="07888DC3">
        <w:rPr>
          <w:rFonts w:ascii="Aptos" w:hAnsi="Aptos" w:eastAsia="Aptos" w:cs="Aptos"/>
          <w:b w:val="0"/>
          <w:bCs w:val="0"/>
          <w:noProof w:val="0"/>
          <w:sz w:val="24"/>
          <w:szCs w:val="24"/>
          <w:lang w:val="en-US"/>
        </w:rPr>
        <w:t>financial loss</w:t>
      </w:r>
      <w:r w:rsidRPr="695DD6CD" w:rsidR="07888DC3">
        <w:rPr>
          <w:rFonts w:ascii="Aptos" w:hAnsi="Aptos" w:eastAsia="Aptos" w:cs="Aptos"/>
          <w:b w:val="0"/>
          <w:bCs w:val="0"/>
          <w:noProof w:val="0"/>
          <w:sz w:val="24"/>
          <w:szCs w:val="24"/>
          <w:lang w:val="en-US"/>
        </w:rPr>
        <w:t>.</w:t>
      </w:r>
    </w:p>
    <w:p xmlns:wp14="http://schemas.microsoft.com/office/word/2010/wordml" w:rsidP="695DD6CD" wp14:paraId="44BA678D" wp14:textId="2E0CED93">
      <w:pPr>
        <w:spacing w:before="240" w:beforeAutospacing="off" w:after="240" w:afterAutospacing="off"/>
        <w:rPr>
          <w:rFonts w:ascii="Aptos" w:hAnsi="Aptos" w:eastAsia="Aptos" w:cs="Aptos"/>
          <w:b w:val="0"/>
          <w:bCs w:val="0"/>
          <w:noProof w:val="0"/>
          <w:sz w:val="24"/>
          <w:szCs w:val="24"/>
          <w:lang w:val="en-US"/>
        </w:rPr>
      </w:pPr>
      <w:r w:rsidRPr="695DD6CD" w:rsidR="07888DC3">
        <w:rPr>
          <w:rFonts w:ascii="Aptos" w:hAnsi="Aptos" w:eastAsia="Aptos" w:cs="Aptos"/>
          <w:b w:val="0"/>
          <w:bCs w:val="0"/>
          <w:noProof w:val="0"/>
          <w:sz w:val="24"/>
          <w:szCs w:val="24"/>
          <w:lang w:val="en-US"/>
        </w:rPr>
        <w:t xml:space="preserve">When a dispute arises—for example, a French tourist booking a Brazilian hotel through a US-based platform—a "legal minefield" ensues. </w:t>
      </w:r>
      <w:r w:rsidRPr="695DD6CD" w:rsidR="07888DC3">
        <w:rPr>
          <w:rFonts w:ascii="Aptos" w:hAnsi="Aptos" w:eastAsia="Aptos" w:cs="Aptos"/>
          <w:b w:val="0"/>
          <w:bCs w:val="0"/>
          <w:noProof w:val="0"/>
          <w:sz w:val="24"/>
          <w:szCs w:val="24"/>
          <w:lang w:val="en-US"/>
        </w:rPr>
        <w:t>Determining</w:t>
      </w:r>
      <w:r w:rsidRPr="695DD6CD" w:rsidR="07888DC3">
        <w:rPr>
          <w:rFonts w:ascii="Aptos" w:hAnsi="Aptos" w:eastAsia="Aptos" w:cs="Aptos"/>
          <w:b w:val="0"/>
          <w:bCs w:val="0"/>
          <w:noProof w:val="0"/>
          <w:sz w:val="24"/>
          <w:szCs w:val="24"/>
          <w:lang w:val="en-US"/>
        </w:rPr>
        <w:t xml:space="preserve"> which national law applies </w:t>
      </w:r>
      <w:r w:rsidRPr="695DD6CD" w:rsidR="07888DC3">
        <w:rPr>
          <w:rFonts w:ascii="Aptos" w:hAnsi="Aptos" w:eastAsia="Aptos" w:cs="Aptos"/>
          <w:b w:val="0"/>
          <w:bCs w:val="0"/>
          <w:noProof w:val="0"/>
          <w:sz w:val="24"/>
          <w:szCs w:val="24"/>
          <w:lang w:val="en-US"/>
        </w:rPr>
        <w:t>remains</w:t>
      </w:r>
      <w:r w:rsidRPr="695DD6CD" w:rsidR="07888DC3">
        <w:rPr>
          <w:rFonts w:ascii="Aptos" w:hAnsi="Aptos" w:eastAsia="Aptos" w:cs="Aptos"/>
          <w:b w:val="0"/>
          <w:bCs w:val="0"/>
          <w:noProof w:val="0"/>
          <w:sz w:val="24"/>
          <w:szCs w:val="24"/>
          <w:lang w:val="en-US"/>
        </w:rPr>
        <w:t xml:space="preserve"> a primary obstacle to creating a seamless global protection net.</w:t>
      </w:r>
    </w:p>
    <w:p xmlns:wp14="http://schemas.microsoft.com/office/word/2010/wordml" w:rsidP="695DD6CD" wp14:paraId="144276E6" wp14:textId="21B5EB60">
      <w:pPr>
        <w:pStyle w:val="Heading3"/>
        <w:spacing w:before="281" w:beforeAutospacing="off" w:after="281" w:afterAutospacing="off"/>
        <w:rPr>
          <w:rFonts w:ascii="Aptos" w:hAnsi="Aptos" w:eastAsia="Aptos" w:cs="Aptos"/>
          <w:b w:val="0"/>
          <w:bCs w:val="0"/>
          <w:noProof w:val="0"/>
          <w:sz w:val="28"/>
          <w:szCs w:val="28"/>
          <w:lang w:val="en-US"/>
        </w:rPr>
      </w:pPr>
      <w:r w:rsidRPr="695DD6CD" w:rsidR="07888DC3">
        <w:rPr>
          <w:rFonts w:ascii="Aptos" w:hAnsi="Aptos" w:eastAsia="Aptos" w:cs="Aptos"/>
          <w:b w:val="0"/>
          <w:bCs w:val="0"/>
          <w:noProof w:val="0"/>
          <w:sz w:val="28"/>
          <w:szCs w:val="28"/>
          <w:lang w:val="en-US"/>
        </w:rPr>
        <w:t>2. The Digital Divide and E-commerce Evolution</w:t>
      </w:r>
    </w:p>
    <w:p xmlns:wp14="http://schemas.microsoft.com/office/word/2010/wordml" w:rsidP="695DD6CD" wp14:paraId="452B69C5" wp14:textId="60D88FF7">
      <w:pPr>
        <w:spacing w:before="240" w:beforeAutospacing="off" w:after="240" w:afterAutospacing="off"/>
        <w:rPr>
          <w:rFonts w:ascii="Aptos" w:hAnsi="Aptos" w:eastAsia="Aptos" w:cs="Aptos"/>
          <w:b w:val="0"/>
          <w:bCs w:val="0"/>
          <w:noProof w:val="0"/>
          <w:sz w:val="24"/>
          <w:szCs w:val="24"/>
          <w:lang w:val="en-US"/>
        </w:rPr>
      </w:pPr>
      <w:r w:rsidRPr="695DD6CD" w:rsidR="07888DC3">
        <w:rPr>
          <w:rFonts w:ascii="Aptos" w:hAnsi="Aptos" w:eastAsia="Aptos" w:cs="Aptos"/>
          <w:b w:val="0"/>
          <w:bCs w:val="0"/>
          <w:noProof w:val="0"/>
          <w:sz w:val="24"/>
          <w:szCs w:val="24"/>
          <w:lang w:val="en-US"/>
        </w:rPr>
        <w:t xml:space="preserve">The rapid rise of </w:t>
      </w:r>
      <w:r w:rsidRPr="695DD6CD" w:rsidR="07888DC3">
        <w:rPr>
          <w:rFonts w:ascii="Aptos" w:hAnsi="Aptos" w:eastAsia="Aptos" w:cs="Aptos"/>
          <w:b w:val="0"/>
          <w:bCs w:val="0"/>
          <w:noProof w:val="0"/>
          <w:sz w:val="24"/>
          <w:szCs w:val="24"/>
          <w:lang w:val="en-US"/>
        </w:rPr>
        <w:t>Online Travel Agencies (OTAs)</w:t>
      </w:r>
      <w:r w:rsidRPr="695DD6CD" w:rsidR="07888DC3">
        <w:rPr>
          <w:rFonts w:ascii="Aptos" w:hAnsi="Aptos" w:eastAsia="Aptos" w:cs="Aptos"/>
          <w:b w:val="0"/>
          <w:bCs w:val="0"/>
          <w:noProof w:val="0"/>
          <w:sz w:val="24"/>
          <w:szCs w:val="24"/>
          <w:lang w:val="en-US"/>
        </w:rPr>
        <w:t xml:space="preserve"> and peer-to-peer platforms (like Airbnb) has outpaced traditional legislative cycles. Two specific sub-challenges exist:</w:t>
      </w:r>
    </w:p>
    <w:p xmlns:wp14="http://schemas.microsoft.com/office/word/2010/wordml" w:rsidP="695DD6CD" wp14:paraId="5C2D6A2A" wp14:textId="5E0AF095">
      <w:pPr>
        <w:pStyle w:val="ListParagraph"/>
        <w:numPr>
          <w:ilvl w:val="0"/>
          <w:numId w:val="1"/>
        </w:numPr>
        <w:spacing w:before="240" w:beforeAutospacing="off" w:after="240" w:afterAutospacing="off"/>
        <w:rPr>
          <w:rFonts w:ascii="Aptos" w:hAnsi="Aptos" w:eastAsia="Aptos" w:cs="Aptos"/>
          <w:b w:val="0"/>
          <w:bCs w:val="0"/>
          <w:noProof w:val="0"/>
          <w:sz w:val="24"/>
          <w:szCs w:val="24"/>
          <w:lang w:val="en-US"/>
        </w:rPr>
      </w:pPr>
      <w:r w:rsidRPr="695DD6CD" w:rsidR="07888DC3">
        <w:rPr>
          <w:rFonts w:ascii="Aptos" w:hAnsi="Aptos" w:eastAsia="Aptos" w:cs="Aptos"/>
          <w:b w:val="0"/>
          <w:bCs w:val="0"/>
          <w:noProof w:val="0"/>
          <w:sz w:val="24"/>
          <w:szCs w:val="24"/>
          <w:lang w:val="en-US"/>
        </w:rPr>
        <w:t>Data Privacy:</w:t>
      </w:r>
      <w:r w:rsidRPr="695DD6CD" w:rsidR="07888DC3">
        <w:rPr>
          <w:rFonts w:ascii="Aptos" w:hAnsi="Aptos" w:eastAsia="Aptos" w:cs="Aptos"/>
          <w:b w:val="0"/>
          <w:bCs w:val="0"/>
          <w:noProof w:val="0"/>
          <w:sz w:val="24"/>
          <w:szCs w:val="24"/>
          <w:lang w:val="en-US"/>
        </w:rPr>
        <w:t xml:space="preserve"> The fragmentation between strict frameworks like the EU’s GDPR and more relaxed standards in other regions makes uniform data protection </w:t>
      </w:r>
      <w:r w:rsidRPr="695DD6CD" w:rsidR="07888DC3">
        <w:rPr>
          <w:rFonts w:ascii="Aptos" w:hAnsi="Aptos" w:eastAsia="Aptos" w:cs="Aptos"/>
          <w:b w:val="0"/>
          <w:bCs w:val="0"/>
          <w:noProof w:val="0"/>
          <w:sz w:val="24"/>
          <w:szCs w:val="24"/>
          <w:lang w:val="en-US"/>
        </w:rPr>
        <w:t>nearly impossible</w:t>
      </w:r>
      <w:r w:rsidRPr="695DD6CD" w:rsidR="07888DC3">
        <w:rPr>
          <w:rFonts w:ascii="Aptos" w:hAnsi="Aptos" w:eastAsia="Aptos" w:cs="Aptos"/>
          <w:b w:val="0"/>
          <w:bCs w:val="0"/>
          <w:noProof w:val="0"/>
          <w:sz w:val="24"/>
          <w:szCs w:val="24"/>
          <w:lang w:val="en-US"/>
        </w:rPr>
        <w:t>.</w:t>
      </w:r>
    </w:p>
    <w:p xmlns:wp14="http://schemas.microsoft.com/office/word/2010/wordml" w:rsidP="695DD6CD" wp14:paraId="6DA91471" wp14:textId="1EF5CCA8">
      <w:pPr>
        <w:pStyle w:val="ListParagraph"/>
        <w:numPr>
          <w:ilvl w:val="0"/>
          <w:numId w:val="1"/>
        </w:numPr>
        <w:spacing w:before="240" w:beforeAutospacing="off" w:after="240" w:afterAutospacing="off"/>
        <w:rPr>
          <w:rFonts w:ascii="Aptos" w:hAnsi="Aptos" w:eastAsia="Aptos" w:cs="Aptos"/>
          <w:b w:val="0"/>
          <w:bCs w:val="0"/>
          <w:noProof w:val="0"/>
          <w:sz w:val="24"/>
          <w:szCs w:val="24"/>
          <w:lang w:val="en-US"/>
        </w:rPr>
      </w:pPr>
      <w:r w:rsidRPr="695DD6CD" w:rsidR="07888DC3">
        <w:rPr>
          <w:rFonts w:ascii="Aptos" w:hAnsi="Aptos" w:eastAsia="Aptos" w:cs="Aptos"/>
          <w:b w:val="0"/>
          <w:bCs w:val="0"/>
          <w:noProof w:val="0"/>
          <w:sz w:val="24"/>
          <w:szCs w:val="24"/>
          <w:lang w:val="en-US"/>
        </w:rPr>
        <w:t>Algorithmic Transparency:</w:t>
      </w:r>
      <w:r w:rsidRPr="695DD6CD" w:rsidR="07888DC3">
        <w:rPr>
          <w:rFonts w:ascii="Aptos" w:hAnsi="Aptos" w:eastAsia="Aptos" w:cs="Aptos"/>
          <w:b w:val="0"/>
          <w:bCs w:val="0"/>
          <w:noProof w:val="0"/>
          <w:sz w:val="24"/>
          <w:szCs w:val="24"/>
          <w:lang w:val="en-US"/>
        </w:rPr>
        <w:t xml:space="preserve"> The use of AI for dynamic pricing can lead to "dark patterns" that manipulate consumer behavior. Regulating these </w:t>
      </w:r>
      <w:r w:rsidRPr="695DD6CD" w:rsidR="07888DC3">
        <w:rPr>
          <w:rFonts w:ascii="Aptos" w:hAnsi="Aptos" w:eastAsia="Aptos" w:cs="Aptos"/>
          <w:b w:val="0"/>
          <w:bCs w:val="0"/>
          <w:noProof w:val="0"/>
          <w:sz w:val="24"/>
          <w:szCs w:val="24"/>
          <w:lang w:val="en-US"/>
        </w:rPr>
        <w:t>requires</w:t>
      </w:r>
      <w:r w:rsidRPr="695DD6CD" w:rsidR="07888DC3">
        <w:rPr>
          <w:rFonts w:ascii="Aptos" w:hAnsi="Aptos" w:eastAsia="Aptos" w:cs="Aptos"/>
          <w:b w:val="0"/>
          <w:bCs w:val="0"/>
          <w:noProof w:val="0"/>
          <w:sz w:val="24"/>
          <w:szCs w:val="24"/>
          <w:lang w:val="en-US"/>
        </w:rPr>
        <w:t xml:space="preserve"> a level of technical </w:t>
      </w:r>
      <w:r w:rsidRPr="695DD6CD" w:rsidR="07888DC3">
        <w:rPr>
          <w:rFonts w:ascii="Aptos" w:hAnsi="Aptos" w:eastAsia="Aptos" w:cs="Aptos"/>
          <w:b w:val="0"/>
          <w:bCs w:val="0"/>
          <w:noProof w:val="0"/>
          <w:sz w:val="24"/>
          <w:szCs w:val="24"/>
          <w:lang w:val="en-US"/>
        </w:rPr>
        <w:t>expertise</w:t>
      </w:r>
      <w:r w:rsidRPr="695DD6CD" w:rsidR="07888DC3">
        <w:rPr>
          <w:rFonts w:ascii="Aptos" w:hAnsi="Aptos" w:eastAsia="Aptos" w:cs="Aptos"/>
          <w:b w:val="0"/>
          <w:bCs w:val="0"/>
          <w:noProof w:val="0"/>
          <w:sz w:val="24"/>
          <w:szCs w:val="24"/>
          <w:lang w:val="en-US"/>
        </w:rPr>
        <w:t xml:space="preserve"> that many national tourism ministries currently lack, leading to inconsistent enforcement across borders.</w:t>
      </w:r>
    </w:p>
    <w:p xmlns:wp14="http://schemas.microsoft.com/office/word/2010/wordml" w:rsidP="695DD6CD" wp14:paraId="00EC87D2" wp14:textId="3C70B1D2">
      <w:pPr>
        <w:pStyle w:val="Heading3"/>
        <w:spacing w:before="281" w:beforeAutospacing="off" w:after="281" w:afterAutospacing="off"/>
        <w:rPr>
          <w:rFonts w:ascii="Aptos" w:hAnsi="Aptos" w:eastAsia="Aptos" w:cs="Aptos"/>
          <w:b w:val="0"/>
          <w:bCs w:val="0"/>
          <w:noProof w:val="0"/>
          <w:sz w:val="28"/>
          <w:szCs w:val="28"/>
          <w:lang w:val="en-US"/>
        </w:rPr>
      </w:pPr>
      <w:r w:rsidRPr="695DD6CD" w:rsidR="07888DC3">
        <w:rPr>
          <w:rFonts w:ascii="Aptos" w:hAnsi="Aptos" w:eastAsia="Aptos" w:cs="Aptos"/>
          <w:b w:val="0"/>
          <w:bCs w:val="0"/>
          <w:noProof w:val="0"/>
          <w:sz w:val="28"/>
          <w:szCs w:val="28"/>
          <w:lang w:val="en-US"/>
        </w:rPr>
        <w:t>3. Economic Disparities and Competitive Advantage</w:t>
      </w:r>
    </w:p>
    <w:p xmlns:wp14="http://schemas.microsoft.com/office/word/2010/wordml" w:rsidP="695DD6CD" wp14:paraId="2F308A9D" wp14:textId="7507C871">
      <w:pPr>
        <w:spacing w:before="240" w:beforeAutospacing="off" w:after="240" w:afterAutospacing="off"/>
        <w:rPr>
          <w:rFonts w:ascii="Aptos" w:hAnsi="Aptos" w:eastAsia="Aptos" w:cs="Aptos"/>
          <w:b w:val="0"/>
          <w:bCs w:val="0"/>
          <w:noProof w:val="0"/>
          <w:sz w:val="24"/>
          <w:szCs w:val="24"/>
          <w:lang w:val="en-US"/>
        </w:rPr>
      </w:pPr>
      <w:r w:rsidRPr="695DD6CD" w:rsidR="07888DC3">
        <w:rPr>
          <w:rFonts w:ascii="Aptos" w:hAnsi="Aptos" w:eastAsia="Aptos" w:cs="Aptos"/>
          <w:b w:val="0"/>
          <w:bCs w:val="0"/>
          <w:noProof w:val="0"/>
          <w:sz w:val="24"/>
          <w:szCs w:val="24"/>
          <w:lang w:val="en-US"/>
        </w:rPr>
        <w:t xml:space="preserve">There is a significant tension between consumer rights and economic development. Developing nations often perceive high consumer protection standards—such as mandatory immediate refund schemes—as an </w:t>
      </w:r>
      <w:r w:rsidRPr="695DD6CD" w:rsidR="07888DC3">
        <w:rPr>
          <w:rFonts w:ascii="Aptos" w:hAnsi="Aptos" w:eastAsia="Aptos" w:cs="Aptos"/>
          <w:b w:val="0"/>
          <w:bCs w:val="0"/>
          <w:noProof w:val="0"/>
          <w:sz w:val="24"/>
          <w:szCs w:val="24"/>
          <w:lang w:val="en-US"/>
        </w:rPr>
        <w:t>economic burden</w:t>
      </w:r>
      <w:r w:rsidRPr="695DD6CD" w:rsidR="07888DC3">
        <w:rPr>
          <w:rFonts w:ascii="Aptos" w:hAnsi="Aptos" w:eastAsia="Aptos" w:cs="Aptos"/>
          <w:b w:val="0"/>
          <w:bCs w:val="0"/>
          <w:noProof w:val="0"/>
          <w:sz w:val="24"/>
          <w:szCs w:val="24"/>
          <w:lang w:val="en-US"/>
        </w:rPr>
        <w:t xml:space="preserve"> on their Small and Medium Enterprises (SMEs).</w:t>
      </w:r>
    </w:p>
    <w:p xmlns:wp14="http://schemas.microsoft.com/office/word/2010/wordml" w:rsidP="695DD6CD" wp14:paraId="4045A69E" wp14:textId="54D9631F">
      <w:pPr>
        <w:spacing w:before="240" w:beforeAutospacing="off" w:after="240" w:afterAutospacing="off"/>
        <w:rPr>
          <w:rFonts w:ascii="Aptos" w:hAnsi="Aptos" w:eastAsia="Aptos" w:cs="Aptos"/>
          <w:b w:val="0"/>
          <w:bCs w:val="0"/>
          <w:noProof w:val="0"/>
          <w:sz w:val="24"/>
          <w:szCs w:val="24"/>
          <w:lang w:val="en-US"/>
        </w:rPr>
      </w:pPr>
      <w:r w:rsidRPr="695DD6CD" w:rsidR="07888DC3">
        <w:rPr>
          <w:rFonts w:ascii="Aptos" w:hAnsi="Aptos" w:eastAsia="Aptos" w:cs="Aptos"/>
          <w:b w:val="0"/>
          <w:bCs w:val="0"/>
          <w:noProof w:val="0"/>
          <w:sz w:val="24"/>
          <w:szCs w:val="24"/>
          <w:lang w:val="en-US"/>
        </w:rPr>
        <w:t>If a developing destination imposes expensive insurance and bond requirements on local tour operators to match international standards, it may increase the cost of travel, making that destination less competitive compared to neighbors with "softer" regulations. This creates a "race to the bottom" where countries compete by offering fewer protections to keep prices low.</w:t>
      </w:r>
    </w:p>
    <w:p xmlns:wp14="http://schemas.microsoft.com/office/word/2010/wordml" w:rsidP="695DD6CD" wp14:paraId="7D624654" wp14:textId="7A2B9FD8">
      <w:pPr>
        <w:pStyle w:val="Heading3"/>
        <w:spacing w:before="281" w:beforeAutospacing="off" w:after="281" w:afterAutospacing="off"/>
        <w:rPr>
          <w:rFonts w:ascii="Aptos" w:hAnsi="Aptos" w:eastAsia="Aptos" w:cs="Aptos"/>
          <w:b w:val="0"/>
          <w:bCs w:val="0"/>
          <w:noProof w:val="0"/>
          <w:sz w:val="28"/>
          <w:szCs w:val="28"/>
          <w:lang w:val="en-US"/>
        </w:rPr>
      </w:pPr>
      <w:r w:rsidRPr="695DD6CD" w:rsidR="07888DC3">
        <w:rPr>
          <w:rFonts w:ascii="Aptos" w:hAnsi="Aptos" w:eastAsia="Aptos" w:cs="Aptos"/>
          <w:b w:val="0"/>
          <w:bCs w:val="0"/>
          <w:noProof w:val="0"/>
          <w:sz w:val="28"/>
          <w:szCs w:val="28"/>
          <w:lang w:val="en-US"/>
        </w:rPr>
        <w:t>4. The "Soft Law" Limitation</w:t>
      </w:r>
    </w:p>
    <w:p xmlns:wp14="http://schemas.microsoft.com/office/word/2010/wordml" w:rsidP="695DD6CD" wp14:paraId="257A4CE4" wp14:textId="4FD40DC3">
      <w:pPr>
        <w:spacing w:before="240" w:beforeAutospacing="off" w:after="240" w:afterAutospacing="off"/>
        <w:rPr>
          <w:rFonts w:ascii="Aptos" w:hAnsi="Aptos" w:eastAsia="Aptos" w:cs="Aptos"/>
          <w:b w:val="0"/>
          <w:bCs w:val="0"/>
          <w:noProof w:val="0"/>
          <w:sz w:val="24"/>
          <w:szCs w:val="24"/>
          <w:lang w:val="en-US"/>
        </w:rPr>
      </w:pPr>
      <w:r w:rsidRPr="695DD6CD" w:rsidR="07888DC3">
        <w:rPr>
          <w:rFonts w:ascii="Aptos" w:hAnsi="Aptos" w:eastAsia="Aptos" w:cs="Aptos"/>
          <w:b w:val="0"/>
          <w:bCs w:val="0"/>
          <w:noProof w:val="0"/>
          <w:sz w:val="24"/>
          <w:szCs w:val="24"/>
          <w:lang w:val="en-US"/>
        </w:rPr>
        <w:t xml:space="preserve">Most global instruments, including the ICPT, are classified as </w:t>
      </w:r>
      <w:r w:rsidRPr="695DD6CD" w:rsidR="07888DC3">
        <w:rPr>
          <w:rFonts w:ascii="Aptos" w:hAnsi="Aptos" w:eastAsia="Aptos" w:cs="Aptos"/>
          <w:b w:val="0"/>
          <w:bCs w:val="0"/>
          <w:noProof w:val="0"/>
          <w:sz w:val="24"/>
          <w:szCs w:val="24"/>
          <w:lang w:val="en-US"/>
        </w:rPr>
        <w:t>"soft law."</w:t>
      </w:r>
      <w:r w:rsidRPr="695DD6CD" w:rsidR="07888DC3">
        <w:rPr>
          <w:rFonts w:ascii="Aptos" w:hAnsi="Aptos" w:eastAsia="Aptos" w:cs="Aptos"/>
          <w:b w:val="0"/>
          <w:bCs w:val="0"/>
          <w:noProof w:val="0"/>
          <w:sz w:val="24"/>
          <w:szCs w:val="24"/>
          <w:lang w:val="en-US"/>
        </w:rPr>
        <w:t xml:space="preserve"> They are non-binding guidelines that rely on the voluntary political will of individual states. Without a central global authority to impose sanctions or a mandatory treaty, harmonization </w:t>
      </w:r>
      <w:r w:rsidRPr="695DD6CD" w:rsidR="07888DC3">
        <w:rPr>
          <w:rFonts w:ascii="Aptos" w:hAnsi="Aptos" w:eastAsia="Aptos" w:cs="Aptos"/>
          <w:b w:val="0"/>
          <w:bCs w:val="0"/>
          <w:noProof w:val="0"/>
          <w:sz w:val="24"/>
          <w:szCs w:val="24"/>
          <w:lang w:val="en-US"/>
        </w:rPr>
        <w:t>remains</w:t>
      </w:r>
      <w:r w:rsidRPr="695DD6CD" w:rsidR="07888DC3">
        <w:rPr>
          <w:rFonts w:ascii="Aptos" w:hAnsi="Aptos" w:eastAsia="Aptos" w:cs="Aptos"/>
          <w:b w:val="0"/>
          <w:bCs w:val="0"/>
          <w:noProof w:val="0"/>
          <w:sz w:val="24"/>
          <w:szCs w:val="24"/>
          <w:lang w:val="en-US"/>
        </w:rPr>
        <w:t xml:space="preserve"> a patchwork of bilateral agreements rather than a cohesive global system.</w:t>
      </w:r>
    </w:p>
    <w:p xmlns:wp14="http://schemas.microsoft.com/office/word/2010/wordml" wp14:paraId="3E53D748" wp14:textId="05A88CD6">
      <w:pPr>
        <w:rPr>
          <w:b w:val="0"/>
          <w:bCs w:val="0"/>
        </w:rPr>
      </w:pPr>
    </w:p>
    <w:p xmlns:wp14="http://schemas.microsoft.com/office/word/2010/wordml" w:rsidP="695DD6CD" wp14:paraId="02814E3D" wp14:textId="5B4A5F43">
      <w:pPr>
        <w:spacing w:before="240" w:beforeAutospacing="off" w:after="240" w:afterAutospacing="off"/>
        <w:rPr>
          <w:rFonts w:ascii="Aptos" w:hAnsi="Aptos" w:eastAsia="Aptos" w:cs="Aptos"/>
          <w:b w:val="0"/>
          <w:bCs w:val="0"/>
          <w:noProof w:val="0"/>
          <w:sz w:val="24"/>
          <w:szCs w:val="24"/>
          <w:lang w:val="en-US"/>
        </w:rPr>
      </w:pPr>
      <w:r w:rsidRPr="695DD6CD" w:rsidR="07888DC3">
        <w:rPr>
          <w:rFonts w:ascii="Aptos" w:hAnsi="Aptos" w:eastAsia="Aptos" w:cs="Aptos"/>
          <w:b w:val="0"/>
          <w:bCs w:val="0"/>
          <w:noProof w:val="0"/>
          <w:sz w:val="24"/>
          <w:szCs w:val="24"/>
          <w:lang w:val="en-US"/>
        </w:rPr>
        <w:t>References:</w:t>
      </w:r>
    </w:p>
    <w:p xmlns:wp14="http://schemas.microsoft.com/office/word/2010/wordml" w:rsidP="695DD6CD" wp14:paraId="04974007" wp14:textId="3A8D304A">
      <w:pPr>
        <w:pStyle w:val="ListParagraph"/>
        <w:numPr>
          <w:ilvl w:val="0"/>
          <w:numId w:val="2"/>
        </w:numPr>
        <w:spacing w:before="240" w:beforeAutospacing="off" w:after="240" w:afterAutospacing="off"/>
        <w:rPr>
          <w:rFonts w:ascii="Aptos" w:hAnsi="Aptos" w:eastAsia="Aptos" w:cs="Aptos"/>
          <w:b w:val="0"/>
          <w:bCs w:val="0"/>
          <w:noProof w:val="0"/>
          <w:sz w:val="24"/>
          <w:szCs w:val="24"/>
          <w:lang w:val="en-US"/>
        </w:rPr>
      </w:pPr>
      <w:r w:rsidRPr="695DD6CD" w:rsidR="07888DC3">
        <w:rPr>
          <w:rFonts w:ascii="Aptos" w:hAnsi="Aptos" w:eastAsia="Aptos" w:cs="Aptos"/>
          <w:b w:val="0"/>
          <w:bCs w:val="0"/>
          <w:noProof w:val="0"/>
          <w:sz w:val="24"/>
          <w:szCs w:val="24"/>
          <w:lang w:val="en-US"/>
        </w:rPr>
        <w:t xml:space="preserve">UN Tourism (2021). </w:t>
      </w:r>
      <w:r w:rsidRPr="695DD6CD" w:rsidR="07888DC3">
        <w:rPr>
          <w:rFonts w:ascii="Aptos" w:hAnsi="Aptos" w:eastAsia="Aptos" w:cs="Aptos"/>
          <w:b w:val="0"/>
          <w:bCs w:val="0"/>
          <w:i w:val="1"/>
          <w:iCs w:val="1"/>
          <w:noProof w:val="0"/>
          <w:sz w:val="24"/>
          <w:szCs w:val="24"/>
          <w:lang w:val="en-US"/>
        </w:rPr>
        <w:t>International Code for the Protection of Tourists</w:t>
      </w:r>
      <w:r w:rsidRPr="695DD6CD" w:rsidR="07888DC3">
        <w:rPr>
          <w:rFonts w:ascii="Aptos" w:hAnsi="Aptos" w:eastAsia="Aptos" w:cs="Aptos"/>
          <w:b w:val="0"/>
          <w:bCs w:val="0"/>
          <w:noProof w:val="0"/>
          <w:sz w:val="24"/>
          <w:szCs w:val="24"/>
          <w:lang w:val="en-US"/>
        </w:rPr>
        <w:t>.</w:t>
      </w:r>
    </w:p>
    <w:p xmlns:wp14="http://schemas.microsoft.com/office/word/2010/wordml" w:rsidP="695DD6CD" wp14:paraId="6261E7EF" wp14:textId="756E4B10">
      <w:pPr>
        <w:pStyle w:val="ListParagraph"/>
        <w:numPr>
          <w:ilvl w:val="0"/>
          <w:numId w:val="2"/>
        </w:numPr>
        <w:spacing w:before="240" w:beforeAutospacing="off" w:after="240" w:afterAutospacing="off"/>
        <w:rPr>
          <w:rFonts w:ascii="Aptos" w:hAnsi="Aptos" w:eastAsia="Aptos" w:cs="Aptos"/>
          <w:b w:val="0"/>
          <w:bCs w:val="0"/>
          <w:noProof w:val="0"/>
          <w:sz w:val="24"/>
          <w:szCs w:val="24"/>
          <w:lang w:val="en-US"/>
        </w:rPr>
      </w:pPr>
      <w:r w:rsidRPr="695DD6CD" w:rsidR="07888DC3">
        <w:rPr>
          <w:rFonts w:ascii="Aptos" w:hAnsi="Aptos" w:eastAsia="Aptos" w:cs="Aptos"/>
          <w:b w:val="0"/>
          <w:bCs w:val="0"/>
          <w:noProof w:val="0"/>
          <w:sz w:val="24"/>
          <w:szCs w:val="24"/>
          <w:lang w:val="en-US"/>
        </w:rPr>
        <w:t xml:space="preserve">UNCTAD (2024). </w:t>
      </w:r>
      <w:r w:rsidRPr="695DD6CD" w:rsidR="07888DC3">
        <w:rPr>
          <w:rFonts w:ascii="Aptos" w:hAnsi="Aptos" w:eastAsia="Aptos" w:cs="Aptos"/>
          <w:b w:val="0"/>
          <w:bCs w:val="0"/>
          <w:i w:val="1"/>
          <w:iCs w:val="1"/>
          <w:noProof w:val="0"/>
          <w:sz w:val="24"/>
          <w:szCs w:val="24"/>
          <w:lang w:val="en-US"/>
        </w:rPr>
        <w:t>Protecting Consumers as Tourists: Policy Challenges in the Digital Age</w:t>
      </w:r>
      <w:r w:rsidRPr="695DD6CD" w:rsidR="07888DC3">
        <w:rPr>
          <w:rFonts w:ascii="Aptos" w:hAnsi="Aptos" w:eastAsia="Aptos" w:cs="Aptos"/>
          <w:b w:val="0"/>
          <w:bCs w:val="0"/>
          <w:noProof w:val="0"/>
          <w:sz w:val="24"/>
          <w:szCs w:val="24"/>
          <w:lang w:val="en-US"/>
        </w:rPr>
        <w:t>.</w:t>
      </w:r>
    </w:p>
    <w:p xmlns:wp14="http://schemas.microsoft.com/office/word/2010/wordml" w:rsidP="695DD6CD" wp14:paraId="7D3F5DBD" wp14:textId="2049F1E0">
      <w:pPr>
        <w:pStyle w:val="ListParagraph"/>
        <w:numPr>
          <w:ilvl w:val="0"/>
          <w:numId w:val="2"/>
        </w:numPr>
        <w:spacing w:before="240" w:beforeAutospacing="off" w:after="240" w:afterAutospacing="off"/>
        <w:rPr>
          <w:rFonts w:ascii="Aptos" w:hAnsi="Aptos" w:eastAsia="Aptos" w:cs="Aptos"/>
          <w:b w:val="0"/>
          <w:bCs w:val="0"/>
          <w:noProof w:val="0"/>
          <w:sz w:val="24"/>
          <w:szCs w:val="24"/>
          <w:lang w:val="en-US"/>
        </w:rPr>
      </w:pPr>
      <w:r w:rsidRPr="695DD6CD" w:rsidR="07888DC3">
        <w:rPr>
          <w:rFonts w:ascii="Aptos" w:hAnsi="Aptos" w:eastAsia="Aptos" w:cs="Aptos"/>
          <w:b w:val="0"/>
          <w:bCs w:val="0"/>
          <w:noProof w:val="0"/>
          <w:sz w:val="24"/>
          <w:szCs w:val="24"/>
          <w:lang w:val="en-US"/>
        </w:rPr>
        <w:t xml:space="preserve">Consumers International (2022). </w:t>
      </w:r>
      <w:r w:rsidRPr="695DD6CD" w:rsidR="07888DC3">
        <w:rPr>
          <w:rFonts w:ascii="Aptos" w:hAnsi="Aptos" w:eastAsia="Aptos" w:cs="Aptos"/>
          <w:b w:val="0"/>
          <w:bCs w:val="0"/>
          <w:i w:val="1"/>
          <w:iCs w:val="1"/>
          <w:noProof w:val="0"/>
          <w:sz w:val="24"/>
          <w:szCs w:val="24"/>
          <w:lang w:val="en-US"/>
        </w:rPr>
        <w:t>The Global Consumer Protection and Empowerment Index</w:t>
      </w:r>
      <w:r w:rsidRPr="695DD6CD" w:rsidR="07888DC3">
        <w:rPr>
          <w:rFonts w:ascii="Aptos" w:hAnsi="Aptos" w:eastAsia="Aptos" w:cs="Aptos"/>
          <w:b w:val="0"/>
          <w:bCs w:val="0"/>
          <w:noProof w:val="0"/>
          <w:sz w:val="24"/>
          <w:szCs w:val="24"/>
          <w:lang w:val="en-US"/>
        </w:rPr>
        <w:t>.</w:t>
      </w:r>
    </w:p>
    <w:p xmlns:wp14="http://schemas.microsoft.com/office/word/2010/wordml" w:rsidP="695DD6CD" wp14:paraId="40B2113C" wp14:textId="784B5653">
      <w:pPr>
        <w:pStyle w:val="ListParagraph"/>
        <w:numPr>
          <w:ilvl w:val="0"/>
          <w:numId w:val="2"/>
        </w:numPr>
        <w:spacing w:before="240" w:beforeAutospacing="off" w:after="240" w:afterAutospacing="off"/>
        <w:rPr>
          <w:rFonts w:ascii="Aptos" w:hAnsi="Aptos" w:eastAsia="Aptos" w:cs="Aptos"/>
          <w:b w:val="0"/>
          <w:bCs w:val="0"/>
          <w:noProof w:val="0"/>
          <w:sz w:val="24"/>
          <w:szCs w:val="24"/>
          <w:lang w:val="en-US"/>
        </w:rPr>
      </w:pPr>
      <w:r w:rsidRPr="695DD6CD" w:rsidR="07888DC3">
        <w:rPr>
          <w:rFonts w:ascii="Aptos" w:hAnsi="Aptos" w:eastAsia="Aptos" w:cs="Aptos"/>
          <w:b w:val="0"/>
          <w:bCs w:val="0"/>
          <w:noProof w:val="0"/>
          <w:sz w:val="24"/>
          <w:szCs w:val="24"/>
          <w:lang w:val="en-US"/>
        </w:rPr>
        <w:t xml:space="preserve">OECD (2025). </w:t>
      </w:r>
      <w:r w:rsidRPr="695DD6CD" w:rsidR="07888DC3">
        <w:rPr>
          <w:rFonts w:ascii="Aptos" w:hAnsi="Aptos" w:eastAsia="Aptos" w:cs="Aptos"/>
          <w:b w:val="0"/>
          <w:bCs w:val="0"/>
          <w:i w:val="1"/>
          <w:iCs w:val="1"/>
          <w:noProof w:val="0"/>
          <w:sz w:val="24"/>
          <w:szCs w:val="24"/>
          <w:lang w:val="en-US"/>
        </w:rPr>
        <w:t>Consumer Protection in the Era of Digital Transformation</w:t>
      </w:r>
      <w:r w:rsidRPr="695DD6CD" w:rsidR="07888DC3">
        <w:rPr>
          <w:rFonts w:ascii="Aptos" w:hAnsi="Aptos" w:eastAsia="Aptos" w:cs="Aptos"/>
          <w:b w:val="0"/>
          <w:bCs w:val="0"/>
          <w:noProof w:val="0"/>
          <w:sz w:val="24"/>
          <w:szCs w:val="24"/>
          <w:lang w:val="en-US"/>
        </w:rPr>
        <w:t>.</w:t>
      </w:r>
    </w:p>
    <w:p xmlns:wp14="http://schemas.microsoft.com/office/word/2010/wordml" w:rsidP="695DD6CD" wp14:paraId="7E1DCEB4" wp14:textId="470994A5">
      <w:pPr>
        <w:pStyle w:val="ListParagraph"/>
        <w:numPr>
          <w:ilvl w:val="0"/>
          <w:numId w:val="2"/>
        </w:numPr>
        <w:spacing w:before="240" w:beforeAutospacing="off" w:after="240" w:afterAutospacing="off"/>
        <w:rPr>
          <w:rFonts w:ascii="Aptos" w:hAnsi="Aptos" w:eastAsia="Aptos" w:cs="Aptos"/>
          <w:b w:val="0"/>
          <w:bCs w:val="0"/>
          <w:noProof w:val="0"/>
          <w:sz w:val="24"/>
          <w:szCs w:val="24"/>
          <w:lang w:val="en-US"/>
        </w:rPr>
      </w:pPr>
      <w:r w:rsidRPr="695DD6CD" w:rsidR="07888DC3">
        <w:rPr>
          <w:rFonts w:ascii="Aptos" w:hAnsi="Aptos" w:eastAsia="Aptos" w:cs="Aptos"/>
          <w:b w:val="0"/>
          <w:bCs w:val="0"/>
          <w:noProof w:val="0"/>
          <w:sz w:val="24"/>
          <w:szCs w:val="24"/>
          <w:lang w:val="en-US"/>
        </w:rPr>
        <w:t xml:space="preserve">Svantesson, D. J. B. (2020). </w:t>
      </w:r>
      <w:r w:rsidRPr="695DD6CD" w:rsidR="07888DC3">
        <w:rPr>
          <w:rFonts w:ascii="Aptos" w:hAnsi="Aptos" w:eastAsia="Aptos" w:cs="Aptos"/>
          <w:b w:val="0"/>
          <w:bCs w:val="0"/>
          <w:i w:val="1"/>
          <w:iCs w:val="1"/>
          <w:noProof w:val="0"/>
          <w:sz w:val="24"/>
          <w:szCs w:val="24"/>
          <w:lang w:val="en-US"/>
        </w:rPr>
        <w:t>Private International Law and the Internet</w:t>
      </w:r>
      <w:r w:rsidRPr="695DD6CD" w:rsidR="07888DC3">
        <w:rPr>
          <w:rFonts w:ascii="Aptos" w:hAnsi="Aptos" w:eastAsia="Aptos" w:cs="Aptos"/>
          <w:b w:val="0"/>
          <w:bCs w:val="0"/>
          <w:noProof w:val="0"/>
          <w:sz w:val="24"/>
          <w:szCs w:val="24"/>
          <w:lang w:val="en-US"/>
        </w:rPr>
        <w:t>.</w:t>
      </w:r>
    </w:p>
    <w:p xmlns:wp14="http://schemas.microsoft.com/office/word/2010/wordml" wp14:paraId="2C078E63" wp14:textId="175133BC">
      <w:pPr>
        <w:rPr>
          <w:b w:val="0"/>
          <w:bCs w:val="0"/>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
    <w:nsid w:val="1ef8528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1edd4bf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DC28658"/>
    <w:rsid w:val="07888DC3"/>
    <w:rsid w:val="1DC28658"/>
    <w:rsid w:val="695DD6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89F7A0"/>
  <w15:chartTrackingRefBased/>
  <w15:docId w15:val="{5269DD82-E274-4D3C-AEC6-09904F9E728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2">
    <w:uiPriority w:val="9"/>
    <w:name w:val="heading 2"/>
    <w:basedOn w:val="Normal"/>
    <w:next w:val="Normal"/>
    <w:unhideWhenUsed/>
    <w:qFormat/>
    <w:rsid w:val="695DD6CD"/>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695DD6CD"/>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695DD6CD"/>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db4822a60a304a5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2026-02-25T19:45:16.4678789Z</dcterms:created>
  <dcterms:modified xsi:type="dcterms:W3CDTF">2026-02-25T19:45:56.7656276Z</dcterms:modified>
  <dc:creator>Muneet Kumar Bhagat</dc:creator>
  <lastModifiedBy>Muneet Kumar Bhagat</lastModifiedBy>
</coreProperties>
</file>