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3204C" w14:textId="77777777" w:rsidR="0019504D" w:rsidRPr="0050100F" w:rsidRDefault="0019504D" w:rsidP="00454AA4">
      <w:pPr>
        <w:spacing w:line="480" w:lineRule="auto"/>
        <w:rPr>
          <w:rFonts w:asciiTheme="majorBidi" w:hAnsiTheme="majorBidi" w:cstheme="majorBidi"/>
          <w:lang w:val="en-US"/>
        </w:rPr>
      </w:pPr>
      <w:r w:rsidRPr="0050100F">
        <w:rPr>
          <w:rFonts w:asciiTheme="majorBidi" w:hAnsiTheme="majorBidi" w:cstheme="majorBidi"/>
          <w:noProof/>
          <w:lang w:val="en-US"/>
        </w:rPr>
        <w:drawing>
          <wp:anchor distT="0" distB="0" distL="114300" distR="114300" simplePos="0" relativeHeight="251658240" behindDoc="1" locked="0" layoutInCell="1" allowOverlap="1" wp14:anchorId="56DB6B28" wp14:editId="3AAACDD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91AC9AB" w14:textId="77777777" w:rsidR="00661030" w:rsidRPr="0050100F" w:rsidRDefault="00C21EBA" w:rsidP="00454AA4">
      <w:pPr>
        <w:spacing w:line="480" w:lineRule="auto"/>
        <w:rPr>
          <w:rFonts w:asciiTheme="majorBidi" w:hAnsiTheme="majorBidi" w:cstheme="majorBidi"/>
          <w:b/>
          <w:bCs/>
          <w:lang w:val="en-US"/>
        </w:rPr>
      </w:pPr>
      <w:r w:rsidRPr="0050100F">
        <w:rPr>
          <w:rFonts w:asciiTheme="majorBidi" w:hAnsiTheme="majorBidi" w:cstheme="majorBidi"/>
          <w:b/>
          <w:bCs/>
          <w:lang w:val="en-US"/>
        </w:rPr>
        <w:t>Planning</w:t>
      </w:r>
      <w:r w:rsidR="00661030" w:rsidRPr="0050100F">
        <w:rPr>
          <w:rFonts w:asciiTheme="majorBidi" w:hAnsiTheme="majorBidi" w:cstheme="majorBidi"/>
          <w:b/>
          <w:bCs/>
          <w:lang w:val="en-US"/>
        </w:rPr>
        <w:t xml:space="preserve"> and </w:t>
      </w:r>
      <w:r w:rsidRPr="0050100F">
        <w:rPr>
          <w:rFonts w:asciiTheme="majorBidi" w:hAnsiTheme="majorBidi" w:cstheme="majorBidi"/>
          <w:b/>
          <w:bCs/>
          <w:lang w:val="en-US"/>
        </w:rPr>
        <w:t>Management</w:t>
      </w:r>
      <w:r w:rsidR="00661030" w:rsidRPr="0050100F">
        <w:rPr>
          <w:rFonts w:asciiTheme="majorBidi" w:hAnsiTheme="majorBidi" w:cstheme="majorBidi"/>
          <w:b/>
          <w:bCs/>
          <w:lang w:val="en-US"/>
        </w:rPr>
        <w:t xml:space="preserve"> </w:t>
      </w:r>
      <w:r w:rsidRPr="0050100F">
        <w:rPr>
          <w:rFonts w:asciiTheme="majorBidi" w:hAnsiTheme="majorBidi" w:cstheme="majorBidi"/>
          <w:b/>
          <w:bCs/>
          <w:lang w:val="en-US"/>
        </w:rPr>
        <w:t xml:space="preserve">of Sustainable </w:t>
      </w:r>
      <w:r w:rsidR="00661030" w:rsidRPr="0050100F">
        <w:rPr>
          <w:rFonts w:asciiTheme="majorBidi" w:hAnsiTheme="majorBidi" w:cstheme="majorBidi"/>
          <w:b/>
          <w:bCs/>
          <w:lang w:val="en-US"/>
        </w:rPr>
        <w:t>Tourism</w:t>
      </w:r>
      <w:r w:rsidRPr="0050100F">
        <w:rPr>
          <w:rFonts w:asciiTheme="majorBidi" w:hAnsiTheme="majorBidi" w:cstheme="majorBidi"/>
          <w:b/>
          <w:bCs/>
          <w:lang w:val="en-US"/>
        </w:rPr>
        <w:t xml:space="preserve"> Spaces</w:t>
      </w:r>
    </w:p>
    <w:p w14:paraId="43B78418" w14:textId="77777777" w:rsidR="0019504D" w:rsidRPr="0050100F" w:rsidRDefault="0019504D" w:rsidP="00454AA4">
      <w:pPr>
        <w:spacing w:line="480" w:lineRule="auto"/>
        <w:rPr>
          <w:rFonts w:asciiTheme="majorBidi" w:hAnsiTheme="majorBidi" w:cstheme="majorBidi"/>
          <w:lang w:val="en-US"/>
        </w:rPr>
      </w:pPr>
      <w:r w:rsidRPr="0050100F">
        <w:rPr>
          <w:rFonts w:asciiTheme="majorBidi" w:hAnsiTheme="majorBidi" w:cstheme="majorBidi"/>
          <w:lang w:val="en-US"/>
        </w:rPr>
        <w:t xml:space="preserve">Assignment </w:t>
      </w:r>
      <w:r w:rsidR="00237278" w:rsidRPr="0050100F">
        <w:rPr>
          <w:rFonts w:asciiTheme="majorBidi" w:hAnsiTheme="majorBidi" w:cstheme="majorBidi"/>
          <w:lang w:val="en-US"/>
        </w:rPr>
        <w:t>9</w:t>
      </w:r>
    </w:p>
    <w:p w14:paraId="72535C24" w14:textId="77777777" w:rsidR="00637F36" w:rsidRPr="0050100F" w:rsidRDefault="009673A4" w:rsidP="00454AA4">
      <w:pPr>
        <w:spacing w:line="480" w:lineRule="auto"/>
        <w:rPr>
          <w:rFonts w:asciiTheme="majorBidi" w:hAnsiTheme="majorBidi" w:cstheme="majorBidi"/>
          <w:lang w:val="en-US"/>
        </w:rPr>
      </w:pPr>
      <w:r w:rsidRPr="0050100F">
        <w:rPr>
          <w:rFonts w:asciiTheme="majorBidi" w:hAnsiTheme="majorBidi" w:cstheme="majorBidi"/>
          <w:lang w:val="en-US"/>
        </w:rPr>
        <w:t>03</w:t>
      </w:r>
      <w:r w:rsidR="0019504D" w:rsidRPr="0050100F">
        <w:rPr>
          <w:rFonts w:asciiTheme="majorBidi" w:hAnsiTheme="majorBidi" w:cstheme="majorBidi"/>
          <w:lang w:val="en-US"/>
        </w:rPr>
        <w:t>.</w:t>
      </w:r>
      <w:r w:rsidR="006F6FA4" w:rsidRPr="0050100F">
        <w:rPr>
          <w:rFonts w:asciiTheme="majorBidi" w:hAnsiTheme="majorBidi" w:cstheme="majorBidi"/>
          <w:lang w:val="en-US"/>
        </w:rPr>
        <w:t>1</w:t>
      </w:r>
      <w:r w:rsidR="0019504D" w:rsidRPr="0050100F">
        <w:rPr>
          <w:rFonts w:asciiTheme="majorBidi" w:hAnsiTheme="majorBidi" w:cstheme="majorBidi"/>
          <w:lang w:val="en-US"/>
        </w:rPr>
        <w:t>.2025</w:t>
      </w:r>
    </w:p>
    <w:p w14:paraId="0302BF9A" w14:textId="50219D6F" w:rsidR="0019504D" w:rsidRPr="0050100F" w:rsidRDefault="00637F36" w:rsidP="00454AA4">
      <w:pPr>
        <w:spacing w:line="480" w:lineRule="auto"/>
        <w:rPr>
          <w:rFonts w:asciiTheme="majorBidi" w:hAnsiTheme="majorBidi" w:cstheme="majorBidi"/>
          <w:lang w:val="en-US"/>
        </w:rPr>
      </w:pPr>
      <w:r w:rsidRPr="0050100F">
        <w:rPr>
          <w:rFonts w:asciiTheme="majorBidi" w:hAnsiTheme="majorBidi" w:cstheme="majorBidi"/>
          <w:lang w:val="en-US"/>
        </w:rPr>
        <w:br/>
        <w:t>Student Name</w:t>
      </w:r>
      <w:r w:rsidR="0050100F" w:rsidRPr="0050100F">
        <w:rPr>
          <w:rFonts w:asciiTheme="majorBidi" w:hAnsiTheme="majorBidi" w:cstheme="majorBidi"/>
          <w:lang w:val="en-US"/>
        </w:rPr>
        <w:t xml:space="preserve"> : </w:t>
      </w:r>
      <w:r w:rsidR="00F65E00" w:rsidRPr="00F65E00">
        <w:rPr>
          <w:rFonts w:asciiTheme="majorBidi" w:hAnsiTheme="majorBidi" w:cstheme="majorBidi"/>
          <w:lang w:val="en-US"/>
        </w:rPr>
        <w:t>Ramandeep</w:t>
      </w:r>
      <w:r w:rsidRPr="0050100F">
        <w:rPr>
          <w:rFonts w:asciiTheme="majorBidi" w:hAnsiTheme="majorBidi" w:cstheme="majorBidi"/>
          <w:lang w:val="en-US"/>
        </w:rPr>
        <w:br/>
      </w:r>
    </w:p>
    <w:p w14:paraId="1B7D276D" w14:textId="77777777" w:rsidR="0019504D" w:rsidRPr="0050100F" w:rsidRDefault="0019504D" w:rsidP="00454AA4">
      <w:pPr>
        <w:spacing w:line="480" w:lineRule="auto"/>
        <w:rPr>
          <w:rFonts w:asciiTheme="majorBidi" w:hAnsiTheme="majorBidi" w:cstheme="majorBidi"/>
        </w:rPr>
      </w:pPr>
    </w:p>
    <w:p w14:paraId="2B5E4815" w14:textId="77777777" w:rsidR="0019504D" w:rsidRPr="0050100F" w:rsidRDefault="0019504D" w:rsidP="00454AA4">
      <w:pPr>
        <w:spacing w:line="480" w:lineRule="auto"/>
        <w:rPr>
          <w:rFonts w:asciiTheme="majorBidi" w:hAnsiTheme="majorBidi" w:cstheme="majorBidi"/>
        </w:rPr>
      </w:pPr>
    </w:p>
    <w:p w14:paraId="5B00230C" w14:textId="77777777" w:rsidR="0019504D" w:rsidRPr="0050100F" w:rsidRDefault="0019504D" w:rsidP="00454AA4">
      <w:pPr>
        <w:spacing w:line="480" w:lineRule="auto"/>
        <w:rPr>
          <w:rFonts w:asciiTheme="majorBidi" w:hAnsiTheme="majorBidi" w:cstheme="majorBidi"/>
        </w:rPr>
      </w:pPr>
    </w:p>
    <w:p w14:paraId="2F4D5FE6" w14:textId="77777777" w:rsidR="00CD620A" w:rsidRPr="0050100F" w:rsidRDefault="00CD620A" w:rsidP="00454AA4">
      <w:pPr>
        <w:spacing w:line="480" w:lineRule="auto"/>
        <w:rPr>
          <w:rFonts w:asciiTheme="majorBidi" w:hAnsiTheme="majorBidi" w:cstheme="majorBidi"/>
        </w:rPr>
      </w:pPr>
    </w:p>
    <w:p w14:paraId="4664BA8B" w14:textId="77777777" w:rsidR="009673A4" w:rsidRPr="0050100F" w:rsidRDefault="009673A4" w:rsidP="00454AA4">
      <w:pPr>
        <w:spacing w:line="480" w:lineRule="auto"/>
        <w:rPr>
          <w:rFonts w:asciiTheme="majorBidi" w:hAnsiTheme="majorBidi" w:cstheme="majorBidi"/>
        </w:rPr>
      </w:pPr>
    </w:p>
    <w:p w14:paraId="215544FC" w14:textId="77777777" w:rsidR="009673A4" w:rsidRPr="0050100F" w:rsidRDefault="009673A4" w:rsidP="00454AA4">
      <w:pPr>
        <w:spacing w:line="480" w:lineRule="auto"/>
        <w:rPr>
          <w:rFonts w:asciiTheme="majorBidi" w:hAnsiTheme="majorBidi" w:cstheme="majorBidi"/>
        </w:rPr>
      </w:pPr>
    </w:p>
    <w:p w14:paraId="5F442CE5" w14:textId="77777777" w:rsidR="009673A4" w:rsidRPr="0050100F" w:rsidRDefault="009673A4" w:rsidP="00454AA4">
      <w:pPr>
        <w:spacing w:line="480" w:lineRule="auto"/>
        <w:rPr>
          <w:rFonts w:asciiTheme="majorBidi" w:hAnsiTheme="majorBidi" w:cstheme="majorBidi"/>
        </w:rPr>
      </w:pPr>
    </w:p>
    <w:p w14:paraId="557B339E" w14:textId="77777777" w:rsidR="009673A4" w:rsidRPr="0050100F" w:rsidRDefault="009673A4" w:rsidP="00454AA4">
      <w:pPr>
        <w:spacing w:line="480" w:lineRule="auto"/>
        <w:rPr>
          <w:rFonts w:asciiTheme="majorBidi" w:hAnsiTheme="majorBidi" w:cstheme="majorBidi"/>
        </w:rPr>
      </w:pPr>
    </w:p>
    <w:p w14:paraId="727819D9" w14:textId="77777777" w:rsidR="009673A4" w:rsidRPr="0050100F" w:rsidRDefault="009673A4" w:rsidP="00454AA4">
      <w:pPr>
        <w:spacing w:line="480" w:lineRule="auto"/>
        <w:rPr>
          <w:rFonts w:asciiTheme="majorBidi" w:hAnsiTheme="majorBidi" w:cstheme="majorBidi"/>
        </w:rPr>
      </w:pPr>
    </w:p>
    <w:p w14:paraId="048497CA" w14:textId="77777777" w:rsidR="009673A4" w:rsidRPr="0050100F" w:rsidRDefault="009673A4" w:rsidP="00454AA4">
      <w:pPr>
        <w:spacing w:line="480" w:lineRule="auto"/>
        <w:rPr>
          <w:rFonts w:asciiTheme="majorBidi" w:hAnsiTheme="majorBidi" w:cstheme="majorBidi"/>
        </w:rPr>
      </w:pPr>
    </w:p>
    <w:p w14:paraId="6DBFE0E5" w14:textId="77777777" w:rsidR="009673A4" w:rsidRPr="0050100F" w:rsidRDefault="009673A4" w:rsidP="00454AA4">
      <w:pPr>
        <w:spacing w:line="480" w:lineRule="auto"/>
        <w:rPr>
          <w:rFonts w:asciiTheme="majorBidi" w:hAnsiTheme="majorBidi" w:cstheme="majorBidi"/>
        </w:rPr>
      </w:pPr>
    </w:p>
    <w:p w14:paraId="75239A17" w14:textId="77777777" w:rsidR="00237278" w:rsidRPr="0050100F" w:rsidRDefault="00CD620A" w:rsidP="00454AA4">
      <w:pPr>
        <w:spacing w:line="480" w:lineRule="auto"/>
        <w:rPr>
          <w:rFonts w:asciiTheme="majorBidi" w:hAnsiTheme="majorBidi" w:cstheme="majorBidi"/>
          <w:b/>
          <w:bCs/>
          <w:lang w:val="en-US"/>
        </w:rPr>
      </w:pPr>
      <w:r w:rsidRPr="0050100F">
        <w:rPr>
          <w:rFonts w:asciiTheme="majorBidi" w:hAnsiTheme="majorBidi" w:cstheme="majorBidi"/>
          <w:b/>
          <w:bCs/>
          <w:lang w:val="en-US"/>
        </w:rPr>
        <w:t xml:space="preserve">In no more than </w:t>
      </w:r>
      <w:r w:rsidR="00D92F0A" w:rsidRPr="0050100F">
        <w:rPr>
          <w:rFonts w:asciiTheme="majorBidi" w:hAnsiTheme="majorBidi" w:cstheme="majorBidi"/>
          <w:b/>
          <w:bCs/>
          <w:lang w:val="en-US"/>
        </w:rPr>
        <w:t>1</w:t>
      </w:r>
      <w:r w:rsidR="00795108" w:rsidRPr="0050100F">
        <w:rPr>
          <w:rFonts w:asciiTheme="majorBidi" w:hAnsiTheme="majorBidi" w:cstheme="majorBidi"/>
          <w:b/>
          <w:bCs/>
          <w:lang w:val="en-US"/>
        </w:rPr>
        <w:t>000</w:t>
      </w:r>
      <w:r w:rsidRPr="0050100F">
        <w:rPr>
          <w:rFonts w:asciiTheme="majorBidi" w:hAnsiTheme="majorBidi" w:cstheme="majorBidi"/>
          <w:b/>
          <w:bCs/>
          <w:lang w:val="en-US"/>
        </w:rPr>
        <w:t xml:space="preserve"> words,</w:t>
      </w:r>
      <w:r w:rsidR="00795108" w:rsidRPr="0050100F">
        <w:rPr>
          <w:rFonts w:asciiTheme="majorBidi" w:hAnsiTheme="majorBidi" w:cstheme="majorBidi"/>
          <w:b/>
          <w:bCs/>
          <w:lang w:val="en-US"/>
        </w:rPr>
        <w:t xml:space="preserve"> and 2-3 refer</w:t>
      </w:r>
      <w:r w:rsidR="009673A4" w:rsidRPr="0050100F">
        <w:rPr>
          <w:rFonts w:asciiTheme="majorBidi" w:hAnsiTheme="majorBidi" w:cstheme="majorBidi"/>
          <w:b/>
          <w:bCs/>
          <w:lang w:val="en-US"/>
        </w:rPr>
        <w:t>e</w:t>
      </w:r>
      <w:r w:rsidR="00795108" w:rsidRPr="0050100F">
        <w:rPr>
          <w:rFonts w:asciiTheme="majorBidi" w:hAnsiTheme="majorBidi" w:cstheme="majorBidi"/>
          <w:b/>
          <w:bCs/>
          <w:lang w:val="en-US"/>
        </w:rPr>
        <w:t>nces,</w:t>
      </w:r>
      <w:r w:rsidRPr="0050100F">
        <w:rPr>
          <w:rFonts w:asciiTheme="majorBidi" w:hAnsiTheme="majorBidi" w:cstheme="majorBidi"/>
          <w:b/>
          <w:bCs/>
          <w:lang w:val="en-US"/>
        </w:rPr>
        <w:t xml:space="preserve"> </w:t>
      </w:r>
      <w:r w:rsidR="00237278" w:rsidRPr="0050100F">
        <w:rPr>
          <w:rFonts w:asciiTheme="majorBidi" w:hAnsiTheme="majorBidi" w:cstheme="majorBidi"/>
          <w:b/>
          <w:bCs/>
          <w:lang w:val="en-US"/>
        </w:rPr>
        <w:t>explain</w:t>
      </w:r>
      <w:r w:rsidR="009673A4" w:rsidRPr="0050100F">
        <w:rPr>
          <w:rFonts w:asciiTheme="majorBidi" w:hAnsiTheme="majorBidi" w:cstheme="majorBidi"/>
          <w:b/>
          <w:bCs/>
          <w:lang w:val="en-US"/>
        </w:rPr>
        <w:t xml:space="preserve"> one of the two following questions</w:t>
      </w:r>
      <w:r w:rsidR="00237278" w:rsidRPr="0050100F">
        <w:rPr>
          <w:rFonts w:asciiTheme="majorBidi" w:hAnsiTheme="majorBidi" w:cstheme="majorBidi"/>
          <w:b/>
          <w:bCs/>
          <w:lang w:val="en-US"/>
        </w:rPr>
        <w:t>:</w:t>
      </w:r>
    </w:p>
    <w:p w14:paraId="71DB4995" w14:textId="77777777" w:rsidR="00237278" w:rsidRPr="0050100F" w:rsidRDefault="00237278" w:rsidP="00454AA4">
      <w:pPr>
        <w:spacing w:line="480" w:lineRule="auto"/>
        <w:rPr>
          <w:rFonts w:asciiTheme="majorBidi" w:hAnsiTheme="majorBidi" w:cstheme="majorBidi"/>
          <w:b/>
          <w:bCs/>
          <w:lang w:val="en-US"/>
        </w:rPr>
      </w:pPr>
    </w:p>
    <w:p w14:paraId="04A2C242" w14:textId="77777777" w:rsidR="009673A4" w:rsidRPr="0050100F" w:rsidRDefault="009673A4" w:rsidP="00454AA4">
      <w:pPr>
        <w:pStyle w:val="ListParagraph"/>
        <w:numPr>
          <w:ilvl w:val="0"/>
          <w:numId w:val="11"/>
        </w:numPr>
        <w:spacing w:line="480" w:lineRule="auto"/>
        <w:rPr>
          <w:rFonts w:asciiTheme="majorBidi" w:hAnsiTheme="majorBidi" w:cstheme="majorBidi"/>
          <w:lang w:val="en-US"/>
        </w:rPr>
      </w:pPr>
      <w:r w:rsidRPr="0050100F">
        <w:rPr>
          <w:rFonts w:asciiTheme="majorBidi" w:hAnsiTheme="majorBidi" w:cstheme="majorBidi"/>
          <w:lang w:val="en-US"/>
        </w:rPr>
        <w:t>How can tourism accelerate cultural homogenization in host communities?</w:t>
      </w:r>
    </w:p>
    <w:p w14:paraId="73030B75" w14:textId="77777777" w:rsidR="00795108" w:rsidRPr="0050100F" w:rsidRDefault="009673A4" w:rsidP="00454AA4">
      <w:pPr>
        <w:pStyle w:val="ListParagraph"/>
        <w:numPr>
          <w:ilvl w:val="0"/>
          <w:numId w:val="11"/>
        </w:numPr>
        <w:spacing w:line="480" w:lineRule="auto"/>
        <w:rPr>
          <w:rFonts w:asciiTheme="majorBidi" w:hAnsiTheme="majorBidi" w:cstheme="majorBidi"/>
          <w:lang w:val="en-US"/>
        </w:rPr>
      </w:pPr>
      <w:r w:rsidRPr="0050100F">
        <w:rPr>
          <w:rFonts w:asciiTheme="majorBidi" w:hAnsiTheme="majorBidi" w:cstheme="majorBidi"/>
          <w:lang w:val="en-US"/>
        </w:rPr>
        <w:t>What strategies can tourism businesses use to survive during commercial disruptions (pandemics, recessions)?</w:t>
      </w:r>
    </w:p>
    <w:p w14:paraId="1787FC0F" w14:textId="77777777" w:rsidR="0050100F" w:rsidRPr="0050100F" w:rsidRDefault="0050100F" w:rsidP="00454AA4">
      <w:pPr>
        <w:pStyle w:val="ListParagraph"/>
        <w:spacing w:line="480" w:lineRule="auto"/>
        <w:rPr>
          <w:rFonts w:asciiTheme="majorBidi" w:hAnsiTheme="majorBidi" w:cstheme="majorBidi"/>
          <w:lang w:val="en-US"/>
        </w:rPr>
      </w:pPr>
    </w:p>
    <w:p w14:paraId="765B49F6" w14:textId="77777777" w:rsidR="00454AA4" w:rsidRPr="0050100F" w:rsidRDefault="00454AA4" w:rsidP="00454AA4">
      <w:pPr>
        <w:pStyle w:val="ListParagraph"/>
        <w:spacing w:line="480" w:lineRule="auto"/>
        <w:rPr>
          <w:rFonts w:asciiTheme="majorBidi" w:hAnsiTheme="majorBidi" w:cstheme="majorBidi"/>
          <w:lang w:val="en-US"/>
        </w:rPr>
      </w:pPr>
    </w:p>
    <w:p w14:paraId="15413C90" w14:textId="7D5416D2" w:rsidR="00454AA4" w:rsidRDefault="00454AA4" w:rsidP="00454AA4">
      <w:pPr>
        <w:pStyle w:val="ListParagraph"/>
        <w:spacing w:line="480" w:lineRule="auto"/>
        <w:rPr>
          <w:rFonts w:asciiTheme="majorBidi" w:hAnsiTheme="majorBidi" w:cstheme="majorBidi"/>
          <w:b/>
          <w:bCs/>
          <w:lang w:val="en-GB"/>
        </w:rPr>
      </w:pPr>
      <w:r w:rsidRPr="00454AA4">
        <w:rPr>
          <w:rFonts w:asciiTheme="majorBidi" w:hAnsiTheme="majorBidi" w:cstheme="majorBidi"/>
          <w:b/>
          <w:bCs/>
          <w:lang w:val="en-GB"/>
        </w:rPr>
        <w:t xml:space="preserve">Tourism and the Acceleration of Cultural Homogenization in Host Communities </w:t>
      </w:r>
    </w:p>
    <w:p w14:paraId="764F947D" w14:textId="77777777" w:rsidR="00454AA4" w:rsidRPr="00454AA4" w:rsidRDefault="00454AA4" w:rsidP="00454AA4">
      <w:pPr>
        <w:pStyle w:val="ListParagraph"/>
        <w:spacing w:line="480" w:lineRule="auto"/>
        <w:rPr>
          <w:rFonts w:asciiTheme="majorBidi" w:hAnsiTheme="majorBidi" w:cstheme="majorBidi"/>
          <w:b/>
          <w:bCs/>
          <w:lang w:val="en-GB"/>
        </w:rPr>
      </w:pPr>
    </w:p>
    <w:p w14:paraId="02BD0EFF"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Tourism is widely recognized for its economic contributions and its role in facilitating intercultural understanding. However, the industry also has profound cultural implications, particularly in the form of </w:t>
      </w:r>
      <w:r w:rsidRPr="00454AA4">
        <w:rPr>
          <w:rFonts w:asciiTheme="majorBidi" w:hAnsiTheme="majorBidi" w:cstheme="majorBidi"/>
          <w:b/>
          <w:bCs/>
          <w:lang w:val="en-GB"/>
        </w:rPr>
        <w:t>cultural homogenization</w:t>
      </w:r>
      <w:r w:rsidRPr="00454AA4">
        <w:rPr>
          <w:rFonts w:asciiTheme="majorBidi" w:hAnsiTheme="majorBidi" w:cstheme="majorBidi"/>
          <w:lang w:val="en-GB"/>
        </w:rPr>
        <w:t>, where local cultures become increasingly similar to dominant global cultures. This process occurs due to the commercialization of culture, the spread of global brands, shifts in local lifestyles, and the restructuring of physical environments to meet international tourist expectations. As destinations adapt to the demands of global tourism, their cultural uniqueness often becomes diluted.</w:t>
      </w:r>
    </w:p>
    <w:p w14:paraId="29F50655"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A major factor that accelerates cultural homogenization is the </w:t>
      </w:r>
      <w:r w:rsidRPr="00454AA4">
        <w:rPr>
          <w:rFonts w:asciiTheme="majorBidi" w:hAnsiTheme="majorBidi" w:cstheme="majorBidi"/>
          <w:b/>
          <w:bCs/>
          <w:lang w:val="en-GB"/>
        </w:rPr>
        <w:t>commercialization and simplification of cultural traditions</w:t>
      </w:r>
      <w:r w:rsidRPr="00454AA4">
        <w:rPr>
          <w:rFonts w:asciiTheme="majorBidi" w:hAnsiTheme="majorBidi" w:cstheme="majorBidi"/>
          <w:lang w:val="en-GB"/>
        </w:rPr>
        <w:t>. In tourism-driven economies, traditional rituals, artistic expressions, and community festivals are often reshaped into easily consumable experiences for visitors. According to McKercher and du Cros (2020), tourism frequently transforms cultural practices into staged performances that prioritize marketability over authenticity. For example, ceremonies that historically held spiritual or communal value may be shortened, stylized, and performed multiple times a day for tourists. Over time, both locals and visitors begin to accept these modified forms as the “real” culture, eroding traditional meaning.</w:t>
      </w:r>
    </w:p>
    <w:p w14:paraId="3800BF7A"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The tourism industry also encourages the </w:t>
      </w:r>
      <w:r w:rsidRPr="00454AA4">
        <w:rPr>
          <w:rFonts w:asciiTheme="majorBidi" w:hAnsiTheme="majorBidi" w:cstheme="majorBidi"/>
          <w:b/>
          <w:bCs/>
          <w:lang w:val="en-GB"/>
        </w:rPr>
        <w:t>spread of global consumer brands and standardized services</w:t>
      </w:r>
      <w:r w:rsidRPr="00454AA4">
        <w:rPr>
          <w:rFonts w:asciiTheme="majorBidi" w:hAnsiTheme="majorBidi" w:cstheme="majorBidi"/>
          <w:lang w:val="en-GB"/>
        </w:rPr>
        <w:t xml:space="preserve">, further contributing to cultural homogenization. International hotel chains, restaurant franchises, and retail stores often replicate the same designs, menus, and service protocols regardless of location. As Guttentag (2019) notes, multinational hospitality corporations promote uniformity to maintain consistent </w:t>
      </w:r>
      <w:r w:rsidRPr="00454AA4">
        <w:rPr>
          <w:rFonts w:asciiTheme="majorBidi" w:hAnsiTheme="majorBidi" w:cstheme="majorBidi"/>
          <w:lang w:val="en-GB"/>
        </w:rPr>
        <w:lastRenderedPageBreak/>
        <w:t>brand identity, which leads to the disappearance of local hospitality styles. For instance, a city like Bangkok now features the same Starbucks, KFC, and Zara stores found in London or New York. Local businesses often feel pressure to imitate these global brands, resulting in menus, packaging, and customer service practices that mirror international standards rather than local traditions.</w:t>
      </w:r>
    </w:p>
    <w:p w14:paraId="0FBE7893"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Another significant mechanism is the </w:t>
      </w:r>
      <w:r w:rsidRPr="00454AA4">
        <w:rPr>
          <w:rFonts w:asciiTheme="majorBidi" w:hAnsiTheme="majorBidi" w:cstheme="majorBidi"/>
          <w:b/>
          <w:bCs/>
          <w:lang w:val="en-GB"/>
        </w:rPr>
        <w:t>adoption of globalized lifestyles and values</w:t>
      </w:r>
      <w:r w:rsidRPr="00454AA4">
        <w:rPr>
          <w:rFonts w:asciiTheme="majorBidi" w:hAnsiTheme="majorBidi" w:cstheme="majorBidi"/>
          <w:lang w:val="en-GB"/>
        </w:rPr>
        <w:t xml:space="preserve"> by </w:t>
      </w:r>
      <w:proofErr w:type="gramStart"/>
      <w:r w:rsidRPr="00454AA4">
        <w:rPr>
          <w:rFonts w:asciiTheme="majorBidi" w:hAnsiTheme="majorBidi" w:cstheme="majorBidi"/>
          <w:lang w:val="en-GB"/>
        </w:rPr>
        <w:t>local residents</w:t>
      </w:r>
      <w:proofErr w:type="gramEnd"/>
      <w:r w:rsidRPr="00454AA4">
        <w:rPr>
          <w:rFonts w:asciiTheme="majorBidi" w:hAnsiTheme="majorBidi" w:cstheme="majorBidi"/>
          <w:lang w:val="en-GB"/>
        </w:rPr>
        <w:t>, particularly younger generations who interact closely with tourists. When locals observe wealthier visitors with high spending power, they may aspire to emulate their fashion trends, technology use, language habits, and leisure activities. Cohen and Cohen (2019) argue that tourism often accelerates cultural hybridization, where traditional values merge with global influences. In heavily visited destinations such as Goa, Bali, or the Dominican Republic, local youth increasingly adopt Western fashion, nightlife culture, and consumer preferences. As a result, traditional social norms and community practices lose prominence, replaced by modern lifestyles that resemble those of tourists.</w:t>
      </w:r>
    </w:p>
    <w:p w14:paraId="19245D4C"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Tourism also reshapes cultural identity through </w:t>
      </w:r>
      <w:r w:rsidRPr="00454AA4">
        <w:rPr>
          <w:rFonts w:asciiTheme="majorBidi" w:hAnsiTheme="majorBidi" w:cstheme="majorBidi"/>
          <w:b/>
          <w:bCs/>
          <w:lang w:val="en-GB"/>
        </w:rPr>
        <w:t>changes in the physical landscape</w:t>
      </w:r>
      <w:r w:rsidRPr="00454AA4">
        <w:rPr>
          <w:rFonts w:asciiTheme="majorBidi" w:hAnsiTheme="majorBidi" w:cstheme="majorBidi"/>
          <w:lang w:val="en-GB"/>
        </w:rPr>
        <w:t>. To attract international visitors, governments and developers often construct modern resorts, airports, shopping districts, and entertainment zones. These structures frequently follow global architectural aesthetics rather than traditional design principles. Saarinen (2020) observes that many tourism hubs now display “placeless architecture,” where buildings look similar regardless of geographic location. As modern structures overshadow traditional homes and historical districts, the physical expression of culture diminishes. Even rural areas experience homogenization as guesthouses and eco-lodges adopt international styles rather than local building materials or traditional layouts.</w:t>
      </w:r>
    </w:p>
    <w:p w14:paraId="231BE170"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lastRenderedPageBreak/>
        <w:t xml:space="preserve">Digital media—especially Instagram, TikTok, and YouTube—further reinforces homogenization by promoting </w:t>
      </w:r>
      <w:r w:rsidRPr="00454AA4">
        <w:rPr>
          <w:rFonts w:asciiTheme="majorBidi" w:hAnsiTheme="majorBidi" w:cstheme="majorBidi"/>
          <w:b/>
          <w:bCs/>
          <w:lang w:val="en-GB"/>
        </w:rPr>
        <w:t>uniform global aesthetics</w:t>
      </w:r>
      <w:r w:rsidRPr="00454AA4">
        <w:rPr>
          <w:rFonts w:asciiTheme="majorBidi" w:hAnsiTheme="majorBidi" w:cstheme="majorBidi"/>
          <w:lang w:val="en-GB"/>
        </w:rPr>
        <w:t>. Tourists increasingly seek “</w:t>
      </w:r>
      <w:proofErr w:type="spellStart"/>
      <w:r w:rsidRPr="00454AA4">
        <w:rPr>
          <w:rFonts w:asciiTheme="majorBidi" w:hAnsiTheme="majorBidi" w:cstheme="majorBidi"/>
          <w:lang w:val="en-GB"/>
        </w:rPr>
        <w:t>Instagrammable</w:t>
      </w:r>
      <w:proofErr w:type="spellEnd"/>
      <w:r w:rsidRPr="00454AA4">
        <w:rPr>
          <w:rFonts w:asciiTheme="majorBidi" w:hAnsiTheme="majorBidi" w:cstheme="majorBidi"/>
          <w:lang w:val="en-GB"/>
        </w:rPr>
        <w:t xml:space="preserve">” locations, and destinations redesign spaces to match these expectations. According to Zeng and Gerritsen (2014), social media amplifies a narrow set of desirable images, encouraging destinations to replicate global trends like neon signs, minimalist cafés, and themed murals. As these aesthetics spread, local businesses often abandon traditional décor and styles in </w:t>
      </w:r>
      <w:proofErr w:type="spellStart"/>
      <w:r w:rsidRPr="00454AA4">
        <w:rPr>
          <w:rFonts w:asciiTheme="majorBidi" w:hAnsiTheme="majorBidi" w:cstheme="majorBidi"/>
          <w:lang w:val="en-GB"/>
        </w:rPr>
        <w:t>favor</w:t>
      </w:r>
      <w:proofErr w:type="spellEnd"/>
      <w:r w:rsidRPr="00454AA4">
        <w:rPr>
          <w:rFonts w:asciiTheme="majorBidi" w:hAnsiTheme="majorBidi" w:cstheme="majorBidi"/>
          <w:lang w:val="en-GB"/>
        </w:rPr>
        <w:t xml:space="preserve"> of global trends that appeal to digital audiences. This trend contributes to the global sameness of tourism districts worldwide.</w:t>
      </w:r>
    </w:p>
    <w:p w14:paraId="7FA43B55"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While tourism undeniably accelerates cultural homogenization, it is not a one-directional or inevitable process. Many destinations now employ </w:t>
      </w:r>
      <w:r w:rsidRPr="00454AA4">
        <w:rPr>
          <w:rFonts w:asciiTheme="majorBidi" w:hAnsiTheme="majorBidi" w:cstheme="majorBidi"/>
          <w:b/>
          <w:bCs/>
          <w:lang w:val="en-GB"/>
        </w:rPr>
        <w:t>culturally sustainable tourism practices</w:t>
      </w:r>
      <w:r w:rsidRPr="00454AA4">
        <w:rPr>
          <w:rFonts w:asciiTheme="majorBidi" w:hAnsiTheme="majorBidi" w:cstheme="majorBidi"/>
          <w:lang w:val="en-GB"/>
        </w:rPr>
        <w:t xml:space="preserve"> to preserve local identity. These include heritage conservation programs, promotion of community-based tourism, and restrictions on foreign franchises in culturally sensitive areas. Additionally, education programs aimed at younger generations can strengthen cultural pride and encourage participation in traditional practices. Policymakers play a crucial role in balancing modernization with cultural preservation, ensuring that economic development does not come at the cost of cultural erosion.</w:t>
      </w:r>
    </w:p>
    <w:p w14:paraId="5A852E2E" w14:textId="77777777" w:rsid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In conclusion, tourism contributes significantly to cultural homogenization through the commercialization of traditions, the spread of global consumer brands, the adoption of global lifestyles, the transformation of physical landscapes, and the influence of digital media. These forces gradually diminish local cultural uniqueness, replacing it with standardized global patterns. However, through intentional cultural stewardship and sustainable tourism strategies, destinations can protect their heritage while still benefiting from tourism’s economic and social advantages.</w:t>
      </w:r>
    </w:p>
    <w:p w14:paraId="1BE30F0B" w14:textId="77777777" w:rsidR="00454AA4" w:rsidRDefault="00454AA4" w:rsidP="00454AA4">
      <w:pPr>
        <w:pStyle w:val="ListParagraph"/>
        <w:spacing w:line="480" w:lineRule="auto"/>
        <w:rPr>
          <w:rFonts w:asciiTheme="majorBidi" w:hAnsiTheme="majorBidi" w:cstheme="majorBidi"/>
          <w:lang w:val="en-GB"/>
        </w:rPr>
      </w:pPr>
    </w:p>
    <w:p w14:paraId="4CBF0345" w14:textId="77777777" w:rsidR="00454AA4" w:rsidRDefault="00454AA4" w:rsidP="00454AA4">
      <w:pPr>
        <w:pStyle w:val="ListParagraph"/>
        <w:spacing w:line="480" w:lineRule="auto"/>
        <w:rPr>
          <w:rFonts w:asciiTheme="majorBidi" w:hAnsiTheme="majorBidi" w:cstheme="majorBidi"/>
          <w:lang w:val="en-GB"/>
        </w:rPr>
      </w:pPr>
    </w:p>
    <w:p w14:paraId="68C11761" w14:textId="77777777" w:rsidR="00454AA4" w:rsidRDefault="00454AA4" w:rsidP="00454AA4">
      <w:pPr>
        <w:pStyle w:val="ListParagraph"/>
        <w:spacing w:line="480" w:lineRule="auto"/>
        <w:rPr>
          <w:rFonts w:asciiTheme="majorBidi" w:hAnsiTheme="majorBidi" w:cstheme="majorBidi"/>
          <w:lang w:val="en-GB"/>
        </w:rPr>
      </w:pPr>
    </w:p>
    <w:p w14:paraId="01441224" w14:textId="77777777" w:rsidR="00454AA4" w:rsidRDefault="00454AA4" w:rsidP="00454AA4">
      <w:pPr>
        <w:pStyle w:val="ListParagraph"/>
        <w:spacing w:line="480" w:lineRule="auto"/>
        <w:rPr>
          <w:rFonts w:asciiTheme="majorBidi" w:hAnsiTheme="majorBidi" w:cstheme="majorBidi"/>
          <w:lang w:val="en-GB"/>
        </w:rPr>
      </w:pPr>
    </w:p>
    <w:p w14:paraId="4D153DDD" w14:textId="77777777" w:rsidR="00454AA4" w:rsidRDefault="00454AA4" w:rsidP="00454AA4">
      <w:pPr>
        <w:pStyle w:val="ListParagraph"/>
        <w:spacing w:line="480" w:lineRule="auto"/>
        <w:rPr>
          <w:rFonts w:asciiTheme="majorBidi" w:hAnsiTheme="majorBidi" w:cstheme="majorBidi"/>
          <w:lang w:val="en-GB"/>
        </w:rPr>
      </w:pPr>
    </w:p>
    <w:p w14:paraId="04D8E3F0" w14:textId="77777777" w:rsidR="00454AA4" w:rsidRDefault="00454AA4" w:rsidP="00454AA4">
      <w:pPr>
        <w:pStyle w:val="ListParagraph"/>
        <w:spacing w:line="480" w:lineRule="auto"/>
        <w:rPr>
          <w:rFonts w:asciiTheme="majorBidi" w:hAnsiTheme="majorBidi" w:cstheme="majorBidi"/>
          <w:lang w:val="en-GB"/>
        </w:rPr>
      </w:pPr>
    </w:p>
    <w:p w14:paraId="7E929834" w14:textId="77777777" w:rsidR="00454AA4" w:rsidRDefault="00454AA4" w:rsidP="00454AA4">
      <w:pPr>
        <w:pStyle w:val="ListParagraph"/>
        <w:spacing w:line="480" w:lineRule="auto"/>
        <w:rPr>
          <w:rFonts w:asciiTheme="majorBidi" w:hAnsiTheme="majorBidi" w:cstheme="majorBidi"/>
          <w:lang w:val="en-GB"/>
        </w:rPr>
      </w:pPr>
    </w:p>
    <w:p w14:paraId="0B9B7B43" w14:textId="77777777" w:rsidR="00454AA4" w:rsidRDefault="00454AA4" w:rsidP="00454AA4">
      <w:pPr>
        <w:pStyle w:val="ListParagraph"/>
        <w:spacing w:line="480" w:lineRule="auto"/>
        <w:rPr>
          <w:rFonts w:asciiTheme="majorBidi" w:hAnsiTheme="majorBidi" w:cstheme="majorBidi"/>
          <w:lang w:val="en-GB"/>
        </w:rPr>
      </w:pPr>
    </w:p>
    <w:p w14:paraId="7E737EB0" w14:textId="77777777" w:rsidR="00454AA4" w:rsidRDefault="00454AA4" w:rsidP="00454AA4">
      <w:pPr>
        <w:pStyle w:val="ListParagraph"/>
        <w:spacing w:line="480" w:lineRule="auto"/>
        <w:rPr>
          <w:rFonts w:asciiTheme="majorBidi" w:hAnsiTheme="majorBidi" w:cstheme="majorBidi"/>
          <w:lang w:val="en-GB"/>
        </w:rPr>
      </w:pPr>
    </w:p>
    <w:p w14:paraId="60AFD51A" w14:textId="77777777" w:rsidR="00454AA4" w:rsidRDefault="00454AA4" w:rsidP="00454AA4">
      <w:pPr>
        <w:pStyle w:val="ListParagraph"/>
        <w:spacing w:line="480" w:lineRule="auto"/>
        <w:rPr>
          <w:rFonts w:asciiTheme="majorBidi" w:hAnsiTheme="majorBidi" w:cstheme="majorBidi"/>
          <w:lang w:val="en-GB"/>
        </w:rPr>
      </w:pPr>
    </w:p>
    <w:p w14:paraId="11C802D7" w14:textId="77777777" w:rsidR="00454AA4" w:rsidRDefault="00454AA4" w:rsidP="00454AA4">
      <w:pPr>
        <w:pStyle w:val="ListParagraph"/>
        <w:spacing w:line="480" w:lineRule="auto"/>
        <w:rPr>
          <w:rFonts w:asciiTheme="majorBidi" w:hAnsiTheme="majorBidi" w:cstheme="majorBidi"/>
          <w:lang w:val="en-GB"/>
        </w:rPr>
      </w:pPr>
    </w:p>
    <w:p w14:paraId="45DF5403" w14:textId="77777777" w:rsidR="00454AA4" w:rsidRDefault="00454AA4" w:rsidP="00454AA4">
      <w:pPr>
        <w:pStyle w:val="ListParagraph"/>
        <w:spacing w:line="480" w:lineRule="auto"/>
        <w:rPr>
          <w:rFonts w:asciiTheme="majorBidi" w:hAnsiTheme="majorBidi" w:cstheme="majorBidi"/>
          <w:lang w:val="en-GB"/>
        </w:rPr>
      </w:pPr>
    </w:p>
    <w:p w14:paraId="5231260E" w14:textId="77777777" w:rsidR="00454AA4" w:rsidRDefault="00454AA4" w:rsidP="00454AA4">
      <w:pPr>
        <w:pStyle w:val="ListParagraph"/>
        <w:spacing w:line="480" w:lineRule="auto"/>
        <w:rPr>
          <w:rFonts w:asciiTheme="majorBidi" w:hAnsiTheme="majorBidi" w:cstheme="majorBidi"/>
          <w:lang w:val="en-GB"/>
        </w:rPr>
      </w:pPr>
    </w:p>
    <w:p w14:paraId="52D5F9C7" w14:textId="77777777" w:rsidR="00454AA4" w:rsidRDefault="00454AA4" w:rsidP="00454AA4">
      <w:pPr>
        <w:pStyle w:val="ListParagraph"/>
        <w:spacing w:line="480" w:lineRule="auto"/>
        <w:rPr>
          <w:rFonts w:asciiTheme="majorBidi" w:hAnsiTheme="majorBidi" w:cstheme="majorBidi"/>
          <w:lang w:val="en-GB"/>
        </w:rPr>
      </w:pPr>
    </w:p>
    <w:p w14:paraId="1AC471F2" w14:textId="77777777" w:rsidR="00454AA4" w:rsidRPr="00454AA4" w:rsidRDefault="00454AA4" w:rsidP="00454AA4">
      <w:pPr>
        <w:pStyle w:val="ListParagraph"/>
        <w:spacing w:line="480" w:lineRule="auto"/>
        <w:rPr>
          <w:rFonts w:asciiTheme="majorBidi" w:hAnsiTheme="majorBidi" w:cstheme="majorBidi"/>
          <w:lang w:val="en-GB"/>
        </w:rPr>
      </w:pPr>
    </w:p>
    <w:p w14:paraId="42496FC1" w14:textId="77777777" w:rsidR="00454AA4" w:rsidRPr="00454AA4" w:rsidRDefault="00454AA4" w:rsidP="00454AA4">
      <w:pPr>
        <w:pStyle w:val="ListParagraph"/>
        <w:spacing w:line="480" w:lineRule="auto"/>
        <w:rPr>
          <w:rFonts w:asciiTheme="majorBidi" w:hAnsiTheme="majorBidi" w:cstheme="majorBidi"/>
          <w:b/>
          <w:bCs/>
          <w:lang w:val="en-GB"/>
        </w:rPr>
      </w:pPr>
      <w:r w:rsidRPr="00454AA4">
        <w:rPr>
          <w:rFonts w:asciiTheme="majorBidi" w:hAnsiTheme="majorBidi" w:cstheme="majorBidi"/>
          <w:b/>
          <w:bCs/>
          <w:lang w:val="en-GB"/>
        </w:rPr>
        <w:t>References (APA)</w:t>
      </w:r>
    </w:p>
    <w:p w14:paraId="16511F2D" w14:textId="77777777" w:rsidR="00454AA4" w:rsidRPr="00454AA4" w:rsidRDefault="00454AA4" w:rsidP="00454AA4">
      <w:pPr>
        <w:pStyle w:val="ListParagraph"/>
        <w:spacing w:line="480" w:lineRule="auto"/>
        <w:rPr>
          <w:rFonts w:asciiTheme="majorBidi" w:hAnsiTheme="majorBidi" w:cstheme="majorBidi"/>
          <w:lang w:val="en-GB"/>
        </w:rPr>
      </w:pPr>
      <w:r w:rsidRPr="00454AA4">
        <w:rPr>
          <w:rFonts w:asciiTheme="majorBidi" w:hAnsiTheme="majorBidi" w:cstheme="majorBidi"/>
          <w:lang w:val="en-GB"/>
        </w:rPr>
        <w:t xml:space="preserve">Cohen, E., &amp; Cohen, S. A. (2019). Tourism, modernization, and cultural transformation. </w:t>
      </w:r>
      <w:r w:rsidRPr="00454AA4">
        <w:rPr>
          <w:rFonts w:asciiTheme="majorBidi" w:hAnsiTheme="majorBidi" w:cstheme="majorBidi"/>
          <w:i/>
          <w:iCs/>
          <w:lang w:val="en-GB"/>
        </w:rPr>
        <w:t>Tourism Recreation Research, 44</w:t>
      </w:r>
      <w:r w:rsidRPr="00454AA4">
        <w:rPr>
          <w:rFonts w:asciiTheme="majorBidi" w:hAnsiTheme="majorBidi" w:cstheme="majorBidi"/>
          <w:lang w:val="en-GB"/>
        </w:rPr>
        <w:t>(2), 137–150.</w:t>
      </w:r>
      <w:r w:rsidRPr="00454AA4">
        <w:rPr>
          <w:rFonts w:asciiTheme="majorBidi" w:hAnsiTheme="majorBidi" w:cstheme="majorBidi"/>
          <w:lang w:val="en-GB"/>
        </w:rPr>
        <w:br/>
        <w:t xml:space="preserve">Guttentag, D. (2019). Progress in tourism management: The globalization of hospitality. </w:t>
      </w:r>
      <w:r w:rsidRPr="00454AA4">
        <w:rPr>
          <w:rFonts w:asciiTheme="majorBidi" w:hAnsiTheme="majorBidi" w:cstheme="majorBidi"/>
          <w:i/>
          <w:iCs/>
          <w:lang w:val="en-GB"/>
        </w:rPr>
        <w:t>Tourism Management, 70</w:t>
      </w:r>
      <w:r w:rsidRPr="00454AA4">
        <w:rPr>
          <w:rFonts w:asciiTheme="majorBidi" w:hAnsiTheme="majorBidi" w:cstheme="majorBidi"/>
          <w:lang w:val="en-GB"/>
        </w:rPr>
        <w:t>, 1–11.</w:t>
      </w:r>
      <w:r w:rsidRPr="00454AA4">
        <w:rPr>
          <w:rFonts w:asciiTheme="majorBidi" w:hAnsiTheme="majorBidi" w:cstheme="majorBidi"/>
          <w:lang w:val="en-GB"/>
        </w:rPr>
        <w:br/>
        <w:t xml:space="preserve">McKercher, B., &amp; du Cros, H. (2020). </w:t>
      </w:r>
      <w:r w:rsidRPr="00454AA4">
        <w:rPr>
          <w:rFonts w:asciiTheme="majorBidi" w:hAnsiTheme="majorBidi" w:cstheme="majorBidi"/>
          <w:i/>
          <w:iCs/>
          <w:lang w:val="en-GB"/>
        </w:rPr>
        <w:t>Cultural tourism: The partnership between tourism and cultural heritage management</w:t>
      </w:r>
      <w:r w:rsidRPr="00454AA4">
        <w:rPr>
          <w:rFonts w:asciiTheme="majorBidi" w:hAnsiTheme="majorBidi" w:cstheme="majorBidi"/>
          <w:lang w:val="en-GB"/>
        </w:rPr>
        <w:t>. Routledge.</w:t>
      </w:r>
      <w:r w:rsidRPr="00454AA4">
        <w:rPr>
          <w:rFonts w:asciiTheme="majorBidi" w:hAnsiTheme="majorBidi" w:cstheme="majorBidi"/>
          <w:lang w:val="en-GB"/>
        </w:rPr>
        <w:br/>
        <w:t xml:space="preserve">Saarinen, J. (2020). Tourism and the construction of place identity. </w:t>
      </w:r>
      <w:r w:rsidRPr="00454AA4">
        <w:rPr>
          <w:rFonts w:asciiTheme="majorBidi" w:hAnsiTheme="majorBidi" w:cstheme="majorBidi"/>
          <w:i/>
          <w:iCs/>
          <w:lang w:val="en-GB"/>
        </w:rPr>
        <w:t>Annals of Tourism Research, 85</w:t>
      </w:r>
      <w:r w:rsidRPr="00454AA4">
        <w:rPr>
          <w:rFonts w:asciiTheme="majorBidi" w:hAnsiTheme="majorBidi" w:cstheme="majorBidi"/>
          <w:lang w:val="en-GB"/>
        </w:rPr>
        <w:t>, 103–125.</w:t>
      </w:r>
      <w:r w:rsidRPr="00454AA4">
        <w:rPr>
          <w:rFonts w:asciiTheme="majorBidi" w:hAnsiTheme="majorBidi" w:cstheme="majorBidi"/>
          <w:lang w:val="en-GB"/>
        </w:rPr>
        <w:br/>
      </w:r>
      <w:r w:rsidRPr="00454AA4">
        <w:rPr>
          <w:rFonts w:asciiTheme="majorBidi" w:hAnsiTheme="majorBidi" w:cstheme="majorBidi"/>
          <w:lang w:val="en-GB"/>
        </w:rPr>
        <w:lastRenderedPageBreak/>
        <w:t xml:space="preserve">Zeng, B., &amp; Gerritsen, R. (2014). What do we know about social media in tourism? </w:t>
      </w:r>
      <w:r w:rsidRPr="00454AA4">
        <w:rPr>
          <w:rFonts w:asciiTheme="majorBidi" w:hAnsiTheme="majorBidi" w:cstheme="majorBidi"/>
          <w:i/>
          <w:iCs/>
          <w:lang w:val="en-GB"/>
        </w:rPr>
        <w:t>Tourism Management Perspectives, 10</w:t>
      </w:r>
      <w:r w:rsidRPr="00454AA4">
        <w:rPr>
          <w:rFonts w:asciiTheme="majorBidi" w:hAnsiTheme="majorBidi" w:cstheme="majorBidi"/>
          <w:lang w:val="en-GB"/>
        </w:rPr>
        <w:t>, 27–36.</w:t>
      </w:r>
    </w:p>
    <w:p w14:paraId="478C2CA7" w14:textId="4772AC1A" w:rsidR="0050100F" w:rsidRPr="0050100F" w:rsidRDefault="0050100F" w:rsidP="00454AA4">
      <w:pPr>
        <w:pStyle w:val="ListParagraph"/>
        <w:spacing w:line="480" w:lineRule="auto"/>
        <w:rPr>
          <w:rFonts w:asciiTheme="majorBidi" w:hAnsiTheme="majorBidi" w:cstheme="majorBidi"/>
          <w:lang w:val="en-US"/>
        </w:rPr>
      </w:pPr>
    </w:p>
    <w:sectPr w:rsidR="0050100F" w:rsidRPr="00501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5E0F987-75EE-49C8-896A-EE9F591645B9}"/>
    <w:embedBold r:id="rId2" w:fontKey="{914A13B8-B57A-4B3A-8B4C-00A7A55859A2}"/>
    <w:embedItalic r:id="rId3" w:fontKey="{D3376A19-A011-48A1-BB2F-5592824D70D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ABDE06C-0CC6-4A22-89B5-1DFE73CDE3FD}"/>
  </w:font>
  <w:font w:name="Calibri Light">
    <w:panose1 w:val="020F0302020204030204"/>
    <w:charset w:val="00"/>
    <w:family w:val="swiss"/>
    <w:pitch w:val="variable"/>
    <w:sig w:usb0="E4002EFF" w:usb1="C000247B" w:usb2="00000009" w:usb3="00000000" w:csb0="000001FF" w:csb1="00000000"/>
    <w:embedRegular r:id="rId5" w:fontKey="{355388FA-6735-4384-BB21-2AEC1DF611F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54AA4"/>
    <w:rsid w:val="00477CAA"/>
    <w:rsid w:val="0050100F"/>
    <w:rsid w:val="00502E29"/>
    <w:rsid w:val="005B0DB3"/>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65E00"/>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9EF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2025-12-08T14:55:00Z</dcterms:created>
  <dcterms:modified xsi:type="dcterms:W3CDTF">2025-12-08T14:55:00Z</dcterms:modified>
</cp:coreProperties>
</file>