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1A806" w14:textId="31176B1F" w:rsidR="000D4D79" w:rsidRPr="006F4A72" w:rsidRDefault="000D4D79" w:rsidP="000D4D79">
      <w:pPr>
        <w:spacing w:line="480" w:lineRule="auto"/>
        <w:jc w:val="center"/>
        <w:rPr>
          <w:rFonts w:ascii="Times New Roman" w:hAnsi="Times New Roman" w:cs="Times New Roman"/>
          <w:color w:val="000000" w:themeColor="text1"/>
          <w:szCs w:val="24"/>
        </w:rPr>
      </w:pPr>
    </w:p>
    <w:p w14:paraId="1CC28812" w14:textId="6A754C31" w:rsidR="000D4D79" w:rsidRPr="006F4A72" w:rsidRDefault="000D4D79" w:rsidP="000D4D79">
      <w:pPr>
        <w:spacing w:line="480" w:lineRule="auto"/>
        <w:jc w:val="center"/>
        <w:rPr>
          <w:rFonts w:ascii="Times New Roman" w:hAnsi="Times New Roman" w:cs="Times New Roman"/>
          <w:color w:val="000000" w:themeColor="text1"/>
          <w:szCs w:val="24"/>
        </w:rPr>
      </w:pPr>
      <w:r w:rsidRPr="006F4A7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505EB8CD" wp14:editId="43D35BF7">
            <wp:simplePos x="0" y="0"/>
            <wp:positionH relativeFrom="margin">
              <wp:posOffset>2505075</wp:posOffset>
            </wp:positionH>
            <wp:positionV relativeFrom="paragraph">
              <wp:posOffset>280670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007BF79" w14:textId="77777777" w:rsidR="000D4D79" w:rsidRPr="006F4A72" w:rsidRDefault="000D4D79" w:rsidP="000D4D79">
      <w:pPr>
        <w:spacing w:line="480" w:lineRule="auto"/>
        <w:jc w:val="center"/>
        <w:rPr>
          <w:rFonts w:ascii="Times New Roman" w:hAnsi="Times New Roman" w:cs="Times New Roman"/>
          <w:color w:val="000000" w:themeColor="text1"/>
          <w:szCs w:val="24"/>
        </w:rPr>
      </w:pPr>
    </w:p>
    <w:p w14:paraId="64EE159D" w14:textId="77777777" w:rsidR="000D4D79" w:rsidRPr="006F4A72" w:rsidRDefault="000D4D79" w:rsidP="000D4D79">
      <w:pPr>
        <w:spacing w:line="480" w:lineRule="auto"/>
        <w:jc w:val="center"/>
        <w:rPr>
          <w:rFonts w:ascii="Times New Roman" w:hAnsi="Times New Roman" w:cs="Times New Roman"/>
          <w:b/>
          <w:bCs/>
          <w:color w:val="000000" w:themeColor="text1"/>
          <w:szCs w:val="24"/>
        </w:rPr>
      </w:pPr>
    </w:p>
    <w:p w14:paraId="7449883B" w14:textId="6DEAD4AE" w:rsidR="000D4D79" w:rsidRPr="006F4A72" w:rsidRDefault="000D4D79" w:rsidP="000D4D79">
      <w:pPr>
        <w:spacing w:line="480" w:lineRule="auto"/>
        <w:jc w:val="center"/>
        <w:rPr>
          <w:rFonts w:ascii="Times New Roman" w:hAnsi="Times New Roman" w:cs="Times New Roman"/>
          <w:b/>
          <w:bCs/>
          <w:color w:val="000000" w:themeColor="text1"/>
          <w:szCs w:val="24"/>
        </w:rPr>
      </w:pPr>
      <w:r w:rsidRPr="006F4A72">
        <w:rPr>
          <w:rFonts w:ascii="Times New Roman" w:hAnsi="Times New Roman" w:cs="Times New Roman"/>
          <w:b/>
          <w:bCs/>
          <w:color w:val="000000" w:themeColor="text1"/>
          <w:szCs w:val="24"/>
        </w:rPr>
        <w:t>Masters in Tourism and Recreation</w:t>
      </w:r>
    </w:p>
    <w:p w14:paraId="43FC2244" w14:textId="77777777" w:rsidR="000D4D79" w:rsidRPr="006F4A72" w:rsidRDefault="000D4D79" w:rsidP="000D4D79">
      <w:pPr>
        <w:spacing w:line="480" w:lineRule="auto"/>
        <w:jc w:val="center"/>
        <w:rPr>
          <w:rFonts w:ascii="Times New Roman" w:hAnsi="Times New Roman" w:cs="Times New Roman"/>
          <w:b/>
          <w:bCs/>
          <w:color w:val="000000" w:themeColor="text1"/>
          <w:szCs w:val="24"/>
        </w:rPr>
      </w:pPr>
      <w:proofErr w:type="spellStart"/>
      <w:r w:rsidRPr="006F4A72">
        <w:rPr>
          <w:rFonts w:ascii="Times New Roman" w:hAnsi="Times New Roman" w:cs="Times New Roman"/>
          <w:b/>
          <w:bCs/>
          <w:color w:val="000000" w:themeColor="text1"/>
          <w:szCs w:val="24"/>
        </w:rPr>
        <w:t>Opera&amp;ons</w:t>
      </w:r>
      <w:proofErr w:type="spellEnd"/>
      <w:r w:rsidRPr="006F4A72">
        <w:rPr>
          <w:rFonts w:ascii="Times New Roman" w:hAnsi="Times New Roman" w:cs="Times New Roman"/>
          <w:b/>
          <w:bCs/>
          <w:color w:val="000000" w:themeColor="text1"/>
          <w:szCs w:val="24"/>
        </w:rPr>
        <w:t xml:space="preserve"> Management in Hospitality </w:t>
      </w:r>
    </w:p>
    <w:p w14:paraId="3ABB54A8" w14:textId="77777777" w:rsidR="000D4D79" w:rsidRPr="006F4A72" w:rsidRDefault="000D4D79" w:rsidP="000D4D79">
      <w:pPr>
        <w:spacing w:line="480" w:lineRule="auto"/>
        <w:jc w:val="center"/>
        <w:rPr>
          <w:rFonts w:ascii="Times New Roman" w:hAnsi="Times New Roman" w:cs="Times New Roman"/>
          <w:b/>
          <w:bCs/>
          <w:color w:val="000000" w:themeColor="text1"/>
          <w:szCs w:val="24"/>
        </w:rPr>
      </w:pPr>
      <w:r w:rsidRPr="006F4A72">
        <w:rPr>
          <w:rFonts w:ascii="Times New Roman" w:hAnsi="Times New Roman" w:cs="Times New Roman"/>
          <w:b/>
          <w:bCs/>
          <w:color w:val="000000" w:themeColor="text1"/>
          <w:szCs w:val="24"/>
        </w:rPr>
        <w:t xml:space="preserve">Assignment 12 </w:t>
      </w:r>
    </w:p>
    <w:p w14:paraId="3FAB9596" w14:textId="77777777" w:rsidR="000D4D79" w:rsidRPr="006F4A72" w:rsidRDefault="000D4D79" w:rsidP="000D4D79">
      <w:pPr>
        <w:spacing w:line="480" w:lineRule="auto"/>
        <w:jc w:val="center"/>
        <w:rPr>
          <w:rFonts w:ascii="Times New Roman" w:hAnsi="Times New Roman" w:cs="Times New Roman"/>
          <w:b/>
          <w:bCs/>
          <w:color w:val="000000" w:themeColor="text1"/>
          <w:szCs w:val="24"/>
        </w:rPr>
      </w:pPr>
      <w:r w:rsidRPr="006F4A72">
        <w:rPr>
          <w:rFonts w:ascii="Times New Roman" w:hAnsi="Times New Roman" w:cs="Times New Roman"/>
          <w:b/>
          <w:bCs/>
          <w:color w:val="000000" w:themeColor="text1"/>
          <w:szCs w:val="24"/>
        </w:rPr>
        <w:t>04.02.2026</w:t>
      </w:r>
    </w:p>
    <w:p w14:paraId="62F50B21" w14:textId="77777777" w:rsidR="000D4D79" w:rsidRPr="006F4A72" w:rsidRDefault="000D4D79">
      <w:pPr>
        <w:rPr>
          <w:rFonts w:ascii="Times New Roman" w:hAnsi="Times New Roman" w:cs="Times New Roman"/>
        </w:rPr>
      </w:pPr>
    </w:p>
    <w:p w14:paraId="561DC56B" w14:textId="77777777" w:rsidR="000D4D79" w:rsidRPr="006F4A72" w:rsidRDefault="000D4D79">
      <w:pPr>
        <w:rPr>
          <w:rFonts w:ascii="Times New Roman" w:hAnsi="Times New Roman" w:cs="Times New Roman"/>
        </w:rPr>
      </w:pPr>
    </w:p>
    <w:p w14:paraId="531986BC" w14:textId="77777777" w:rsidR="000D4D79" w:rsidRPr="006F4A72" w:rsidRDefault="000D4D79">
      <w:pPr>
        <w:rPr>
          <w:rFonts w:ascii="Times New Roman" w:hAnsi="Times New Roman" w:cs="Times New Roman"/>
        </w:rPr>
      </w:pPr>
    </w:p>
    <w:p w14:paraId="20E0F3DF" w14:textId="77777777" w:rsidR="000D4D79" w:rsidRPr="006F4A72" w:rsidRDefault="000D4D79">
      <w:pPr>
        <w:rPr>
          <w:rFonts w:ascii="Times New Roman" w:hAnsi="Times New Roman" w:cs="Times New Roman"/>
        </w:rPr>
      </w:pPr>
    </w:p>
    <w:p w14:paraId="07905919" w14:textId="77777777" w:rsidR="000D4D79" w:rsidRPr="006F4A72" w:rsidRDefault="000D4D79">
      <w:pPr>
        <w:rPr>
          <w:rFonts w:ascii="Times New Roman" w:hAnsi="Times New Roman" w:cs="Times New Roman"/>
        </w:rPr>
      </w:pPr>
    </w:p>
    <w:p w14:paraId="2EC7EDCE" w14:textId="77777777" w:rsidR="006F4A72" w:rsidRPr="006F4A72" w:rsidRDefault="006F4A72">
      <w:pPr>
        <w:rPr>
          <w:rFonts w:ascii="Times New Roman" w:hAnsi="Times New Roman" w:cs="Times New Roman"/>
        </w:rPr>
      </w:pPr>
    </w:p>
    <w:p w14:paraId="2016C257" w14:textId="77777777" w:rsidR="006F4A72" w:rsidRPr="006F4A72" w:rsidRDefault="006F4A72">
      <w:pPr>
        <w:rPr>
          <w:rFonts w:ascii="Times New Roman" w:hAnsi="Times New Roman" w:cs="Times New Roman"/>
        </w:rPr>
      </w:pPr>
    </w:p>
    <w:p w14:paraId="04A3BA61" w14:textId="77777777" w:rsidR="006F4A72" w:rsidRPr="006F4A72" w:rsidRDefault="006F4A72">
      <w:pPr>
        <w:rPr>
          <w:rFonts w:ascii="Times New Roman" w:hAnsi="Times New Roman" w:cs="Times New Roman"/>
        </w:rPr>
      </w:pPr>
    </w:p>
    <w:p w14:paraId="4A7DAC86" w14:textId="77777777" w:rsidR="006F4A72" w:rsidRPr="006F4A72" w:rsidRDefault="006F4A72">
      <w:pPr>
        <w:rPr>
          <w:rFonts w:ascii="Times New Roman" w:hAnsi="Times New Roman" w:cs="Times New Roman"/>
        </w:rPr>
      </w:pPr>
    </w:p>
    <w:p w14:paraId="7010B923" w14:textId="77777777" w:rsidR="006F4A72" w:rsidRPr="006F4A72" w:rsidRDefault="006F4A72">
      <w:pPr>
        <w:rPr>
          <w:rFonts w:ascii="Times New Roman" w:hAnsi="Times New Roman" w:cs="Times New Roman"/>
        </w:rPr>
      </w:pPr>
    </w:p>
    <w:p w14:paraId="7E3A240D" w14:textId="77777777" w:rsidR="006F4A72" w:rsidRPr="006F4A72" w:rsidRDefault="006F4A72">
      <w:pPr>
        <w:rPr>
          <w:rFonts w:ascii="Times New Roman" w:hAnsi="Times New Roman" w:cs="Times New Roman"/>
        </w:rPr>
      </w:pPr>
    </w:p>
    <w:p w14:paraId="087A49D1" w14:textId="77777777" w:rsidR="006F4A72" w:rsidRPr="006F4A72" w:rsidRDefault="006F4A72">
      <w:pPr>
        <w:rPr>
          <w:rFonts w:ascii="Times New Roman" w:hAnsi="Times New Roman" w:cs="Times New Roman"/>
        </w:rPr>
      </w:pPr>
    </w:p>
    <w:p w14:paraId="68C08E99" w14:textId="77777777" w:rsidR="006F4A72" w:rsidRPr="006F4A72" w:rsidRDefault="006F4A72">
      <w:pPr>
        <w:rPr>
          <w:rFonts w:ascii="Times New Roman" w:hAnsi="Times New Roman" w:cs="Times New Roman"/>
        </w:rPr>
      </w:pPr>
    </w:p>
    <w:p w14:paraId="23D38591" w14:textId="77777777" w:rsidR="006F4A72" w:rsidRPr="006F4A72" w:rsidRDefault="006F4A72">
      <w:pPr>
        <w:rPr>
          <w:rFonts w:ascii="Times New Roman" w:hAnsi="Times New Roman" w:cs="Times New Roman"/>
        </w:rPr>
      </w:pPr>
    </w:p>
    <w:p w14:paraId="27490A72" w14:textId="77777777" w:rsidR="006F4A72" w:rsidRPr="006F4A72" w:rsidRDefault="006F4A72" w:rsidP="006F4A72">
      <w:pPr>
        <w:rPr>
          <w:rFonts w:ascii="Times New Roman" w:hAnsi="Times New Roman" w:cs="Times New Roman"/>
          <w:b/>
          <w:bCs/>
        </w:rPr>
      </w:pPr>
      <w:proofErr w:type="gramStart"/>
      <w:r w:rsidRPr="006F4A72">
        <w:rPr>
          <w:rFonts w:ascii="Times New Roman" w:hAnsi="Times New Roman" w:cs="Times New Roman"/>
          <w:b/>
          <w:bCs/>
        </w:rPr>
        <w:lastRenderedPageBreak/>
        <w:t>How</w:t>
      </w:r>
      <w:proofErr w:type="gramEnd"/>
      <w:r w:rsidRPr="006F4A72">
        <w:rPr>
          <w:rFonts w:ascii="Times New Roman" w:hAnsi="Times New Roman" w:cs="Times New Roman"/>
          <w:b/>
          <w:bCs/>
        </w:rPr>
        <w:t xml:space="preserve"> Non-Pricing Revenue Management Tools Help Hotels Maximize Revenue Without Changing Room Rates</w:t>
      </w:r>
    </w:p>
    <w:p w14:paraId="382275FB" w14:textId="77777777" w:rsidR="006F4A72" w:rsidRPr="006F4A72" w:rsidRDefault="006F4A72" w:rsidP="006F4A72">
      <w:pPr>
        <w:rPr>
          <w:rFonts w:ascii="Times New Roman" w:hAnsi="Times New Roman" w:cs="Times New Roman"/>
        </w:rPr>
      </w:pPr>
    </w:p>
    <w:p w14:paraId="1D14EB5D"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Non-pricing revenue management tools enable hotels to increase total revenue without adjusting room prices by optimising demand, capacity utilisation, customer behaviour, and ancillary spending. These tools focus on when, to whom, and how rooms and services are sold, rather than altering the price itself, making them particularly useful in highly competitive or rate-sensitive markets.</w:t>
      </w:r>
    </w:p>
    <w:p w14:paraId="469605B5" w14:textId="77777777" w:rsidR="006F4A72" w:rsidRPr="006F4A72" w:rsidRDefault="006F4A72" w:rsidP="006F4A72">
      <w:pPr>
        <w:rPr>
          <w:rFonts w:ascii="Times New Roman" w:hAnsi="Times New Roman" w:cs="Times New Roman"/>
        </w:rPr>
      </w:pPr>
    </w:p>
    <w:p w14:paraId="0465D011"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One of the most effective non-pricing tools is length-of-stay (LOS) control. By setting minimum or maximum stay requirements during high-demand periods, hotels can reduce short, low-value stays and prioritise bookings that maximise total revenue per available room (</w:t>
      </w:r>
      <w:proofErr w:type="spellStart"/>
      <w:r w:rsidRPr="006F4A72">
        <w:rPr>
          <w:rFonts w:ascii="Times New Roman" w:hAnsi="Times New Roman" w:cs="Times New Roman"/>
        </w:rPr>
        <w:t>TRevPAR</w:t>
      </w:r>
      <w:proofErr w:type="spellEnd"/>
      <w:r w:rsidRPr="006F4A72">
        <w:rPr>
          <w:rFonts w:ascii="Times New Roman" w:hAnsi="Times New Roman" w:cs="Times New Roman"/>
        </w:rPr>
        <w:t>). LOS controls help smooth demand across peak and shoulder periods while reducing operational inefficiencies such as frequent room turnovers (Talluri &amp; Van Ryzin, 2004).</w:t>
      </w:r>
    </w:p>
    <w:p w14:paraId="50EBD173" w14:textId="77777777" w:rsidR="006F4A72" w:rsidRPr="006F4A72" w:rsidRDefault="006F4A72" w:rsidP="006F4A72">
      <w:pPr>
        <w:rPr>
          <w:rFonts w:ascii="Times New Roman" w:hAnsi="Times New Roman" w:cs="Times New Roman"/>
        </w:rPr>
      </w:pPr>
    </w:p>
    <w:p w14:paraId="01CF083D"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Inventory control and room type optimisation are also critical. Hotels strategically allocate limited room inventory across segments (business, leisure, group, OTA, or direct bookings) based on expected profitability rather than price alone. For example, closing low-value distribution channels during peak demand ensures availability for higher-yield customers, improving revenue quality without changing rates (Kimes, 2011).</w:t>
      </w:r>
    </w:p>
    <w:p w14:paraId="7E7BCF5E" w14:textId="77777777" w:rsidR="006F4A72" w:rsidRPr="006F4A72" w:rsidRDefault="006F4A72" w:rsidP="006F4A72">
      <w:pPr>
        <w:rPr>
          <w:rFonts w:ascii="Times New Roman" w:hAnsi="Times New Roman" w:cs="Times New Roman"/>
        </w:rPr>
      </w:pPr>
    </w:p>
    <w:p w14:paraId="6ECF46BA"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Another key non-pricing tool is overbooking management. Because cancellations and no-shows are common in hospitality, controlled overbooking allows hotels to achieve higher occupancy levels while managing the risk of guest displacement. When applied using historical data and forecasting models, overbooking significantly increases realised revenue without affecting published prices (Ivanov, 2007).</w:t>
      </w:r>
    </w:p>
    <w:p w14:paraId="20D94EF9" w14:textId="77777777" w:rsidR="006F4A72" w:rsidRPr="006F4A72" w:rsidRDefault="006F4A72" w:rsidP="006F4A72">
      <w:pPr>
        <w:rPr>
          <w:rFonts w:ascii="Times New Roman" w:hAnsi="Times New Roman" w:cs="Times New Roman"/>
        </w:rPr>
      </w:pPr>
    </w:p>
    <w:p w14:paraId="4BB7749B"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Hotels also maximise revenue through ancillary revenue optimisation, such as promoting upgrades, food and beverage, spa services, parking, and late check-outs. Targeted upselling and cross-selling—especially through digital pre-arrival communication and front-desk techniques—can substantially increase total guest spend without altering room rates (Noone &amp; McGuire, 2013).</w:t>
      </w:r>
    </w:p>
    <w:p w14:paraId="58014974" w14:textId="77777777" w:rsidR="006F4A72" w:rsidRPr="006F4A72" w:rsidRDefault="006F4A72" w:rsidP="006F4A72">
      <w:pPr>
        <w:rPr>
          <w:rFonts w:ascii="Times New Roman" w:hAnsi="Times New Roman" w:cs="Times New Roman"/>
        </w:rPr>
      </w:pPr>
    </w:p>
    <w:p w14:paraId="446BDD9A"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lastRenderedPageBreak/>
        <w:t>Finally, customer segmentation and demand forecasting play a foundational role. By analysing booking patterns, lead times, and customer behaviour, hotels can tailor availability rules, marketing offers, and service bundles to specific segments. This improves demand capture efficiency and enhances overall revenue performance without reliance on price changes (Cross, Higbie, &amp; Cross, 2009).</w:t>
      </w:r>
    </w:p>
    <w:p w14:paraId="79213D73" w14:textId="77777777" w:rsidR="006F4A72" w:rsidRPr="006F4A72" w:rsidRDefault="006F4A72" w:rsidP="006F4A72">
      <w:pPr>
        <w:rPr>
          <w:rFonts w:ascii="Times New Roman" w:hAnsi="Times New Roman" w:cs="Times New Roman"/>
        </w:rPr>
      </w:pPr>
    </w:p>
    <w:p w14:paraId="0B3F632F"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In summary, non-pricing revenue management tools allow hotels to enhance revenue by improving capacity utilisation, demand timing, customer mix, and ancillary spending. These strategies are particularly valuable when price increases are constrained by competition, brand positioning, or customer sensitivity, making them essential components of modern hotel revenue management.</w:t>
      </w:r>
    </w:p>
    <w:p w14:paraId="19CCC609" w14:textId="77777777" w:rsidR="006F4A72" w:rsidRPr="006F4A72" w:rsidRDefault="006F4A72" w:rsidP="006F4A72">
      <w:pPr>
        <w:rPr>
          <w:rFonts w:ascii="Times New Roman" w:hAnsi="Times New Roman" w:cs="Times New Roman"/>
        </w:rPr>
      </w:pPr>
    </w:p>
    <w:p w14:paraId="5FD61771" w14:textId="6AEE5A11" w:rsidR="006F4A72" w:rsidRPr="006F4A72" w:rsidRDefault="006F4A72" w:rsidP="006F4A72">
      <w:pPr>
        <w:rPr>
          <w:rFonts w:ascii="Times New Roman" w:hAnsi="Times New Roman" w:cs="Times New Roman"/>
        </w:rPr>
      </w:pPr>
      <w:r w:rsidRPr="006F4A72">
        <w:rPr>
          <w:rFonts w:ascii="Times New Roman" w:hAnsi="Times New Roman" w:cs="Times New Roman"/>
        </w:rPr>
        <w:t xml:space="preserve">References </w:t>
      </w:r>
    </w:p>
    <w:p w14:paraId="334E3187" w14:textId="77777777" w:rsidR="006F4A72" w:rsidRPr="006F4A72" w:rsidRDefault="006F4A72" w:rsidP="006F4A72">
      <w:pPr>
        <w:rPr>
          <w:rFonts w:ascii="Times New Roman" w:hAnsi="Times New Roman" w:cs="Times New Roman"/>
        </w:rPr>
      </w:pPr>
    </w:p>
    <w:p w14:paraId="6FD956FD" w14:textId="55021EE8" w:rsidR="006F4A72" w:rsidRPr="006F4A72" w:rsidRDefault="006F4A72" w:rsidP="006F4A72">
      <w:pPr>
        <w:rPr>
          <w:rFonts w:ascii="Times New Roman" w:hAnsi="Times New Roman" w:cs="Times New Roman"/>
          <w:b/>
          <w:bCs/>
        </w:rPr>
      </w:pPr>
      <w:r w:rsidRPr="006F4A72">
        <w:rPr>
          <w:rFonts w:ascii="Times New Roman" w:hAnsi="Times New Roman" w:cs="Times New Roman"/>
          <w:b/>
          <w:bCs/>
        </w:rPr>
        <w:t>Cross, R. G., Higbie, J. A., &amp; Cross, Z. N. (2009). Revenue management’s renaissance: A rebirth of the art and science of profitable revenue generation. Cornell Hospitality Quarterly, 50(1), 56–81. https://doi.org/10.1177/1938965508328716</w:t>
      </w:r>
    </w:p>
    <w:p w14:paraId="78697524" w14:textId="4D68974D" w:rsidR="006F4A72" w:rsidRPr="006F4A72" w:rsidRDefault="006F4A72" w:rsidP="006F4A72">
      <w:pPr>
        <w:rPr>
          <w:rFonts w:ascii="Times New Roman" w:hAnsi="Times New Roman" w:cs="Times New Roman"/>
          <w:b/>
          <w:bCs/>
        </w:rPr>
      </w:pPr>
      <w:r w:rsidRPr="006F4A72">
        <w:rPr>
          <w:rFonts w:ascii="Times New Roman" w:hAnsi="Times New Roman" w:cs="Times New Roman"/>
          <w:b/>
          <w:bCs/>
        </w:rPr>
        <w:t>Ivanov, S. (2007). Optimal overbooking policies for accommodation establishments. Tourism Economics, 13(1), 67–88. https://doi.org/10.5367/000000007779784498</w:t>
      </w:r>
    </w:p>
    <w:p w14:paraId="5E621959" w14:textId="408149D4" w:rsidR="006F4A72" w:rsidRPr="006F4A72" w:rsidRDefault="006F4A72" w:rsidP="006F4A72">
      <w:pPr>
        <w:rPr>
          <w:rFonts w:ascii="Times New Roman" w:hAnsi="Times New Roman" w:cs="Times New Roman"/>
          <w:b/>
          <w:bCs/>
        </w:rPr>
      </w:pPr>
      <w:r w:rsidRPr="006F4A72">
        <w:rPr>
          <w:rFonts w:ascii="Times New Roman" w:hAnsi="Times New Roman" w:cs="Times New Roman"/>
          <w:b/>
          <w:bCs/>
        </w:rPr>
        <w:t>Kimes, S. E. (2011). The future of hotel revenue management. Journal of Revenue and Pricing Management, 10(1), 62–72. https://doi.org/10.1057/rpm.2010.47</w:t>
      </w:r>
    </w:p>
    <w:p w14:paraId="079B8A52" w14:textId="3AFA1039" w:rsidR="006F4A72" w:rsidRPr="006F4A72" w:rsidRDefault="006F4A72" w:rsidP="006F4A72">
      <w:pPr>
        <w:rPr>
          <w:rFonts w:ascii="Times New Roman" w:hAnsi="Times New Roman" w:cs="Times New Roman"/>
          <w:b/>
          <w:bCs/>
        </w:rPr>
      </w:pPr>
      <w:r w:rsidRPr="006F4A72">
        <w:rPr>
          <w:rFonts w:ascii="Times New Roman" w:hAnsi="Times New Roman" w:cs="Times New Roman"/>
          <w:b/>
          <w:bCs/>
        </w:rPr>
        <w:t>Noone, B. M., &amp; McGuire, K. A. (2013). Pricing in hotel revenue management: A behavioural perspective. International Journal of Hospitality Management, 34, 387–397. https://doi.org/10.1016/j.ijhm.2012.11.008</w:t>
      </w:r>
    </w:p>
    <w:p w14:paraId="27C432B3" w14:textId="75161346" w:rsidR="006F4A72" w:rsidRPr="006F4A72" w:rsidRDefault="006F4A72" w:rsidP="006F4A72">
      <w:pPr>
        <w:rPr>
          <w:rFonts w:ascii="Times New Roman" w:hAnsi="Times New Roman" w:cs="Times New Roman"/>
          <w:b/>
          <w:bCs/>
        </w:rPr>
      </w:pPr>
      <w:r w:rsidRPr="006F4A72">
        <w:rPr>
          <w:rFonts w:ascii="Times New Roman" w:hAnsi="Times New Roman" w:cs="Times New Roman"/>
          <w:b/>
          <w:bCs/>
        </w:rPr>
        <w:t>Talluri, K. T., &amp; Van Ryzin, G. J. (2004). The theory and practice of revenue management. Manufacturing &amp; Service Operations Management, 6(3), 262–264. https://doi.org/10.1287/msom.1040.0056</w:t>
      </w:r>
    </w:p>
    <w:sectPr w:rsidR="006F4A72" w:rsidRPr="006F4A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D79"/>
    <w:rsid w:val="000D4D79"/>
    <w:rsid w:val="003902D4"/>
    <w:rsid w:val="006F4A72"/>
    <w:rsid w:val="00CB216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6121D"/>
  <w15:chartTrackingRefBased/>
  <w15:docId w15:val="{D95AA28E-B9BF-4DB8-9004-BF286321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D79"/>
  </w:style>
  <w:style w:type="paragraph" w:styleId="Heading1">
    <w:name w:val="heading 1"/>
    <w:basedOn w:val="Normal"/>
    <w:next w:val="Normal"/>
    <w:link w:val="Heading1Char"/>
    <w:uiPriority w:val="9"/>
    <w:qFormat/>
    <w:rsid w:val="000D4D79"/>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D4D79"/>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4D79"/>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4D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4D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4D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4D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4D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4D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D79"/>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D4D79"/>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4D79"/>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4D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4D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4D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4D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4D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4D79"/>
    <w:rPr>
      <w:rFonts w:eastAsiaTheme="majorEastAsia" w:cstheme="majorBidi"/>
      <w:color w:val="272727" w:themeColor="text1" w:themeTint="D8"/>
    </w:rPr>
  </w:style>
  <w:style w:type="paragraph" w:styleId="Title">
    <w:name w:val="Title"/>
    <w:basedOn w:val="Normal"/>
    <w:next w:val="Normal"/>
    <w:link w:val="TitleChar"/>
    <w:uiPriority w:val="10"/>
    <w:qFormat/>
    <w:rsid w:val="000D4D7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4D7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4D7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4D7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4D79"/>
    <w:pPr>
      <w:spacing w:before="160"/>
      <w:jc w:val="center"/>
    </w:pPr>
    <w:rPr>
      <w:i/>
      <w:iCs/>
      <w:color w:val="404040" w:themeColor="text1" w:themeTint="BF"/>
    </w:rPr>
  </w:style>
  <w:style w:type="character" w:customStyle="1" w:styleId="QuoteChar">
    <w:name w:val="Quote Char"/>
    <w:basedOn w:val="DefaultParagraphFont"/>
    <w:link w:val="Quote"/>
    <w:uiPriority w:val="29"/>
    <w:rsid w:val="000D4D79"/>
    <w:rPr>
      <w:i/>
      <w:iCs/>
      <w:color w:val="404040" w:themeColor="text1" w:themeTint="BF"/>
    </w:rPr>
  </w:style>
  <w:style w:type="paragraph" w:styleId="ListParagraph">
    <w:name w:val="List Paragraph"/>
    <w:basedOn w:val="Normal"/>
    <w:uiPriority w:val="34"/>
    <w:qFormat/>
    <w:rsid w:val="000D4D79"/>
    <w:pPr>
      <w:ind w:left="720"/>
      <w:contextualSpacing/>
    </w:pPr>
  </w:style>
  <w:style w:type="character" w:styleId="IntenseEmphasis">
    <w:name w:val="Intense Emphasis"/>
    <w:basedOn w:val="DefaultParagraphFont"/>
    <w:uiPriority w:val="21"/>
    <w:qFormat/>
    <w:rsid w:val="000D4D79"/>
    <w:rPr>
      <w:i/>
      <w:iCs/>
      <w:color w:val="0F4761" w:themeColor="accent1" w:themeShade="BF"/>
    </w:rPr>
  </w:style>
  <w:style w:type="paragraph" w:styleId="IntenseQuote">
    <w:name w:val="Intense Quote"/>
    <w:basedOn w:val="Normal"/>
    <w:next w:val="Normal"/>
    <w:link w:val="IntenseQuoteChar"/>
    <w:uiPriority w:val="30"/>
    <w:qFormat/>
    <w:rsid w:val="000D4D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4D79"/>
    <w:rPr>
      <w:i/>
      <w:iCs/>
      <w:color w:val="0F4761" w:themeColor="accent1" w:themeShade="BF"/>
    </w:rPr>
  </w:style>
  <w:style w:type="character" w:styleId="IntenseReference">
    <w:name w:val="Intense Reference"/>
    <w:basedOn w:val="DefaultParagraphFont"/>
    <w:uiPriority w:val="32"/>
    <w:qFormat/>
    <w:rsid w:val="000D4D79"/>
    <w:rPr>
      <w:b/>
      <w:bCs/>
      <w:smallCaps/>
      <w:color w:val="0F4761" w:themeColor="accent1" w:themeShade="BF"/>
      <w:spacing w:val="5"/>
    </w:rPr>
  </w:style>
  <w:style w:type="character" w:styleId="Hyperlink">
    <w:name w:val="Hyperlink"/>
    <w:basedOn w:val="DefaultParagraphFont"/>
    <w:uiPriority w:val="99"/>
    <w:unhideWhenUsed/>
    <w:rsid w:val="006F4A72"/>
    <w:rPr>
      <w:color w:val="467886" w:themeColor="hyperlink"/>
      <w:u w:val="single"/>
    </w:rPr>
  </w:style>
  <w:style w:type="character" w:styleId="UnresolvedMention">
    <w:name w:val="Unresolved Mention"/>
    <w:basedOn w:val="DefaultParagraphFont"/>
    <w:uiPriority w:val="99"/>
    <w:semiHidden/>
    <w:unhideWhenUsed/>
    <w:rsid w:val="006F4A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2</cp:revision>
  <dcterms:created xsi:type="dcterms:W3CDTF">2026-02-08T10:24:00Z</dcterms:created>
  <dcterms:modified xsi:type="dcterms:W3CDTF">2026-02-08T10:24:00Z</dcterms:modified>
</cp:coreProperties>
</file>