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45836"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345836" w:rsidRDefault="004A1F6F" w:rsidP="00B02D87">
      <w:pPr>
        <w:spacing w:line="360" w:lineRule="auto"/>
        <w:rPr>
          <w:rFonts w:ascii="Times New Roman" w:hAnsi="Times New Roman" w:cs="Times New Roman"/>
          <w:color w:val="000000" w:themeColor="text1"/>
          <w:szCs w:val="24"/>
          <w:lang w:val="en-US"/>
        </w:rPr>
      </w:pPr>
      <w:r w:rsidRPr="0034583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3E48C347" w14:textId="5CAC9E09" w:rsidR="00F72ED2" w:rsidRPr="00345836" w:rsidRDefault="006C6E7E" w:rsidP="00B02D87">
      <w:pPr>
        <w:spacing w:line="36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Pr="00345836">
        <w:rPr>
          <w:rFonts w:ascii="Times New Roman" w:hAnsi="Times New Roman" w:cs="Times New Roman"/>
          <w:b/>
          <w:bCs/>
          <w:color w:val="000000" w:themeColor="text1"/>
          <w:szCs w:val="24"/>
        </w:rPr>
        <w:t>in</w:t>
      </w:r>
      <w:r w:rsidR="00F72ED2" w:rsidRPr="00345836">
        <w:rPr>
          <w:rFonts w:ascii="Times New Roman" w:hAnsi="Times New Roman" w:cs="Times New Roman"/>
          <w:b/>
          <w:bCs/>
          <w:color w:val="000000" w:themeColor="text1"/>
          <w:szCs w:val="24"/>
        </w:rPr>
        <w:t xml:space="preserve"> Tourism and Recreation</w:t>
      </w:r>
    </w:p>
    <w:p w14:paraId="762FE3A0" w14:textId="7620272F" w:rsidR="00987C16" w:rsidRDefault="00987C16" w:rsidP="00B02D87">
      <w:pPr>
        <w:spacing w:line="360" w:lineRule="auto"/>
        <w:jc w:val="center"/>
        <w:rPr>
          <w:rFonts w:ascii="Times New Roman" w:hAnsi="Times New Roman" w:cs="Times New Roman"/>
          <w:b/>
          <w:bCs/>
          <w:color w:val="000000" w:themeColor="text1"/>
          <w:szCs w:val="24"/>
        </w:rPr>
      </w:pPr>
      <w:r w:rsidRPr="00987C16">
        <w:rPr>
          <w:rFonts w:ascii="Times New Roman" w:hAnsi="Times New Roman" w:cs="Times New Roman"/>
          <w:b/>
          <w:bCs/>
          <w:color w:val="000000" w:themeColor="text1"/>
          <w:szCs w:val="24"/>
        </w:rPr>
        <w:t xml:space="preserve">Quality &amp; Sustainability in Tourism &amp; Hospitality Assignment </w:t>
      </w:r>
    </w:p>
    <w:p w14:paraId="1EA74B89" w14:textId="2934D262" w:rsidR="00CC17BF" w:rsidRPr="00345836" w:rsidRDefault="004A1F6F" w:rsidP="00B02D87">
      <w:pPr>
        <w:spacing w:line="360" w:lineRule="auto"/>
        <w:jc w:val="center"/>
        <w:rPr>
          <w:rFonts w:ascii="Times New Roman" w:eastAsia="Times New Roman" w:hAnsi="Times New Roman" w:cs="Times New Roman"/>
          <w:b/>
          <w:bCs/>
          <w:color w:val="000000" w:themeColor="text1"/>
          <w:kern w:val="0"/>
          <w:szCs w:val="24"/>
          <w:lang w:eastAsia="en-GB"/>
          <w14:ligatures w14:val="none"/>
        </w:rPr>
      </w:pPr>
      <w:r w:rsidRPr="00345836">
        <w:rPr>
          <w:rFonts w:ascii="Times New Roman" w:hAnsi="Times New Roman" w:cs="Times New Roman"/>
          <w:b/>
          <w:bCs/>
          <w:color w:val="000000" w:themeColor="text1"/>
          <w:szCs w:val="24"/>
        </w:rPr>
        <w:t xml:space="preserve">Submitted </w:t>
      </w:r>
      <w:r w:rsidR="00B8435D" w:rsidRPr="00345836">
        <w:rPr>
          <w:rFonts w:ascii="Times New Roman" w:hAnsi="Times New Roman" w:cs="Times New Roman"/>
          <w:b/>
          <w:bCs/>
          <w:color w:val="000000" w:themeColor="text1"/>
          <w:szCs w:val="24"/>
        </w:rPr>
        <w:t>by:</w:t>
      </w:r>
      <w:r w:rsidRPr="00345836">
        <w:rPr>
          <w:rFonts w:ascii="Times New Roman" w:hAnsi="Times New Roman" w:cs="Times New Roman"/>
          <w:b/>
          <w:bCs/>
          <w:color w:val="000000" w:themeColor="text1"/>
          <w:szCs w:val="24"/>
        </w:rPr>
        <w:t xml:space="preserve"> </w:t>
      </w:r>
      <w:r w:rsidR="002E28DB" w:rsidRPr="002E28DB">
        <w:rPr>
          <w:rFonts w:ascii="Times New Roman" w:hAnsi="Times New Roman" w:cs="Times New Roman"/>
          <w:b/>
          <w:bCs/>
          <w:color w:val="000000" w:themeColor="text1"/>
          <w:szCs w:val="24"/>
        </w:rPr>
        <w:t>Pardeep Subhash</w:t>
      </w:r>
    </w:p>
    <w:p w14:paraId="0BBC0118" w14:textId="5E26CE81" w:rsidR="00A84485" w:rsidRPr="00345836" w:rsidRDefault="006C6E7E" w:rsidP="00B02D87">
      <w:pPr>
        <w:spacing w:line="360" w:lineRule="auto"/>
        <w:jc w:val="center"/>
        <w:rPr>
          <w:rFonts w:ascii="Times New Roman" w:hAnsi="Times New Roman" w:cs="Times New Roman"/>
          <w:b/>
          <w:bCs/>
          <w:color w:val="000000" w:themeColor="text1"/>
          <w:szCs w:val="24"/>
        </w:rPr>
      </w:pPr>
      <w:bookmarkStart w:id="0" w:name="_Toc216766358"/>
      <w:r w:rsidRPr="006C6E7E">
        <w:rPr>
          <w:rFonts w:ascii="Times New Roman" w:hAnsi="Times New Roman" w:cs="Times New Roman"/>
          <w:b/>
          <w:bCs/>
          <w:color w:val="000000" w:themeColor="text1"/>
          <w:szCs w:val="24"/>
        </w:rPr>
        <w:t>Option 1: Quality Assurance and Service Excellence in Hospitality During Christmas</w:t>
      </w:r>
    </w:p>
    <w:p w14:paraId="2092D2F4" w14:textId="77777777" w:rsidR="00A84485" w:rsidRPr="00345836" w:rsidRDefault="00A84485" w:rsidP="00B02D87">
      <w:pPr>
        <w:spacing w:line="360" w:lineRule="auto"/>
        <w:jc w:val="center"/>
        <w:rPr>
          <w:rFonts w:ascii="Times New Roman" w:hAnsi="Times New Roman" w:cs="Times New Roman"/>
          <w:b/>
          <w:bCs/>
          <w:color w:val="000000" w:themeColor="text1"/>
          <w:szCs w:val="24"/>
        </w:rPr>
      </w:pPr>
    </w:p>
    <w:p w14:paraId="1C3E0F83"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Default="005F39DA" w:rsidP="00B02D87">
      <w:pPr>
        <w:spacing w:line="360" w:lineRule="auto"/>
        <w:rPr>
          <w:rFonts w:ascii="Times New Roman" w:hAnsi="Times New Roman" w:cs="Times New Roman"/>
          <w:b/>
          <w:bCs/>
          <w:color w:val="000000" w:themeColor="text1"/>
          <w:szCs w:val="24"/>
        </w:rPr>
      </w:pPr>
    </w:p>
    <w:p w14:paraId="4E840DD6" w14:textId="77777777" w:rsidR="00645360" w:rsidRPr="00345836" w:rsidRDefault="00645360" w:rsidP="00B02D87">
      <w:pPr>
        <w:spacing w:line="360" w:lineRule="auto"/>
        <w:rPr>
          <w:rFonts w:ascii="Times New Roman" w:hAnsi="Times New Roman" w:cs="Times New Roman"/>
          <w:b/>
          <w:bCs/>
          <w:color w:val="000000" w:themeColor="text1"/>
          <w:szCs w:val="24"/>
        </w:rPr>
      </w:pPr>
    </w:p>
    <w:p w14:paraId="70EA330F"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52BEA7B5"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34583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34583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345836" w:rsidRDefault="00D3305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lastRenderedPageBreak/>
        <w:t>Abstract</w:t>
      </w:r>
      <w:bookmarkEnd w:id="0"/>
    </w:p>
    <w:p w14:paraId="6D37A29C"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The Christmas season represents one of the most demanding periods for the hospitality industry, characterised by peak occupancy rates, increased customer expectations, and heightened operational pressure. Hotels, resorts, and restaurants must deliver consistent service quality despite workforce constraints, time pressure, and increased service complexity. This study examines how hospitality organisations maintain quality assurance and service excellence during the Christmas season, with particular focus on staff training, quality control systems, and customer feedback mechanisms.</w:t>
      </w:r>
    </w:p>
    <w:p w14:paraId="0A6633FC"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Using a qualitative secondary research approach, this study synthesises academic literature and industry insights to explore strategies employed by hospitality businesses to manage service quality during periods of peak demand. The analysis highlights that structured training programmes, standardised service procedures, and continuous quality monitoring systems play a critical role in sustaining service excellence during Christmas. In addition, customer feedback mechanisms such as online reviews, surveys, and real-time service recovery systems enable hospitality firms to identify service gaps and implement corrective actions promptly.</w:t>
      </w:r>
    </w:p>
    <w:p w14:paraId="0DE50106"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The findings suggest that service excellence during the Christmas season is not solely dependent on operational efficiency but also on employee engagement, organisational culture, and responsiveness to customer needs. By integrating quality assurance frameworks with customer-centric practices, hospitality organisations can enhance guest satisfaction, protect brand reputation, and foster long-term loyalty. This study contributes to hospitality management literature by offering insights into managing service quality under peak-season pressures and provides practical implications for hospitality managers seeking to achieve service excellence during the festive period</w:t>
      </w:r>
    </w:p>
    <w:p w14:paraId="306FF8BA" w14:textId="77777777" w:rsidR="00645360" w:rsidRDefault="00645360" w:rsidP="00B02D87">
      <w:pPr>
        <w:spacing w:line="360" w:lineRule="auto"/>
        <w:rPr>
          <w:rFonts w:ascii="Times New Roman" w:hAnsi="Times New Roman" w:cs="Times New Roman"/>
          <w:color w:val="000000" w:themeColor="text1"/>
          <w:szCs w:val="24"/>
        </w:rPr>
      </w:pPr>
    </w:p>
    <w:p w14:paraId="1D516302" w14:textId="77777777" w:rsidR="00C65F2E" w:rsidRDefault="00C65F2E" w:rsidP="00B02D87">
      <w:pPr>
        <w:spacing w:line="360" w:lineRule="auto"/>
        <w:rPr>
          <w:rFonts w:ascii="Times New Roman" w:hAnsi="Times New Roman" w:cs="Times New Roman"/>
          <w:color w:val="000000" w:themeColor="text1"/>
          <w:szCs w:val="24"/>
        </w:rPr>
      </w:pPr>
    </w:p>
    <w:p w14:paraId="3AB3851B" w14:textId="77777777" w:rsidR="00645360" w:rsidRDefault="00645360" w:rsidP="00B02D87">
      <w:pPr>
        <w:spacing w:line="360" w:lineRule="auto"/>
        <w:rPr>
          <w:rFonts w:ascii="Times New Roman" w:hAnsi="Times New Roman" w:cs="Times New Roman"/>
          <w:color w:val="000000" w:themeColor="text1"/>
          <w:szCs w:val="24"/>
        </w:rPr>
      </w:pPr>
    </w:p>
    <w:p w14:paraId="4E14E859" w14:textId="77777777" w:rsidR="00645360" w:rsidRDefault="00645360" w:rsidP="00B02D87">
      <w:pPr>
        <w:spacing w:line="360" w:lineRule="auto"/>
        <w:rPr>
          <w:rFonts w:ascii="Times New Roman" w:hAnsi="Times New Roman" w:cs="Times New Roman"/>
          <w:color w:val="000000" w:themeColor="text1"/>
          <w:szCs w:val="24"/>
        </w:rPr>
      </w:pPr>
    </w:p>
    <w:p w14:paraId="2A6678CF" w14:textId="77777777" w:rsidR="00645360" w:rsidRPr="00345836" w:rsidRDefault="00645360" w:rsidP="00B02D87">
      <w:pPr>
        <w:spacing w:line="36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Contents</w:t>
          </w:r>
        </w:p>
        <w:p w14:paraId="1DFDE9E3" w14:textId="3C653531" w:rsidR="00496E55" w:rsidRPr="00345836"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345836">
            <w:rPr>
              <w:rFonts w:ascii="Times New Roman" w:hAnsi="Times New Roman"/>
              <w:color w:val="000000" w:themeColor="text1"/>
              <w:sz w:val="24"/>
              <w:szCs w:val="24"/>
            </w:rPr>
            <w:fldChar w:fldCharType="begin"/>
          </w:r>
          <w:r w:rsidRPr="00345836">
            <w:rPr>
              <w:rFonts w:ascii="Times New Roman" w:hAnsi="Times New Roman"/>
              <w:color w:val="000000" w:themeColor="text1"/>
              <w:sz w:val="24"/>
              <w:szCs w:val="24"/>
            </w:rPr>
            <w:instrText xml:space="preserve"> TOC \o "1-3" \h \z \u </w:instrText>
          </w:r>
          <w:r w:rsidRPr="00345836">
            <w:rPr>
              <w:rFonts w:ascii="Times New Roman" w:hAnsi="Times New Roman"/>
              <w:color w:val="000000" w:themeColor="text1"/>
              <w:sz w:val="24"/>
              <w:szCs w:val="24"/>
            </w:rPr>
            <w:fldChar w:fldCharType="separate"/>
          </w:r>
          <w:hyperlink w:anchor="_Toc216766358" w:history="1">
            <w:r w:rsidR="00496E55" w:rsidRPr="00345836">
              <w:rPr>
                <w:rStyle w:val="Hyperlink"/>
                <w:rFonts w:ascii="Times New Roman" w:hAnsi="Times New Roman"/>
                <w:noProof/>
                <w:sz w:val="24"/>
                <w:szCs w:val="24"/>
              </w:rPr>
              <w:t>Abstract</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_Toc216766358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w:t>
            </w:r>
            <w:r w:rsidR="00496E55" w:rsidRPr="00345836">
              <w:rPr>
                <w:rFonts w:ascii="Times New Roman" w:hAnsi="Times New Roman"/>
                <w:noProof/>
                <w:webHidden/>
                <w:sz w:val="24"/>
                <w:szCs w:val="24"/>
              </w:rPr>
              <w:fldChar w:fldCharType="end"/>
            </w:r>
          </w:hyperlink>
        </w:p>
        <w:p w14:paraId="31027465" w14:textId="1D592646"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345836">
              <w:rPr>
                <w:rStyle w:val="Hyperlink"/>
                <w:rFonts w:ascii="Times New Roman" w:hAnsi="Times New Roman"/>
                <w:noProof/>
                <w:sz w:val="24"/>
                <w:szCs w:val="24"/>
              </w:rPr>
              <w:t>1.Introduction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_Toc216766359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4</w:t>
            </w:r>
            <w:r w:rsidRPr="00345836">
              <w:rPr>
                <w:rFonts w:ascii="Times New Roman" w:hAnsi="Times New Roman"/>
                <w:noProof/>
                <w:webHidden/>
                <w:sz w:val="24"/>
                <w:szCs w:val="24"/>
              </w:rPr>
              <w:fldChar w:fldCharType="end"/>
            </w:r>
          </w:hyperlink>
        </w:p>
        <w:p w14:paraId="463812BE" w14:textId="1A69D4B7"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345836">
              <w:rPr>
                <w:rStyle w:val="Hyperlink"/>
                <w:rFonts w:ascii="Times New Roman" w:hAnsi="Times New Roman"/>
                <w:noProof/>
                <w:sz w:val="24"/>
                <w:szCs w:val="24"/>
              </w:rPr>
              <w:t>2. Literature Review</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_Toc216766360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6</w:t>
            </w:r>
            <w:r w:rsidRPr="00345836">
              <w:rPr>
                <w:rFonts w:ascii="Times New Roman" w:hAnsi="Times New Roman"/>
                <w:noProof/>
                <w:webHidden/>
                <w:sz w:val="24"/>
                <w:szCs w:val="24"/>
              </w:rPr>
              <w:fldChar w:fldCharType="end"/>
            </w:r>
          </w:hyperlink>
        </w:p>
        <w:p w14:paraId="7033EADF" w14:textId="77D20FDA"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345836">
              <w:rPr>
                <w:rStyle w:val="Hyperlink"/>
                <w:rFonts w:ascii="Times New Roman" w:hAnsi="Times New Roman"/>
                <w:noProof/>
                <w:sz w:val="24"/>
                <w:szCs w:val="24"/>
              </w:rPr>
              <w:t>3 Methodology</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_Toc216766361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11</w:t>
            </w:r>
            <w:r w:rsidRPr="00345836">
              <w:rPr>
                <w:rFonts w:ascii="Times New Roman" w:hAnsi="Times New Roman"/>
                <w:noProof/>
                <w:webHidden/>
                <w:sz w:val="24"/>
                <w:szCs w:val="24"/>
              </w:rPr>
              <w:fldChar w:fldCharType="end"/>
            </w:r>
          </w:hyperlink>
        </w:p>
        <w:p w14:paraId="12C663C7" w14:textId="19A07D0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345836">
              <w:rPr>
                <w:rStyle w:val="Hyperlink"/>
                <w:rFonts w:ascii="Times New Roman" w:hAnsi="Times New Roman"/>
                <w:noProof/>
                <w:sz w:val="24"/>
                <w:szCs w:val="24"/>
              </w:rPr>
              <w:t>4 Finding</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_Toc216766362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13</w:t>
            </w:r>
            <w:r w:rsidRPr="00345836">
              <w:rPr>
                <w:rFonts w:ascii="Times New Roman" w:hAnsi="Times New Roman"/>
                <w:noProof/>
                <w:webHidden/>
                <w:sz w:val="24"/>
                <w:szCs w:val="24"/>
              </w:rPr>
              <w:fldChar w:fldCharType="end"/>
            </w:r>
          </w:hyperlink>
        </w:p>
        <w:p w14:paraId="5FEE7905" w14:textId="7D49E72F"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345836">
              <w:rPr>
                <w:rStyle w:val="Hyperlink"/>
                <w:rFonts w:ascii="Times New Roman" w:hAnsi="Times New Roman"/>
                <w:noProof/>
                <w:sz w:val="24"/>
                <w:szCs w:val="24"/>
              </w:rPr>
              <w:t>5. Discussion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_Toc216766363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17</w:t>
            </w:r>
            <w:r w:rsidRPr="00345836">
              <w:rPr>
                <w:rFonts w:ascii="Times New Roman" w:hAnsi="Times New Roman"/>
                <w:noProof/>
                <w:webHidden/>
                <w:sz w:val="24"/>
                <w:szCs w:val="24"/>
              </w:rPr>
              <w:fldChar w:fldCharType="end"/>
            </w:r>
          </w:hyperlink>
        </w:p>
        <w:p w14:paraId="206C4605" w14:textId="722A16A1" w:rsidR="00496E55" w:rsidRPr="00345836" w:rsidRDefault="00AA1294"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Pr>
                <w:rStyle w:val="Hyperlink"/>
                <w:rFonts w:ascii="Times New Roman" w:hAnsi="Times New Roman"/>
                <w:noProof/>
                <w:sz w:val="24"/>
                <w:szCs w:val="24"/>
              </w:rPr>
              <w:t>6</w:t>
            </w:r>
            <w:r w:rsidR="00496E55" w:rsidRPr="00345836">
              <w:rPr>
                <w:rStyle w:val="Hyperlink"/>
                <w:rFonts w:ascii="Times New Roman" w:hAnsi="Times New Roman"/>
                <w:noProof/>
                <w:sz w:val="24"/>
                <w:szCs w:val="24"/>
              </w:rPr>
              <w:t>. Conclusion</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_Toc216766365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22</w:t>
            </w:r>
            <w:r w:rsidR="00496E55" w:rsidRPr="00345836">
              <w:rPr>
                <w:rFonts w:ascii="Times New Roman" w:hAnsi="Times New Roman"/>
                <w:noProof/>
                <w:webHidden/>
                <w:sz w:val="24"/>
                <w:szCs w:val="24"/>
              </w:rPr>
              <w:fldChar w:fldCharType="end"/>
            </w:r>
          </w:hyperlink>
        </w:p>
        <w:p w14:paraId="74C6E94E" w14:textId="756ED05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345836">
              <w:rPr>
                <w:rStyle w:val="Hyperlink"/>
                <w:rFonts w:ascii="Times New Roman" w:hAnsi="Times New Roman"/>
                <w:noProof/>
                <w:sz w:val="24"/>
                <w:szCs w:val="24"/>
              </w:rPr>
              <w:t>Reference List</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_Toc216766366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24</w:t>
            </w:r>
            <w:r w:rsidRPr="00345836">
              <w:rPr>
                <w:rFonts w:ascii="Times New Roman" w:hAnsi="Times New Roman"/>
                <w:noProof/>
                <w:webHidden/>
                <w:sz w:val="24"/>
                <w:szCs w:val="24"/>
              </w:rPr>
              <w:fldChar w:fldCharType="end"/>
            </w:r>
          </w:hyperlink>
        </w:p>
        <w:p w14:paraId="646EF9D8" w14:textId="0DF15E15" w:rsidR="004D7D13" w:rsidRPr="00345836" w:rsidRDefault="004D7D13"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noProof/>
              <w:color w:val="000000" w:themeColor="text1"/>
              <w:szCs w:val="24"/>
            </w:rPr>
            <w:fldChar w:fldCharType="end"/>
          </w:r>
        </w:p>
      </w:sdtContent>
    </w:sdt>
    <w:p w14:paraId="1EDA022C" w14:textId="77777777" w:rsidR="004D7D13" w:rsidRPr="00345836" w:rsidRDefault="004D7D13" w:rsidP="00B02D87">
      <w:pPr>
        <w:spacing w:line="360" w:lineRule="auto"/>
        <w:rPr>
          <w:rFonts w:ascii="Times New Roman" w:hAnsi="Times New Roman" w:cs="Times New Roman"/>
          <w:color w:val="000000" w:themeColor="text1"/>
          <w:szCs w:val="24"/>
        </w:rPr>
      </w:pPr>
    </w:p>
    <w:p w14:paraId="19B15F5F" w14:textId="77777777" w:rsidR="0095171B" w:rsidRPr="00345836" w:rsidRDefault="0095171B" w:rsidP="00B02D87">
      <w:pPr>
        <w:spacing w:line="360" w:lineRule="auto"/>
        <w:rPr>
          <w:rFonts w:ascii="Times New Roman" w:hAnsi="Times New Roman" w:cs="Times New Roman"/>
          <w:color w:val="000000" w:themeColor="text1"/>
          <w:szCs w:val="24"/>
        </w:rPr>
      </w:pPr>
    </w:p>
    <w:p w14:paraId="73636B03" w14:textId="77777777" w:rsidR="0095171B" w:rsidRPr="00345836" w:rsidRDefault="0095171B"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type="page"/>
      </w:r>
    </w:p>
    <w:p w14:paraId="6481512E" w14:textId="072866A3" w:rsidR="0086710E" w:rsidRPr="00345836" w:rsidRDefault="002B0CE3" w:rsidP="00B02D87">
      <w:pPr>
        <w:spacing w:line="360" w:lineRule="auto"/>
        <w:rPr>
          <w:rFonts w:ascii="Times New Roman" w:hAnsi="Times New Roman" w:cs="Times New Roman"/>
          <w:b/>
          <w:bCs/>
          <w:color w:val="000000" w:themeColor="text1"/>
          <w:szCs w:val="24"/>
        </w:rPr>
      </w:pPr>
      <w:bookmarkStart w:id="1" w:name="_Toc216766359"/>
      <w:r w:rsidRPr="00345836">
        <w:rPr>
          <w:rStyle w:val="Heading1Char"/>
          <w:rFonts w:ascii="Times New Roman" w:hAnsi="Times New Roman" w:cs="Times New Roman"/>
          <w:b/>
          <w:bCs/>
          <w:color w:val="000000" w:themeColor="text1"/>
          <w:sz w:val="24"/>
          <w:szCs w:val="24"/>
        </w:rPr>
        <w:lastRenderedPageBreak/>
        <w:t>1</w:t>
      </w:r>
      <w:r w:rsidR="004D7D13" w:rsidRPr="00345836">
        <w:rPr>
          <w:rStyle w:val="Heading1Char"/>
          <w:rFonts w:ascii="Times New Roman" w:hAnsi="Times New Roman" w:cs="Times New Roman"/>
          <w:b/>
          <w:bCs/>
          <w:color w:val="000000" w:themeColor="text1"/>
          <w:sz w:val="24"/>
          <w:szCs w:val="24"/>
        </w:rPr>
        <w:t>.</w:t>
      </w:r>
      <w:r w:rsidR="0095171B" w:rsidRPr="00345836">
        <w:rPr>
          <w:rStyle w:val="Heading1Char"/>
          <w:rFonts w:ascii="Times New Roman" w:hAnsi="Times New Roman" w:cs="Times New Roman"/>
          <w:b/>
          <w:bCs/>
          <w:color w:val="000000" w:themeColor="text1"/>
          <w:sz w:val="24"/>
          <w:szCs w:val="24"/>
        </w:rPr>
        <w:t>Introduction</w:t>
      </w:r>
      <w:bookmarkEnd w:id="1"/>
      <w:r w:rsidR="0095171B" w:rsidRPr="00345836">
        <w:rPr>
          <w:rStyle w:val="Heading1Char"/>
          <w:rFonts w:ascii="Times New Roman" w:hAnsi="Times New Roman" w:cs="Times New Roman"/>
          <w:b/>
          <w:bCs/>
          <w:color w:val="000000" w:themeColor="text1"/>
          <w:sz w:val="24"/>
          <w:szCs w:val="24"/>
        </w:rPr>
        <w:t xml:space="preserve"> </w:t>
      </w:r>
    </w:p>
    <w:p w14:paraId="332B22FE" w14:textId="77777777" w:rsidR="00C65F2E" w:rsidRPr="00C65F2E" w:rsidRDefault="00C65F2E" w:rsidP="00C65F2E">
      <w:pPr>
        <w:spacing w:line="360" w:lineRule="auto"/>
        <w:rPr>
          <w:rFonts w:ascii="Times New Roman" w:hAnsi="Times New Roman" w:cs="Times New Roman"/>
          <w:color w:val="000000" w:themeColor="text1"/>
          <w:szCs w:val="24"/>
        </w:rPr>
      </w:pPr>
      <w:bookmarkStart w:id="2" w:name="_Toc216766360"/>
      <w:r w:rsidRPr="00C65F2E">
        <w:rPr>
          <w:rFonts w:ascii="Times New Roman" w:hAnsi="Times New Roman" w:cs="Times New Roman"/>
          <w:color w:val="000000" w:themeColor="text1"/>
          <w:szCs w:val="24"/>
        </w:rPr>
        <w:t>The Christmas season is widely regarded as the most commercially significant period for the hospitality industry, marked by increased travel activity, festive dining, and celebratory events. Hotels, resorts, and restaurants experience substantial surges in demand as consumers seek leisure experiences, family gatherings, and holiday celebrations. While this period presents lucrative revenue opportunities, it also introduces considerable challenges related to maintaining consistent service quality and operational excellence. Heightened customer expectations, staff shortages, and increased service complexity make quality assurance a critical managerial priority during the festive season.</w:t>
      </w:r>
    </w:p>
    <w:p w14:paraId="18EA3CEC"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Service quality is a central determinant of customer satisfaction, loyalty, and brand reputation in the hospitality industry. Unlike tangible products, hospitality services are intangible, perishable, and highly dependent on human interaction. During peak periods such as Christmas, service delivery becomes more vulnerable to errors due to increased workload, time pressure, and variability in employee performance. Research suggests that service failures during high-demand periods have a disproportionately negative impact on customer perceptions and post-consumption evaluations, particularly when services are associated with emotionally significant occasions such as Christmas (Parasuraman et al., 1988).</w:t>
      </w:r>
    </w:p>
    <w:p w14:paraId="6D2FEA9F"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Quality assurance in hospitality refers to the systematic processes and standards used to ensure consistent service delivery that meets or exceeds customer expectations. These processes include staff training, standard operating procedures, performance monitoring, and service audits. During the Christmas season, quality assurance systems must be flexible enough to accommodate fluctuating demand while maintaining consistency across service encounters. Effective quality assurance enables hospitality organisations to deliver reliable, responsive, and empathetic service even under peak pressure.</w:t>
      </w:r>
    </w:p>
    <w:p w14:paraId="6248BB23"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 xml:space="preserve">Employee training is widely recognised as a foundational element of service excellence. During Christmas, hospitality organisations often rely on seasonal or temporary staff, increasing the risk of service inconsistency. Training programmes focused on service standards, customer interaction, and service recovery are essential for equipping employees with the skills and confidence needed to perform effectively during busy periods. Moreover, empowered and </w:t>
      </w:r>
      <w:r w:rsidRPr="00C65F2E">
        <w:rPr>
          <w:rFonts w:ascii="Times New Roman" w:hAnsi="Times New Roman" w:cs="Times New Roman"/>
          <w:color w:val="000000" w:themeColor="text1"/>
          <w:szCs w:val="24"/>
        </w:rPr>
        <w:lastRenderedPageBreak/>
        <w:t>motivated employees are more likely to deliver personalised and emotionally engaging service, which is particularly valued during festive occasions.</w:t>
      </w:r>
    </w:p>
    <w:p w14:paraId="1B4024C7"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Quality control systems and customer feedback mechanisms further support service excellence during peak seasons. Tools such as service quality audits, mystery shopping, guest satisfaction surveys, and online review monitoring provide valuable insights into service performance. Real-time feedback allows managers to identify service gaps quickly and implement corrective actions before negative experiences escalate. In the digital era, online reviews and social media feedback have become especially influential, amplifying the consequences of service failures during Christmas.</w:t>
      </w:r>
    </w:p>
    <w:p w14:paraId="06CFB1D3"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The purpose of this report is to investigate how hotels, resorts, and restaurants maintain high-quality service standards during the Christmas season and to examine the role of staff training, quality control systems, and customer feedback mechanisms in ensuring service excellence during periods of peak demand. By analysing academic research and industry practices, this study aims to provide a comprehensive understanding of quality assurance strategies in festive hospitality operations and their implications for customer satisfaction and long-term business performance.</w:t>
      </w:r>
    </w:p>
    <w:p w14:paraId="486CE9FF" w14:textId="77777777" w:rsidR="00E1266E" w:rsidRDefault="00E1266E" w:rsidP="00B02D87">
      <w:pPr>
        <w:spacing w:line="360" w:lineRule="auto"/>
        <w:rPr>
          <w:rStyle w:val="Heading1Char"/>
          <w:rFonts w:ascii="Times New Roman" w:hAnsi="Times New Roman" w:cs="Times New Roman"/>
          <w:b/>
          <w:bCs/>
          <w:color w:val="000000" w:themeColor="text1"/>
          <w:sz w:val="24"/>
          <w:szCs w:val="24"/>
        </w:rPr>
      </w:pPr>
    </w:p>
    <w:p w14:paraId="6265A782"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BC643FC"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3819EC3A"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6871262D"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40D1ACA4"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08BF13B9"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13758310"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72FFDBA8"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CB964D3" w14:textId="77777777" w:rsidR="00E1266E" w:rsidRPr="00345836" w:rsidRDefault="00E1266E" w:rsidP="00B02D87">
      <w:pPr>
        <w:spacing w:line="360" w:lineRule="auto"/>
        <w:rPr>
          <w:rStyle w:val="Heading1Char"/>
          <w:rFonts w:ascii="Times New Roman" w:hAnsi="Times New Roman" w:cs="Times New Roman"/>
          <w:b/>
          <w:bCs/>
          <w:color w:val="000000" w:themeColor="text1"/>
          <w:sz w:val="24"/>
          <w:szCs w:val="24"/>
        </w:rPr>
      </w:pPr>
    </w:p>
    <w:p w14:paraId="0817F0B0" w14:textId="77777777" w:rsidR="00531D00" w:rsidRPr="00531D00" w:rsidRDefault="002B0CE3" w:rsidP="00531D00">
      <w:pPr>
        <w:spacing w:line="360" w:lineRule="auto"/>
        <w:rPr>
          <w:rFonts w:cs="Times New Roman"/>
          <w:color w:val="000000" w:themeColor="text1"/>
          <w:szCs w:val="24"/>
        </w:rPr>
      </w:pPr>
      <w:r w:rsidRPr="00345836">
        <w:rPr>
          <w:rStyle w:val="Heading1Char"/>
          <w:rFonts w:ascii="Times New Roman" w:hAnsi="Times New Roman" w:cs="Times New Roman"/>
          <w:b/>
          <w:bCs/>
          <w:color w:val="000000" w:themeColor="text1"/>
          <w:sz w:val="24"/>
          <w:szCs w:val="24"/>
        </w:rPr>
        <w:lastRenderedPageBreak/>
        <w:t>2</w:t>
      </w:r>
      <w:r w:rsidR="0095171B" w:rsidRPr="00345836">
        <w:rPr>
          <w:rStyle w:val="Heading1Char"/>
          <w:rFonts w:ascii="Times New Roman" w:hAnsi="Times New Roman" w:cs="Times New Roman"/>
          <w:b/>
          <w:bCs/>
          <w:color w:val="000000" w:themeColor="text1"/>
          <w:sz w:val="24"/>
          <w:szCs w:val="24"/>
        </w:rPr>
        <w:t>. Literature Review</w:t>
      </w:r>
      <w:bookmarkEnd w:id="2"/>
      <w:r w:rsidR="0095171B" w:rsidRPr="00345836">
        <w:rPr>
          <w:rFonts w:ascii="Times New Roman" w:hAnsi="Times New Roman" w:cs="Times New Roman"/>
          <w:color w:val="000000" w:themeColor="text1"/>
          <w:szCs w:val="24"/>
        </w:rPr>
        <w:t xml:space="preserve"> </w:t>
      </w:r>
      <w:r w:rsidR="0095171B" w:rsidRPr="00345836">
        <w:rPr>
          <w:rFonts w:ascii="Times New Roman" w:hAnsi="Times New Roman" w:cs="Times New Roman"/>
          <w:color w:val="000000" w:themeColor="text1"/>
          <w:szCs w:val="24"/>
        </w:rPr>
        <w:br/>
      </w:r>
      <w:bookmarkStart w:id="3" w:name="_Toc216766362"/>
      <w:r w:rsidR="00531D00" w:rsidRPr="00531D00">
        <w:rPr>
          <w:rFonts w:cs="Times New Roman"/>
          <w:b/>
          <w:bCs/>
          <w:color w:val="000000" w:themeColor="text1"/>
          <w:szCs w:val="24"/>
        </w:rPr>
        <w:t>Quality Assurance and Service Excellence in Hospitality During the Christmas Season</w:t>
      </w:r>
    </w:p>
    <w:p w14:paraId="19795057"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The hospitality industry’s dependence on human interaction and experiential value makes quality assurance and service excellence enduring themes in academic research. These themes become especially critical during peak periods such as the Christmas season, when demand surges, service encounters multiply, and customer expectations intensify. The literature consistently shows that maintaining service quality under peak pressure requires systematic planning, robust quality management systems, and a strong service culture rather than ad hoc problem-solving.</w:t>
      </w:r>
    </w:p>
    <w:p w14:paraId="5E0BE4DF"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Service Quality Foundations in Hospitality</w:t>
      </w:r>
    </w:p>
    <w:p w14:paraId="0958173E"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Service quality is commonly defined as the comparison between customer expectations and perceived service performance. The SERVQUAL framework conceptualises service quality across dimensions of reliability, responsiveness, assurance, empathy, and tangibles, all of which are particularly salient during festive periods. Research indicates that during Christmas, expectations rise not only for efficiency but also for emotional warmth, personalised attention, and festive ambience. Failure to meet these elevated expectations can result in disproportionate dissatisfaction, as festive consumption is emotionally laden and socially visible.</w:t>
      </w:r>
    </w:p>
    <w:p w14:paraId="1380679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Beyond SERVQUAL, service-dominant logic emphasises co-creation of value through interactions between employees and guests. During Christmas, guests actively participate in shaping their experiences through preferences, feedback, and social interactions, placing additional pressure on frontline staff to adapt service delivery in real time. Studies suggest that service excellence in such contexts depends on the alignment of processes, people, and organisational culture.</w:t>
      </w:r>
    </w:p>
    <w:p w14:paraId="4013AD74"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Peak-Demand Context and Operational Stress</w:t>
      </w:r>
    </w:p>
    <w:p w14:paraId="4DF2168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Peak demand periods introduce operational stressors that threaten service consistency. High occupancy rates, rapid table turnover, extended operating hours, and event-based complexity increase the likelihood of service variability and errors. The literature notes that peak-season stress exacerbates capacity constraints, queueing problems, and coordination failures across departments. During Christmas, these stressors are intensified by seasonal events, special menus, group bookings, and reliance on temporary staff.</w:t>
      </w:r>
    </w:p>
    <w:p w14:paraId="5B581023"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lastRenderedPageBreak/>
        <w:t>Research in service operations management underscores the importance of capacity planning, demand forecasting, and process standardisation to manage peak loads. Organisations that anticipate seasonal demand and design scalable processes demonstrate greater resilience and service stability. Conversely, inadequate planning often leads to service bottlenecks and diminished guest satisfaction.</w:t>
      </w:r>
    </w:p>
    <w:p w14:paraId="5C7004A7"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Staff Training and Human Resource Practices</w:t>
      </w:r>
    </w:p>
    <w:p w14:paraId="506F50C3"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Employee training emerges as a central determinant of service excellence, particularly during peak seasons. Training equips employees with technical skills, service scripts, and interpersonal competencies necessary to perform under pressure. The literature highlights that hospitality employees engage in significant emotional labour, managing their own emotions to deliver warmth and empathy—capabilities that are highly valued during Christmas.</w:t>
      </w:r>
    </w:p>
    <w:p w14:paraId="597A175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Seasonality introduces additional training challenges. Many hospitality organisations employ seasonal or temporary workers during Christmas, increasing the risk of inconsistent service. Studies show that structured induction programmes, job shadowing, and role-specific micro-training can mitigate this risk by accelerating competence and confidence. Christmas-specific training—covering festive menus, event protocols, cultural sensitivity, and service recovery—has been linked to improved service reliability and guest satisfaction.</w:t>
      </w:r>
    </w:p>
    <w:p w14:paraId="3BDF3269"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Empowerment-based training is also emphasised. Empowered employees who can make discretionary decisions are better positioned to resolve issues promptly during busy periods. The literature suggests that empowerment enhances service recovery effectiveness and reduces escalation, which is crucial when managerial oversight is stretched during Christmas peaks.</w:t>
      </w:r>
    </w:p>
    <w:p w14:paraId="7C9DC7FF"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Quality Control Systems and Standardisation</w:t>
      </w:r>
    </w:p>
    <w:p w14:paraId="4C0E8A61"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Quality control systems provide the structural backbone for service excellence. Standard operating procedures, service blueprints, checklists, and audits help ensure consistency across service encounters. During peak seasons, such systems reduce cognitive load on employees and minimise variability. Research indicates that organisations with mature quality management systems are more capable of sustaining service standards under pressure.</w:t>
      </w:r>
    </w:p>
    <w:p w14:paraId="64DF981B"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lastRenderedPageBreak/>
        <w:t>Mystery shopping and internal audits are widely discussed as tools for monitoring service quality. While their use during peak periods may be constrained by time and cost, the literature suggests that targeted audits focused on critical touchpoints—check-in, dining service, and complaint handling—are particularly effective during Christmas. Continuous improvement models, such as Total Quality Management, further support service excellence by embedding quality into organisational routines.</w:t>
      </w:r>
    </w:p>
    <w:p w14:paraId="70DB4116"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Technology-Enabled Quality Assurance</w:t>
      </w:r>
    </w:p>
    <w:p w14:paraId="265CDDC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Advances in hospitality technology have expanded quality assurance capabilities. Property management systems, point-of-sale analytics, and customer relationship management platforms enable real-time monitoring of occupancy, service speed, and guest preferences. During Christmas, these systems support coordination across departments and facilitate rapid response to service deviations.</w:t>
      </w:r>
    </w:p>
    <w:p w14:paraId="53B60891"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Digital tools also enable predictive insights. Data analytics can forecast demand spikes, identify staffing gaps, and flag potential service failures before they occur. The literature suggests that technology-enhanced quality control complements human judgment, particularly during periods of high service intensity. However, scholars caution that technology should support—not replace—human interaction, as excessive automation may undermine perceived warmth and authenticity.</w:t>
      </w:r>
    </w:p>
    <w:p w14:paraId="09738FA0"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Customer Feedback and Service Recovery</w:t>
      </w:r>
    </w:p>
    <w:p w14:paraId="3159A4A6"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Customer feedback mechanisms are integral to quality assurance and continuous improvement. Traditional tools such as post-stay surveys and comment cards have been supplemented by online reviews, social media comments, and real-time feedback applications. The literature demonstrates that electronic word-of-mouth significantly influences brand reputation, with effects amplified during Christmas when guests are more likely to share experiences publicly.</w:t>
      </w:r>
    </w:p>
    <w:p w14:paraId="570E3EA2"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 xml:space="preserve">Real-time feedback systems enable immediate service recovery, which is critical during peak periods. Studies show that prompt, empathetic responses to service failures can mitigate dissatisfaction and even enhance loyalty. Effective service recovery depends on clear protocols, employee empowerment, and managerial support. However, high volumes of feedback during </w:t>
      </w:r>
      <w:r w:rsidRPr="00531D00">
        <w:rPr>
          <w:rFonts w:ascii="Times New Roman" w:hAnsi="Times New Roman" w:cs="Times New Roman"/>
          <w:color w:val="000000" w:themeColor="text1"/>
          <w:szCs w:val="24"/>
        </w:rPr>
        <w:lastRenderedPageBreak/>
        <w:t>Christmas can overwhelm organisations lacking sufficient response capacity, underscoring the need for prioritisation and triage mechanisms.</w:t>
      </w:r>
    </w:p>
    <w:p w14:paraId="5885ADE2"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Employee Engagement and Service Culture</w:t>
      </w:r>
    </w:p>
    <w:p w14:paraId="1B6C998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Service excellence is closely linked to employee engagement and organisational culture. Engaged employees are more likely to exhibit discretionary effort, adaptability, and positive attitudes—attributes that enhance guest experiences during busy periods. The literature emphasises leadership, recognition, and supportive work practices as drivers of engagement.</w:t>
      </w:r>
    </w:p>
    <w:p w14:paraId="304BD05A"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Christmas presents unique challenges to engagement, including long working hours and work–life balance pressures. Research suggests that fair scheduling, recognition of festive labour, and well-being initiatives can sustain morale and reduce burnout. A strong service culture that emphasises teamwork and shared purpose further supports service excellence under peak demand.</w:t>
      </w:r>
    </w:p>
    <w:p w14:paraId="6784D885"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Balancing Standardisation and Personalisation</w:t>
      </w:r>
    </w:p>
    <w:p w14:paraId="6E735F9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A recurring theme in the literature is the tension between standardisation and personalisation. While standardisation ensures consistency and efficiency, festive guests often seek personalised and memorable experiences. Studies suggest that effective service excellence during Christmas requires “flexible standardisation,” where core processes are standardised but employees are encouraged to personalise interactions within defined boundaries.</w:t>
      </w:r>
    </w:p>
    <w:p w14:paraId="5B2859E3"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Summary</w:t>
      </w:r>
    </w:p>
    <w:p w14:paraId="360D2E82"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Overall, the literature indicates that quality assurance and service excellence in hospitality during the Christmas season depend on the integration of training, quality control systems, technology, and feedback mechanisms within a supportive service culture. Peak-season challenges necessitate proactive planning, employee empowerment, and continuous monitoring. Organisations that align operational systems with human-centric practices are better positioned to deliver consistent, high-quality service during periods of intensified demand.</w:t>
      </w:r>
    </w:p>
    <w:p w14:paraId="1AB7B681" w14:textId="77777777" w:rsidR="00531D00" w:rsidRPr="00345836" w:rsidRDefault="00531D00" w:rsidP="001E2A7C">
      <w:pPr>
        <w:spacing w:line="360" w:lineRule="auto"/>
        <w:rPr>
          <w:rStyle w:val="Heading1Char"/>
          <w:rFonts w:ascii="Times New Roman" w:hAnsi="Times New Roman" w:cs="Times New Roman"/>
          <w:b/>
          <w:bCs/>
          <w:color w:val="000000" w:themeColor="text1"/>
          <w:sz w:val="24"/>
          <w:szCs w:val="24"/>
        </w:rPr>
      </w:pPr>
    </w:p>
    <w:p w14:paraId="15EFB1A0"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7D86E0D"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3. Methodology</w:t>
      </w:r>
    </w:p>
    <w:bookmarkEnd w:id="3"/>
    <w:p w14:paraId="2EF0CB21"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b/>
          <w:bCs/>
          <w:color w:val="000000" w:themeColor="text1"/>
          <w:szCs w:val="24"/>
        </w:rPr>
        <w:t>Quality Assurance and Service Excellence in Hospitality During the Christmas Season</w:t>
      </w:r>
    </w:p>
    <w:p w14:paraId="66AD7BFD"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This study adopts a </w:t>
      </w:r>
      <w:r w:rsidRPr="00751C25">
        <w:rPr>
          <w:rFonts w:ascii="Times New Roman" w:eastAsiaTheme="majorEastAsia" w:hAnsi="Times New Roman" w:cs="Times New Roman"/>
          <w:b/>
          <w:bCs/>
          <w:color w:val="000000" w:themeColor="text1"/>
          <w:szCs w:val="24"/>
        </w:rPr>
        <w:t>qualitative research approach</w:t>
      </w:r>
      <w:r w:rsidRPr="00751C25">
        <w:rPr>
          <w:rFonts w:ascii="Times New Roman" w:eastAsiaTheme="majorEastAsia" w:hAnsi="Times New Roman" w:cs="Times New Roman"/>
          <w:color w:val="000000" w:themeColor="text1"/>
          <w:szCs w:val="24"/>
        </w:rPr>
        <w:t xml:space="preserve"> based on </w:t>
      </w:r>
      <w:r w:rsidRPr="00751C25">
        <w:rPr>
          <w:rFonts w:ascii="Times New Roman" w:eastAsiaTheme="majorEastAsia" w:hAnsi="Times New Roman" w:cs="Times New Roman"/>
          <w:b/>
          <w:bCs/>
          <w:color w:val="000000" w:themeColor="text1"/>
          <w:szCs w:val="24"/>
        </w:rPr>
        <w:t>secondary data analysis</w:t>
      </w:r>
      <w:r w:rsidRPr="00751C25">
        <w:rPr>
          <w:rFonts w:ascii="Times New Roman" w:eastAsiaTheme="majorEastAsia" w:hAnsi="Times New Roman" w:cs="Times New Roman"/>
          <w:color w:val="000000" w:themeColor="text1"/>
          <w:szCs w:val="24"/>
        </w:rPr>
        <w:t xml:space="preserve"> to examine how hotels, resorts, and restaurants maintain quality assurance and service excellence during the Christmas season. A qualitative methodology is appropriate because the research seeks to explore managerial practices, organisational strategies, and service quality mechanisms rather than quantify causal relationships. The approach allows for an in-depth understanding of how hospitality organisations respond to peak-demand pressures while sustaining service standards.</w:t>
      </w:r>
    </w:p>
    <w:p w14:paraId="287A924C"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The research design is </w:t>
      </w:r>
      <w:r w:rsidRPr="00751C25">
        <w:rPr>
          <w:rFonts w:ascii="Times New Roman" w:eastAsiaTheme="majorEastAsia" w:hAnsi="Times New Roman" w:cs="Times New Roman"/>
          <w:b/>
          <w:bCs/>
          <w:color w:val="000000" w:themeColor="text1"/>
          <w:szCs w:val="24"/>
        </w:rPr>
        <w:t>exploratory and descriptive</w:t>
      </w:r>
      <w:r w:rsidRPr="00751C25">
        <w:rPr>
          <w:rFonts w:ascii="Times New Roman" w:eastAsiaTheme="majorEastAsia" w:hAnsi="Times New Roman" w:cs="Times New Roman"/>
          <w:color w:val="000000" w:themeColor="text1"/>
          <w:szCs w:val="24"/>
        </w:rPr>
        <w:t xml:space="preserve">, focusing on identifying and analysing key quality assurance practices used during the Christmas period. The study is informed by established theoretical frameworks, including </w:t>
      </w:r>
      <w:r w:rsidRPr="00751C25">
        <w:rPr>
          <w:rFonts w:ascii="Times New Roman" w:eastAsiaTheme="majorEastAsia" w:hAnsi="Times New Roman" w:cs="Times New Roman"/>
          <w:b/>
          <w:bCs/>
          <w:color w:val="000000" w:themeColor="text1"/>
          <w:szCs w:val="24"/>
        </w:rPr>
        <w:t>service quality theory</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SERVQUAL</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service-dominant logic</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b/>
          <w:bCs/>
          <w:color w:val="000000" w:themeColor="text1"/>
          <w:szCs w:val="24"/>
        </w:rPr>
        <w:t>service operations management models</w:t>
      </w:r>
      <w:r w:rsidRPr="00751C25">
        <w:rPr>
          <w:rFonts w:ascii="Times New Roman" w:eastAsiaTheme="majorEastAsia" w:hAnsi="Times New Roman" w:cs="Times New Roman"/>
          <w:color w:val="000000" w:themeColor="text1"/>
          <w:szCs w:val="24"/>
        </w:rPr>
        <w:t>, which together explain how service quality is created, delivered, and sustained in high-contact service environments (Parasuraman et al., 1988; Grönroos, 2015).</w:t>
      </w:r>
    </w:p>
    <w:p w14:paraId="014B2AFB"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Secondary data were collected from </w:t>
      </w:r>
      <w:r w:rsidRPr="00751C25">
        <w:rPr>
          <w:rFonts w:ascii="Times New Roman" w:eastAsiaTheme="majorEastAsia" w:hAnsi="Times New Roman" w:cs="Times New Roman"/>
          <w:b/>
          <w:bCs/>
          <w:color w:val="000000" w:themeColor="text1"/>
          <w:szCs w:val="24"/>
        </w:rPr>
        <w:t>peer-reviewed academic journals</w:t>
      </w:r>
      <w:r w:rsidRPr="00751C25">
        <w:rPr>
          <w:rFonts w:ascii="Times New Roman" w:eastAsiaTheme="majorEastAsia" w:hAnsi="Times New Roman" w:cs="Times New Roman"/>
          <w:color w:val="000000" w:themeColor="text1"/>
          <w:szCs w:val="24"/>
        </w:rPr>
        <w:t xml:space="preserve">, authoritative textbooks, and reputable industry publications. Academic sources were drawn from journals such as </w:t>
      </w:r>
      <w:r w:rsidRPr="00751C25">
        <w:rPr>
          <w:rFonts w:ascii="Times New Roman" w:eastAsiaTheme="majorEastAsia" w:hAnsi="Times New Roman" w:cs="Times New Roman"/>
          <w:i/>
          <w:iCs/>
          <w:color w:val="000000" w:themeColor="text1"/>
          <w:szCs w:val="24"/>
        </w:rPr>
        <w:t>International Journal of Contemporary Hospitality Management</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i/>
          <w:iCs/>
          <w:color w:val="000000" w:themeColor="text1"/>
          <w:szCs w:val="24"/>
        </w:rPr>
        <w:t>Tourism Management</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i/>
          <w:iCs/>
          <w:color w:val="000000" w:themeColor="text1"/>
          <w:szCs w:val="24"/>
        </w:rPr>
        <w:t>Journal of Service Management</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i/>
          <w:iCs/>
          <w:color w:val="000000" w:themeColor="text1"/>
          <w:szCs w:val="24"/>
        </w:rPr>
        <w:t>Journal of Hospitality and Tourism Management</w:t>
      </w:r>
      <w:r w:rsidRPr="00751C25">
        <w:rPr>
          <w:rFonts w:ascii="Times New Roman" w:eastAsiaTheme="majorEastAsia" w:hAnsi="Times New Roman" w:cs="Times New Roman"/>
          <w:color w:val="000000" w:themeColor="text1"/>
          <w:szCs w:val="24"/>
        </w:rPr>
        <w:t xml:space="preserve">. These sources provided theoretical and empirical insights into service quality, peak-season management, employee training, and quality control systems. To enhance practical relevance, industry reports from organisations such as </w:t>
      </w:r>
      <w:r w:rsidRPr="00751C25">
        <w:rPr>
          <w:rFonts w:ascii="Times New Roman" w:eastAsiaTheme="majorEastAsia" w:hAnsi="Times New Roman" w:cs="Times New Roman"/>
          <w:b/>
          <w:bCs/>
          <w:color w:val="000000" w:themeColor="text1"/>
          <w:szCs w:val="24"/>
        </w:rPr>
        <w:t>Deloitte</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McKinsey</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b/>
          <w:bCs/>
          <w:color w:val="000000" w:themeColor="text1"/>
          <w:szCs w:val="24"/>
        </w:rPr>
        <w:t>Hospitality Net</w:t>
      </w:r>
      <w:r w:rsidRPr="00751C25">
        <w:rPr>
          <w:rFonts w:ascii="Times New Roman" w:eastAsiaTheme="majorEastAsia" w:hAnsi="Times New Roman" w:cs="Times New Roman"/>
          <w:color w:val="000000" w:themeColor="text1"/>
          <w:szCs w:val="24"/>
        </w:rPr>
        <w:t>, as well as professional guidelines from hotel and restaurant associations, were reviewed to capture current industry practices during the Christmas season.</w:t>
      </w:r>
    </w:p>
    <w:p w14:paraId="3BBC8998"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A </w:t>
      </w:r>
      <w:r w:rsidRPr="00751C25">
        <w:rPr>
          <w:rFonts w:ascii="Times New Roman" w:eastAsiaTheme="majorEastAsia" w:hAnsi="Times New Roman" w:cs="Times New Roman"/>
          <w:b/>
          <w:bCs/>
          <w:color w:val="000000" w:themeColor="text1"/>
          <w:szCs w:val="24"/>
        </w:rPr>
        <w:t>systematic literature review</w:t>
      </w:r>
      <w:r w:rsidRPr="00751C25">
        <w:rPr>
          <w:rFonts w:ascii="Times New Roman" w:eastAsiaTheme="majorEastAsia" w:hAnsi="Times New Roman" w:cs="Times New Roman"/>
          <w:color w:val="000000" w:themeColor="text1"/>
          <w:szCs w:val="24"/>
        </w:rPr>
        <w:t xml:space="preserve"> process was applied to identify relevant studies published primarily within the last ten to twelve years, ensuring alignment with contemporary hospitality operations and quality management practices. The collected data were analysed using </w:t>
      </w:r>
      <w:r w:rsidRPr="00751C25">
        <w:rPr>
          <w:rFonts w:ascii="Times New Roman" w:eastAsiaTheme="majorEastAsia" w:hAnsi="Times New Roman" w:cs="Times New Roman"/>
          <w:b/>
          <w:bCs/>
          <w:color w:val="000000" w:themeColor="text1"/>
          <w:szCs w:val="24"/>
        </w:rPr>
        <w:t>thematic analysis</w:t>
      </w:r>
      <w:r w:rsidRPr="00751C25">
        <w:rPr>
          <w:rFonts w:ascii="Times New Roman" w:eastAsiaTheme="majorEastAsia" w:hAnsi="Times New Roman" w:cs="Times New Roman"/>
          <w:color w:val="000000" w:themeColor="text1"/>
          <w:szCs w:val="24"/>
        </w:rPr>
        <w:t xml:space="preserve">, whereby recurring themes were identified and categorised. Key themes included staff </w:t>
      </w:r>
      <w:r w:rsidRPr="00751C25">
        <w:rPr>
          <w:rFonts w:ascii="Times New Roman" w:eastAsiaTheme="majorEastAsia" w:hAnsi="Times New Roman" w:cs="Times New Roman"/>
          <w:color w:val="000000" w:themeColor="text1"/>
          <w:szCs w:val="24"/>
        </w:rPr>
        <w:lastRenderedPageBreak/>
        <w:t>training, service standardisation, quality monitoring systems, customer feedback mechanisms, service recovery, and employee engagement during peak demand periods. Comparative analysis was used to identify similarities and differences in quality assurance practices across hotels, resorts, and restaurants.</w:t>
      </w:r>
    </w:p>
    <w:p w14:paraId="4AF75EB7"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Ethical considerations were addressed by using only publicly available secondary data and ensuring accurate attribution through </w:t>
      </w:r>
      <w:r w:rsidRPr="00751C25">
        <w:rPr>
          <w:rFonts w:ascii="Times New Roman" w:eastAsiaTheme="majorEastAsia" w:hAnsi="Times New Roman" w:cs="Times New Roman"/>
          <w:b/>
          <w:bCs/>
          <w:color w:val="000000" w:themeColor="text1"/>
          <w:szCs w:val="24"/>
        </w:rPr>
        <w:t>APA-style in-text citations and references</w:t>
      </w:r>
      <w:r w:rsidRPr="00751C25">
        <w:rPr>
          <w:rFonts w:ascii="Times New Roman" w:eastAsiaTheme="majorEastAsia" w:hAnsi="Times New Roman" w:cs="Times New Roman"/>
          <w:color w:val="000000" w:themeColor="text1"/>
          <w:szCs w:val="24"/>
        </w:rPr>
        <w:t>. As no primary data involving human participants were collected, issues related to informed consent and confidentiality were not applicable. One limitation of this methodology is its reliance on secondary data, which may not fully capture real-time operational challenges faced during a specific Christmas season. Future research could incorporate interviews with hospitality managers or employee surveys to provide richer insights into peak-season service quality management.</w:t>
      </w:r>
    </w:p>
    <w:p w14:paraId="219847E5" w14:textId="77777777" w:rsidR="00955509" w:rsidRDefault="00955509" w:rsidP="00B02D87">
      <w:pPr>
        <w:spacing w:line="360" w:lineRule="auto"/>
        <w:rPr>
          <w:rFonts w:ascii="Times New Roman" w:hAnsi="Times New Roman" w:cs="Times New Roman"/>
          <w:color w:val="000000" w:themeColor="text1"/>
          <w:szCs w:val="24"/>
        </w:rPr>
      </w:pPr>
    </w:p>
    <w:p w14:paraId="7F8584EE" w14:textId="77777777" w:rsidR="00751C25" w:rsidRDefault="00751C25" w:rsidP="00B02D87">
      <w:pPr>
        <w:spacing w:line="360" w:lineRule="auto"/>
        <w:rPr>
          <w:rFonts w:ascii="Times New Roman" w:hAnsi="Times New Roman" w:cs="Times New Roman"/>
          <w:color w:val="000000" w:themeColor="text1"/>
          <w:szCs w:val="24"/>
        </w:rPr>
      </w:pPr>
    </w:p>
    <w:p w14:paraId="634D3205" w14:textId="77777777" w:rsidR="00751C25" w:rsidRDefault="00751C25" w:rsidP="00B02D87">
      <w:pPr>
        <w:spacing w:line="360" w:lineRule="auto"/>
        <w:rPr>
          <w:rFonts w:ascii="Times New Roman" w:hAnsi="Times New Roman" w:cs="Times New Roman"/>
          <w:color w:val="000000" w:themeColor="text1"/>
          <w:szCs w:val="24"/>
        </w:rPr>
      </w:pPr>
    </w:p>
    <w:p w14:paraId="3AC54E00" w14:textId="77777777" w:rsidR="00751C25" w:rsidRDefault="00751C25" w:rsidP="00B02D87">
      <w:pPr>
        <w:spacing w:line="360" w:lineRule="auto"/>
        <w:rPr>
          <w:rFonts w:ascii="Times New Roman" w:hAnsi="Times New Roman" w:cs="Times New Roman"/>
          <w:color w:val="000000" w:themeColor="text1"/>
          <w:szCs w:val="24"/>
        </w:rPr>
      </w:pPr>
    </w:p>
    <w:p w14:paraId="589C7C21" w14:textId="77777777" w:rsidR="00751C25" w:rsidRDefault="00751C25" w:rsidP="00B02D87">
      <w:pPr>
        <w:spacing w:line="360" w:lineRule="auto"/>
        <w:rPr>
          <w:rFonts w:ascii="Times New Roman" w:hAnsi="Times New Roman" w:cs="Times New Roman"/>
          <w:color w:val="000000" w:themeColor="text1"/>
          <w:szCs w:val="24"/>
        </w:rPr>
      </w:pPr>
    </w:p>
    <w:p w14:paraId="35C6B3D0" w14:textId="77777777" w:rsidR="00751C25" w:rsidRDefault="00751C25" w:rsidP="00B02D87">
      <w:pPr>
        <w:spacing w:line="360" w:lineRule="auto"/>
        <w:rPr>
          <w:rFonts w:ascii="Times New Roman" w:hAnsi="Times New Roman" w:cs="Times New Roman"/>
          <w:color w:val="000000" w:themeColor="text1"/>
          <w:szCs w:val="24"/>
        </w:rPr>
      </w:pPr>
    </w:p>
    <w:p w14:paraId="7C017194" w14:textId="77777777" w:rsidR="00751C25" w:rsidRDefault="00751C25" w:rsidP="00B02D87">
      <w:pPr>
        <w:spacing w:line="360" w:lineRule="auto"/>
        <w:rPr>
          <w:rFonts w:ascii="Times New Roman" w:hAnsi="Times New Roman" w:cs="Times New Roman"/>
          <w:color w:val="000000" w:themeColor="text1"/>
          <w:szCs w:val="24"/>
        </w:rPr>
      </w:pPr>
    </w:p>
    <w:p w14:paraId="68EBD3CE" w14:textId="77777777" w:rsidR="00751C25" w:rsidRDefault="00751C25" w:rsidP="00B02D87">
      <w:pPr>
        <w:spacing w:line="360" w:lineRule="auto"/>
        <w:rPr>
          <w:rFonts w:ascii="Times New Roman" w:hAnsi="Times New Roman" w:cs="Times New Roman"/>
          <w:color w:val="000000" w:themeColor="text1"/>
          <w:szCs w:val="24"/>
        </w:rPr>
      </w:pPr>
    </w:p>
    <w:p w14:paraId="65082AD0" w14:textId="77777777" w:rsidR="00751C25" w:rsidRDefault="00751C25" w:rsidP="00B02D87">
      <w:pPr>
        <w:spacing w:line="360" w:lineRule="auto"/>
        <w:rPr>
          <w:rFonts w:ascii="Times New Roman" w:hAnsi="Times New Roman" w:cs="Times New Roman"/>
          <w:color w:val="000000" w:themeColor="text1"/>
          <w:szCs w:val="24"/>
        </w:rPr>
      </w:pPr>
    </w:p>
    <w:p w14:paraId="366AC7C0" w14:textId="77777777" w:rsidR="00751C25" w:rsidRDefault="00751C25" w:rsidP="00B02D87">
      <w:pPr>
        <w:spacing w:line="360" w:lineRule="auto"/>
        <w:rPr>
          <w:rFonts w:ascii="Times New Roman" w:hAnsi="Times New Roman" w:cs="Times New Roman"/>
          <w:color w:val="000000" w:themeColor="text1"/>
          <w:szCs w:val="24"/>
        </w:rPr>
      </w:pPr>
    </w:p>
    <w:p w14:paraId="3F754AB3" w14:textId="77777777" w:rsidR="00955509" w:rsidRDefault="00955509" w:rsidP="00B02D87">
      <w:pPr>
        <w:spacing w:line="360" w:lineRule="auto"/>
        <w:rPr>
          <w:rFonts w:ascii="Times New Roman" w:hAnsi="Times New Roman" w:cs="Times New Roman"/>
          <w:color w:val="000000" w:themeColor="text1"/>
          <w:szCs w:val="24"/>
        </w:rPr>
      </w:pPr>
    </w:p>
    <w:p w14:paraId="7A186C00" w14:textId="77777777" w:rsidR="00955509" w:rsidRDefault="00955509" w:rsidP="00B02D87">
      <w:pPr>
        <w:spacing w:line="360" w:lineRule="auto"/>
        <w:rPr>
          <w:rFonts w:ascii="Times New Roman" w:hAnsi="Times New Roman" w:cs="Times New Roman"/>
          <w:color w:val="000000" w:themeColor="text1"/>
          <w:szCs w:val="24"/>
        </w:rPr>
      </w:pPr>
    </w:p>
    <w:p w14:paraId="44C1BFB6" w14:textId="77777777" w:rsidR="00E87329" w:rsidRPr="00345836" w:rsidRDefault="00E87329" w:rsidP="00B02D87">
      <w:pPr>
        <w:spacing w:line="360" w:lineRule="auto"/>
        <w:rPr>
          <w:rFonts w:ascii="Times New Roman" w:hAnsi="Times New Roman" w:cs="Times New Roman"/>
          <w:color w:val="000000" w:themeColor="text1"/>
          <w:szCs w:val="24"/>
        </w:rPr>
      </w:pPr>
    </w:p>
    <w:p w14:paraId="4C65CB45" w14:textId="6873CB40" w:rsidR="00AC3926" w:rsidRPr="00345836" w:rsidRDefault="00AC3926"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 xml:space="preserve">4.Findings </w:t>
      </w:r>
    </w:p>
    <w:p w14:paraId="68B18683"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This section presents the key findings derived from the analysis of academic literature and industry sources regarding quality assurance and service excellence in hospitality during the Christmas season. The findings are organised thematically to illustrate how hotels, resorts, and restaurants manage increased demand while maintaining high service standards.</w:t>
      </w:r>
    </w:p>
    <w:p w14:paraId="7D822D8C"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indicate that the Christmas season significantly intensifies operational pressure across the hospitality sector. High occupancy rates, increased guest turnover, festive events, and special menus create complex service environments in which maintaining consistency becomes challenging. Hospitality organisations that lack structured quality assurance systems are more likely to experience service breakdowns, longer waiting times, and reduced customer satisfaction during this period.</w:t>
      </w:r>
    </w:p>
    <w:p w14:paraId="061A4B86"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A prominent finding relates to the </w:t>
      </w:r>
      <w:r w:rsidRPr="00751C25">
        <w:rPr>
          <w:rFonts w:ascii="Times New Roman" w:hAnsi="Times New Roman" w:cs="Times New Roman"/>
          <w:b/>
          <w:bCs/>
          <w:color w:val="000000" w:themeColor="text1"/>
          <w:szCs w:val="24"/>
        </w:rPr>
        <w:t>critical role of staff training</w:t>
      </w:r>
      <w:r w:rsidRPr="00751C25">
        <w:rPr>
          <w:rFonts w:ascii="Times New Roman" w:hAnsi="Times New Roman" w:cs="Times New Roman"/>
          <w:color w:val="000000" w:themeColor="text1"/>
          <w:szCs w:val="24"/>
        </w:rPr>
        <w:t xml:space="preserve"> in sustaining service excellence during Christmas. The literature consistently shows that organisations investing in structured training programmes achieve higher service consistency under peak pressure. Training focused on service standards, customer interaction, and festive-specific procedures equips employees to manage increased workload and heightened guest expectations. Christmas-specific training, such as managing large group bookings, festive dining experiences, and culturally sensitive celebrations, was found to reduce service errors and improve guest satisfaction.</w:t>
      </w:r>
    </w:p>
    <w:p w14:paraId="39D00A4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The findings further reveal that </w:t>
      </w:r>
      <w:r w:rsidRPr="00751C25">
        <w:rPr>
          <w:rFonts w:ascii="Times New Roman" w:hAnsi="Times New Roman" w:cs="Times New Roman"/>
          <w:b/>
          <w:bCs/>
          <w:color w:val="000000" w:themeColor="text1"/>
          <w:szCs w:val="24"/>
        </w:rPr>
        <w:t>seasonal and temporary staffing</w:t>
      </w:r>
      <w:r w:rsidRPr="00751C25">
        <w:rPr>
          <w:rFonts w:ascii="Times New Roman" w:hAnsi="Times New Roman" w:cs="Times New Roman"/>
          <w:color w:val="000000" w:themeColor="text1"/>
          <w:szCs w:val="24"/>
        </w:rPr>
        <w:t xml:space="preserve"> presents a major challenge to service quality. Many hospitality organisations rely on temporary employees during Christmas, increasing the risk of inconsistent service delivery. However, organisations that implement accelerated induction programmes, mentoring systems, and clear service scripts are better able to integrate seasonal staff into service teams. Empowerment-based training, which allows employees to make limited service recovery decisions independently, was found to be particularly effective during busy periods.</w:t>
      </w:r>
    </w:p>
    <w:p w14:paraId="7D2815C5"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Another key finding concerns the importance of </w:t>
      </w:r>
      <w:r w:rsidRPr="00751C25">
        <w:rPr>
          <w:rFonts w:ascii="Times New Roman" w:hAnsi="Times New Roman" w:cs="Times New Roman"/>
          <w:b/>
          <w:bCs/>
          <w:color w:val="000000" w:themeColor="text1"/>
          <w:szCs w:val="24"/>
        </w:rPr>
        <w:t>quality control and standardisation systems</w:t>
      </w:r>
      <w:r w:rsidRPr="00751C25">
        <w:rPr>
          <w:rFonts w:ascii="Times New Roman" w:hAnsi="Times New Roman" w:cs="Times New Roman"/>
          <w:color w:val="000000" w:themeColor="text1"/>
          <w:szCs w:val="24"/>
        </w:rPr>
        <w:t xml:space="preserve">. Standard operating procedures, service checklists, and quality audits provide a stable framework that supports employees during peak demand. The findings indicate that clearly defined service standards reduce variability and help maintain reliability across service encounters. Hotels and </w:t>
      </w:r>
      <w:r w:rsidRPr="00751C25">
        <w:rPr>
          <w:rFonts w:ascii="Times New Roman" w:hAnsi="Times New Roman" w:cs="Times New Roman"/>
          <w:color w:val="000000" w:themeColor="text1"/>
          <w:szCs w:val="24"/>
        </w:rPr>
        <w:lastRenderedPageBreak/>
        <w:t>restaurants with established quality assurance systems demonstrate greater resilience during Christmas, as employees can rely on structured processes even under time pressure.</w:t>
      </w:r>
    </w:p>
    <w:p w14:paraId="05D812B1"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Technology plays an increasingly important role in quality assurance during the festive season. The findings show that </w:t>
      </w:r>
      <w:r w:rsidRPr="00751C25">
        <w:rPr>
          <w:rFonts w:ascii="Times New Roman" w:hAnsi="Times New Roman" w:cs="Times New Roman"/>
          <w:b/>
          <w:bCs/>
          <w:color w:val="000000" w:themeColor="text1"/>
          <w:szCs w:val="24"/>
        </w:rPr>
        <w:t>digital systems</w:t>
      </w:r>
      <w:r w:rsidRPr="00751C25">
        <w:rPr>
          <w:rFonts w:ascii="Times New Roman" w:hAnsi="Times New Roman" w:cs="Times New Roman"/>
          <w:color w:val="000000" w:themeColor="text1"/>
          <w:szCs w:val="24"/>
        </w:rPr>
        <w:t>, such as property management systems, point-of-sale analytics, and customer relationship management platforms, enhance operational coordination and service monitoring. Real-time data allows managers to track service speed, occupancy levels, and guest preferences, enabling quicker responses to emerging issues. During Christmas, technology-supported quality monitoring helps identify service bottlenecks and allocate resources more effectively.</w:t>
      </w:r>
    </w:p>
    <w:p w14:paraId="4D51C7F9"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The findings also highlight the growing importance of </w:t>
      </w:r>
      <w:r w:rsidRPr="00751C25">
        <w:rPr>
          <w:rFonts w:ascii="Times New Roman" w:hAnsi="Times New Roman" w:cs="Times New Roman"/>
          <w:b/>
          <w:bCs/>
          <w:color w:val="000000" w:themeColor="text1"/>
          <w:szCs w:val="24"/>
        </w:rPr>
        <w:t>customer feedback mechanisms</w:t>
      </w:r>
      <w:r w:rsidRPr="00751C25">
        <w:rPr>
          <w:rFonts w:ascii="Times New Roman" w:hAnsi="Times New Roman" w:cs="Times New Roman"/>
          <w:color w:val="000000" w:themeColor="text1"/>
          <w:szCs w:val="24"/>
        </w:rPr>
        <w:t xml:space="preserve"> in maintaining service excellence. During the Christmas season, guests are more likely to share experiences online due to the emotional significance of festive consumption. Online reviews, social media comments, and real-time feedback platforms provide immediate insights into service performance. Hospitality organisations that actively monitor and respond to feedback are better able to manage service recovery and protect brand reputation during peak periods.</w:t>
      </w:r>
    </w:p>
    <w:p w14:paraId="557173B9"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Effective </w:t>
      </w:r>
      <w:r w:rsidRPr="00751C25">
        <w:rPr>
          <w:rFonts w:ascii="Times New Roman" w:hAnsi="Times New Roman" w:cs="Times New Roman"/>
          <w:b/>
          <w:bCs/>
          <w:color w:val="000000" w:themeColor="text1"/>
          <w:szCs w:val="24"/>
        </w:rPr>
        <w:t>service recovery practices</w:t>
      </w:r>
      <w:r w:rsidRPr="00751C25">
        <w:rPr>
          <w:rFonts w:ascii="Times New Roman" w:hAnsi="Times New Roman" w:cs="Times New Roman"/>
          <w:color w:val="000000" w:themeColor="text1"/>
          <w:szCs w:val="24"/>
        </w:rPr>
        <w:t xml:space="preserve"> emerged as a crucial factor in quality assurance. The findings indicate that prompt, empathetic responses to service failures during Christmas can mitigate dissatisfaction and even enhance customer loyalty. Empowered employees and clear recovery protocols enable quicker resolution of issues, which is particularly important when managerial capacity is stretched.</w:t>
      </w:r>
    </w:p>
    <w:p w14:paraId="7C7158F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Employee engagement and organisational culture also emerged as significant findings. The literature suggests that motivated and supported employees are more likely to deliver discretionary effort and maintain service quality during demanding periods. Recognition programmes, supportive leadership, and fair scheduling practices help sustain employee morale during the Christmas season, reducing burnout and turnover.</w:t>
      </w:r>
    </w:p>
    <w:p w14:paraId="237011D8"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Overall, the findings demonstrate that quality assurance and service excellence in hospitality during the Christmas season depend on the integration of staff training, quality control systems, technology-enabled monitoring, and customer feedback mechanisms within a supportive service culture. Organisations that proactively plan for peak demand and invest in both human and </w:t>
      </w:r>
      <w:r w:rsidRPr="00751C25">
        <w:rPr>
          <w:rFonts w:ascii="Times New Roman" w:hAnsi="Times New Roman" w:cs="Times New Roman"/>
          <w:color w:val="000000" w:themeColor="text1"/>
          <w:szCs w:val="24"/>
        </w:rPr>
        <w:lastRenderedPageBreak/>
        <w:t>system-based quality management practices are better positioned to deliver consistent and high-quality service during the festive period.</w:t>
      </w:r>
    </w:p>
    <w:p w14:paraId="1332632F" w14:textId="77777777" w:rsidR="007B37BD" w:rsidRDefault="007B37BD" w:rsidP="00B02D87">
      <w:pPr>
        <w:spacing w:line="360" w:lineRule="auto"/>
        <w:rPr>
          <w:rFonts w:ascii="Times New Roman" w:hAnsi="Times New Roman" w:cs="Times New Roman"/>
          <w:color w:val="000000" w:themeColor="text1"/>
          <w:szCs w:val="24"/>
        </w:rPr>
      </w:pPr>
    </w:p>
    <w:p w14:paraId="77927EA2" w14:textId="77777777" w:rsidR="00751C25" w:rsidRDefault="00751C25" w:rsidP="00B02D87">
      <w:pPr>
        <w:spacing w:line="360" w:lineRule="auto"/>
        <w:rPr>
          <w:rFonts w:ascii="Times New Roman" w:hAnsi="Times New Roman" w:cs="Times New Roman"/>
          <w:color w:val="000000" w:themeColor="text1"/>
          <w:szCs w:val="24"/>
        </w:rPr>
      </w:pPr>
    </w:p>
    <w:p w14:paraId="08182753" w14:textId="77777777" w:rsidR="00751C25" w:rsidRDefault="00751C25" w:rsidP="00B02D87">
      <w:pPr>
        <w:spacing w:line="360" w:lineRule="auto"/>
        <w:rPr>
          <w:rFonts w:ascii="Times New Roman" w:hAnsi="Times New Roman" w:cs="Times New Roman"/>
          <w:color w:val="000000" w:themeColor="text1"/>
          <w:szCs w:val="24"/>
        </w:rPr>
      </w:pPr>
    </w:p>
    <w:p w14:paraId="7A45451C" w14:textId="77777777" w:rsidR="00751C25" w:rsidRDefault="00751C25" w:rsidP="00B02D87">
      <w:pPr>
        <w:spacing w:line="360" w:lineRule="auto"/>
        <w:rPr>
          <w:rFonts w:ascii="Times New Roman" w:hAnsi="Times New Roman" w:cs="Times New Roman"/>
          <w:color w:val="000000" w:themeColor="text1"/>
          <w:szCs w:val="24"/>
        </w:rPr>
      </w:pPr>
    </w:p>
    <w:p w14:paraId="1C6573B2" w14:textId="77777777" w:rsidR="00751C25" w:rsidRDefault="00751C25" w:rsidP="00B02D87">
      <w:pPr>
        <w:spacing w:line="360" w:lineRule="auto"/>
        <w:rPr>
          <w:rFonts w:ascii="Times New Roman" w:hAnsi="Times New Roman" w:cs="Times New Roman"/>
          <w:color w:val="000000" w:themeColor="text1"/>
          <w:szCs w:val="24"/>
        </w:rPr>
      </w:pPr>
    </w:p>
    <w:p w14:paraId="5386CFB3" w14:textId="77777777" w:rsidR="00751C25" w:rsidRDefault="00751C25" w:rsidP="00B02D87">
      <w:pPr>
        <w:spacing w:line="360" w:lineRule="auto"/>
        <w:rPr>
          <w:rFonts w:ascii="Times New Roman" w:hAnsi="Times New Roman" w:cs="Times New Roman"/>
          <w:color w:val="000000" w:themeColor="text1"/>
          <w:szCs w:val="24"/>
        </w:rPr>
      </w:pPr>
    </w:p>
    <w:p w14:paraId="6B323DA4" w14:textId="77777777" w:rsidR="00751C25" w:rsidRDefault="00751C25" w:rsidP="00B02D87">
      <w:pPr>
        <w:spacing w:line="360" w:lineRule="auto"/>
        <w:rPr>
          <w:rFonts w:ascii="Times New Roman" w:hAnsi="Times New Roman" w:cs="Times New Roman"/>
          <w:color w:val="000000" w:themeColor="text1"/>
          <w:szCs w:val="24"/>
        </w:rPr>
      </w:pPr>
    </w:p>
    <w:p w14:paraId="501E1667" w14:textId="77777777" w:rsidR="00751C25" w:rsidRDefault="00751C25" w:rsidP="00B02D87">
      <w:pPr>
        <w:spacing w:line="360" w:lineRule="auto"/>
        <w:rPr>
          <w:rFonts w:ascii="Times New Roman" w:hAnsi="Times New Roman" w:cs="Times New Roman"/>
          <w:color w:val="000000" w:themeColor="text1"/>
          <w:szCs w:val="24"/>
        </w:rPr>
      </w:pPr>
    </w:p>
    <w:p w14:paraId="300AA0DD" w14:textId="77777777" w:rsidR="00751C25" w:rsidRDefault="00751C25" w:rsidP="00B02D87">
      <w:pPr>
        <w:spacing w:line="360" w:lineRule="auto"/>
        <w:rPr>
          <w:rFonts w:ascii="Times New Roman" w:hAnsi="Times New Roman" w:cs="Times New Roman"/>
          <w:color w:val="000000" w:themeColor="text1"/>
          <w:szCs w:val="24"/>
        </w:rPr>
      </w:pPr>
    </w:p>
    <w:p w14:paraId="3ACABACD" w14:textId="77777777" w:rsidR="00751C25" w:rsidRDefault="00751C25" w:rsidP="00B02D87">
      <w:pPr>
        <w:spacing w:line="360" w:lineRule="auto"/>
        <w:rPr>
          <w:rFonts w:ascii="Times New Roman" w:hAnsi="Times New Roman" w:cs="Times New Roman"/>
          <w:color w:val="000000" w:themeColor="text1"/>
          <w:szCs w:val="24"/>
        </w:rPr>
      </w:pPr>
    </w:p>
    <w:p w14:paraId="0CE5D96D" w14:textId="77777777" w:rsidR="00751C25" w:rsidRDefault="00751C25" w:rsidP="00B02D87">
      <w:pPr>
        <w:spacing w:line="360" w:lineRule="auto"/>
        <w:rPr>
          <w:rFonts w:ascii="Times New Roman" w:hAnsi="Times New Roman" w:cs="Times New Roman"/>
          <w:color w:val="000000" w:themeColor="text1"/>
          <w:szCs w:val="24"/>
        </w:rPr>
      </w:pPr>
    </w:p>
    <w:p w14:paraId="7E13FFC2" w14:textId="77777777" w:rsidR="00751C25" w:rsidRDefault="00751C25" w:rsidP="00B02D87">
      <w:pPr>
        <w:spacing w:line="360" w:lineRule="auto"/>
        <w:rPr>
          <w:rFonts w:ascii="Times New Roman" w:hAnsi="Times New Roman" w:cs="Times New Roman"/>
          <w:color w:val="000000" w:themeColor="text1"/>
          <w:szCs w:val="24"/>
        </w:rPr>
      </w:pPr>
    </w:p>
    <w:p w14:paraId="3A342468" w14:textId="77777777" w:rsidR="00751C25" w:rsidRDefault="00751C25" w:rsidP="00B02D87">
      <w:pPr>
        <w:spacing w:line="360" w:lineRule="auto"/>
        <w:rPr>
          <w:rFonts w:ascii="Times New Roman" w:hAnsi="Times New Roman" w:cs="Times New Roman"/>
          <w:color w:val="000000" w:themeColor="text1"/>
          <w:szCs w:val="24"/>
        </w:rPr>
      </w:pPr>
    </w:p>
    <w:p w14:paraId="39C7E453" w14:textId="77777777" w:rsidR="00751C25" w:rsidRDefault="00751C25" w:rsidP="00B02D87">
      <w:pPr>
        <w:spacing w:line="360" w:lineRule="auto"/>
        <w:rPr>
          <w:rFonts w:ascii="Times New Roman" w:hAnsi="Times New Roman" w:cs="Times New Roman"/>
          <w:color w:val="000000" w:themeColor="text1"/>
          <w:szCs w:val="24"/>
        </w:rPr>
      </w:pPr>
    </w:p>
    <w:p w14:paraId="3EDDC935" w14:textId="77777777" w:rsidR="00751C25" w:rsidRDefault="00751C25" w:rsidP="00B02D87">
      <w:pPr>
        <w:spacing w:line="360" w:lineRule="auto"/>
        <w:rPr>
          <w:rFonts w:ascii="Times New Roman" w:hAnsi="Times New Roman" w:cs="Times New Roman"/>
          <w:color w:val="000000" w:themeColor="text1"/>
          <w:szCs w:val="24"/>
        </w:rPr>
      </w:pPr>
    </w:p>
    <w:p w14:paraId="0228B3E6" w14:textId="77777777" w:rsidR="007B37BD" w:rsidRDefault="007B37BD" w:rsidP="00B02D87">
      <w:pPr>
        <w:spacing w:line="360" w:lineRule="auto"/>
        <w:rPr>
          <w:rFonts w:ascii="Times New Roman" w:hAnsi="Times New Roman" w:cs="Times New Roman"/>
          <w:color w:val="000000" w:themeColor="text1"/>
          <w:szCs w:val="24"/>
        </w:rPr>
      </w:pPr>
    </w:p>
    <w:p w14:paraId="469CEF5B" w14:textId="77777777" w:rsidR="007B37BD" w:rsidRDefault="007B37BD" w:rsidP="00B02D87">
      <w:pPr>
        <w:spacing w:line="360" w:lineRule="auto"/>
        <w:rPr>
          <w:rFonts w:ascii="Times New Roman" w:hAnsi="Times New Roman" w:cs="Times New Roman"/>
          <w:color w:val="000000" w:themeColor="text1"/>
          <w:szCs w:val="24"/>
        </w:rPr>
      </w:pPr>
    </w:p>
    <w:p w14:paraId="0239ECB6" w14:textId="77777777" w:rsidR="007B37BD" w:rsidRDefault="007B37BD" w:rsidP="00B02D87">
      <w:pPr>
        <w:spacing w:line="360" w:lineRule="auto"/>
        <w:rPr>
          <w:rFonts w:ascii="Times New Roman" w:hAnsi="Times New Roman" w:cs="Times New Roman"/>
          <w:color w:val="000000" w:themeColor="text1"/>
          <w:szCs w:val="24"/>
        </w:rPr>
      </w:pPr>
    </w:p>
    <w:p w14:paraId="7EE5136C" w14:textId="77777777" w:rsidR="007B37BD" w:rsidRDefault="007B37BD" w:rsidP="00B02D87">
      <w:pPr>
        <w:spacing w:line="360" w:lineRule="auto"/>
        <w:rPr>
          <w:rFonts w:ascii="Times New Roman" w:hAnsi="Times New Roman" w:cs="Times New Roman"/>
          <w:color w:val="000000" w:themeColor="text1"/>
          <w:szCs w:val="24"/>
        </w:rPr>
      </w:pPr>
    </w:p>
    <w:p w14:paraId="1311F645" w14:textId="77777777" w:rsidR="00B83471" w:rsidRDefault="00B83471" w:rsidP="007B37BD">
      <w:pPr>
        <w:spacing w:line="360" w:lineRule="auto"/>
        <w:rPr>
          <w:rFonts w:ascii="Times New Roman" w:hAnsi="Times New Roman" w:cs="Times New Roman"/>
          <w:color w:val="000000" w:themeColor="text1"/>
          <w:szCs w:val="24"/>
        </w:rPr>
      </w:pPr>
    </w:p>
    <w:p w14:paraId="0E7DEF11" w14:textId="77777777" w:rsidR="00751C25" w:rsidRPr="00751C25" w:rsidRDefault="006A4481" w:rsidP="00751C25">
      <w:pPr>
        <w:spacing w:line="360" w:lineRule="auto"/>
        <w:rPr>
          <w:rFonts w:cs="Times New Roman"/>
          <w:color w:val="000000" w:themeColor="text1"/>
          <w:szCs w:val="24"/>
        </w:rPr>
      </w:pPr>
      <w:r w:rsidRPr="00345836">
        <w:rPr>
          <w:rFonts w:ascii="Times New Roman" w:hAnsi="Times New Roman" w:cs="Times New Roman"/>
          <w:color w:val="000000" w:themeColor="text1"/>
          <w:szCs w:val="24"/>
        </w:rPr>
        <w:lastRenderedPageBreak/>
        <w:br/>
      </w:r>
      <w:r w:rsidRPr="00345836">
        <w:rPr>
          <w:rFonts w:ascii="Times New Roman" w:hAnsi="Times New Roman" w:cs="Times New Roman"/>
          <w:b/>
          <w:bCs/>
          <w:color w:val="000000" w:themeColor="text1"/>
          <w:szCs w:val="24"/>
        </w:rPr>
        <w:t xml:space="preserve">5. Discussion </w:t>
      </w:r>
      <w:r w:rsidRPr="00345836">
        <w:rPr>
          <w:rFonts w:ascii="Times New Roman" w:hAnsi="Times New Roman" w:cs="Times New Roman"/>
          <w:b/>
          <w:bCs/>
          <w:color w:val="000000" w:themeColor="text1"/>
          <w:szCs w:val="24"/>
        </w:rPr>
        <w:br/>
      </w:r>
      <w:bookmarkStart w:id="4" w:name="_Toc216766366"/>
      <w:r w:rsidR="00751C25" w:rsidRPr="00751C25">
        <w:rPr>
          <w:rFonts w:cs="Times New Roman"/>
          <w:b/>
          <w:bCs/>
          <w:color w:val="000000" w:themeColor="text1"/>
          <w:szCs w:val="24"/>
        </w:rPr>
        <w:t>Quality Assurance and Service Excellence in Hospitality During the Christmas Season</w:t>
      </w:r>
    </w:p>
    <w:p w14:paraId="104913E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of this study highlight the complex and multifaceted nature of maintaining quality assurance and service excellence in hospitality during the Christmas season. This discussion interprets the findings in relation to established service quality theories, hospitality management literature, and peak-demand operational frameworks, with particular emphasis on the interaction between human resources, systems, and organisational culture.</w:t>
      </w:r>
    </w:p>
    <w:p w14:paraId="5E8E402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Consistent with </w:t>
      </w:r>
      <w:r w:rsidRPr="00751C25">
        <w:rPr>
          <w:rFonts w:ascii="Times New Roman" w:hAnsi="Times New Roman" w:cs="Times New Roman"/>
          <w:b/>
          <w:bCs/>
          <w:color w:val="000000" w:themeColor="text1"/>
          <w:szCs w:val="24"/>
        </w:rPr>
        <w:t>service quality theory</w:t>
      </w:r>
      <w:r w:rsidRPr="00751C25">
        <w:rPr>
          <w:rFonts w:ascii="Times New Roman" w:hAnsi="Times New Roman" w:cs="Times New Roman"/>
          <w:color w:val="000000" w:themeColor="text1"/>
          <w:szCs w:val="24"/>
        </w:rPr>
        <w:t xml:space="preserve"> and the SERVQUAL framework, the findings confirm that customer expectations during Christmas are significantly elevated. Guests expect not only reliable and efficient service but also emotional warmth, personalisation, and festive ambience. This supports prior research suggesting that service failures during emotionally significant occasions have a stronger negative impact on customer satisfaction and post-consumption evaluations. Therefore, quality assurance during Christmas must extend beyond technical accuracy to include emotional and relational dimensions of service delivery.</w:t>
      </w:r>
    </w:p>
    <w:p w14:paraId="123F852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regarding staff training reinforce existing literature that positions employees as the cornerstone of service excellence in hospitality. During Christmas, the reliance on seasonal and temporary staff increases the risk of service inconsistency. However, the discussion shows that structured induction programmes, Christmas-specific training, and empowerment-based approaches mitigate these risks. Empowered employees are better equipped to manage service recovery independently, which is essential during peak periods when managerial oversight is limited. This aligns with service-dominant logic, which emphasises value co-creation through frontline employee–guest interactions.</w:t>
      </w:r>
    </w:p>
    <w:p w14:paraId="29E36450"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Quality control systems and standardisation emerged as critical stabilising mechanisms during peak demand. The findings support operations management literature suggesting that clearly defined standard operating procedures reduce variability and cognitive overload under pressure. However, the discussion also highlights the need for balance. Excessive standardisation may undermine personalised service, which is highly valued during Christmas. Effective hospitality organisations therefore adopt flexible standardisation, allowing employees to personalise interactions within structured service frameworks.</w:t>
      </w:r>
    </w:p>
    <w:p w14:paraId="138C0750"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lastRenderedPageBreak/>
        <w:t>Technology-enabled quality assurance plays an increasingly strategic role during the Christmas season. Digital systems that provide real-time operational data enhance managerial decision-making and resource allocation, supporting service consistency during demand surges. The discussion supports previous research indicating that technology enhances, rather than replaces, human service delivery when used appropriately. Over-reliance on automation, particularly during festive periods, may risk diminishing perceived warmth and authenticity.</w:t>
      </w:r>
    </w:p>
    <w:p w14:paraId="7E014F0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Customer feedback and service recovery mechanisms were found to be particularly influential during Christmas. The discussion aligns with service recovery theory, which suggests that prompt and empathetic responses to service failures can restore satisfaction and even strengthen loyalty. During peak seasons, when negative experiences are more visible due to online reviews and social media, effective feedback management becomes a strategic imperative rather than a reactive function.</w:t>
      </w:r>
    </w:p>
    <w:p w14:paraId="13414D2F"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Employee engagement and organisational culture further contextualise service excellence during Christmas. The discussion supports the view that motivated and supported employees are more resilient under pressure and more willing to deliver discretionary effort. Recognition, fair scheduling, and supportive leadership contribute to sustaining morale during demanding festive periods, reinforcing the link between internal service quality and external customer satisfaction.</w:t>
      </w:r>
    </w:p>
    <w:p w14:paraId="4B3AB9F3"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Overall, the discussion demonstrates that service excellence during the Christmas season is achieved through the integration of people, processes, and technology within a strong service culture. Hospitality organisations that proactively align these elements are better positioned to meet festive demand while protecting service quality and brand reputation.</w:t>
      </w:r>
    </w:p>
    <w:p w14:paraId="1C781EB0" w14:textId="26FC69C2"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00165773"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751C7E37"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146D72F7"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4571BCE1"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25F73096"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6EBCEF3F" w14:textId="2005E03C" w:rsidR="002942F0" w:rsidRPr="00345836" w:rsidRDefault="00452437" w:rsidP="00B02D87">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6</w:t>
      </w:r>
      <w:r w:rsidR="002942F0" w:rsidRPr="00345836">
        <w:rPr>
          <w:rStyle w:val="Heading1Char"/>
          <w:rFonts w:ascii="Times New Roman" w:hAnsi="Times New Roman" w:cs="Times New Roman"/>
          <w:b/>
          <w:bCs/>
          <w:color w:val="000000" w:themeColor="text1"/>
          <w:sz w:val="24"/>
          <w:szCs w:val="24"/>
        </w:rPr>
        <w:t xml:space="preserve">.0 CONCLUSION </w:t>
      </w:r>
    </w:p>
    <w:p w14:paraId="16AD8AEF"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This report examined quality assurance and service excellence in hospitality during the Christmas season, a period characterised by peak demand, heightened customer expectations, and increased operational complexity. The analysis demonstrates that while Christmas offers significant revenue opportunities for hotels, resorts, and restaurants, it also presents substantial challenges to maintaining consistent service quality.</w:t>
      </w:r>
    </w:p>
    <w:p w14:paraId="1AB7A554"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The findings and discussion highlight that service excellence during the festive season depends on the effective integration of staff training, quality control systems, technology-enabled monitoring, and customer feedback mechanisms. Structured training programmes, particularly those tailored to Christmas-specific service requirements, equip employees to manage increased workload and emotional labour. Quality assurance systems, including standard operating procedures and real-time monitoring tools, provide operational stability and reduce service variability under pressure.</w:t>
      </w:r>
    </w:p>
    <w:p w14:paraId="124E4B54"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Importantly, the report confirms that service excellence during Christmas is not achieved through operational efficiency alone. Employee engagement, empowerment, and organisational culture play a critical role in sustaining service quality during demanding periods. Motivated employees supported by effective leadership and fair work practices are more capable of delivering personalised and empathetic service, which is highly valued during festive occasions.</w:t>
      </w:r>
    </w:p>
    <w:p w14:paraId="60AC97C0"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In conclusion, hospitality organisations that proactively plan for peak demand and invest in both human and system-based quality management practices are better positioned to deliver consistent, high-quality service during the Christmas season. By balancing standardisation with personalisation and efficiency with emotional engagement, hospitality businesses can enhance customer satisfaction, protect brand reputation, and foster long-term loyalty. Future research could explore comparative case studies across different hospitality segments or incorporate primary data from frontline employees and managers to further deepen understanding of festive service quality management.</w:t>
      </w:r>
    </w:p>
    <w:p w14:paraId="151420F1"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25CE635A" w14:textId="77777777" w:rsidR="00B83471" w:rsidRPr="00345836" w:rsidRDefault="00B83471"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Reference List</w:t>
      </w:r>
      <w:bookmarkEnd w:id="4"/>
      <w:r w:rsidRPr="00345836">
        <w:rPr>
          <w:rFonts w:ascii="Times New Roman" w:hAnsi="Times New Roman" w:cs="Times New Roman"/>
          <w:b/>
          <w:bCs/>
          <w:color w:val="000000" w:themeColor="text1"/>
          <w:szCs w:val="24"/>
        </w:rPr>
        <w:t xml:space="preserve"> </w:t>
      </w:r>
    </w:p>
    <w:p w14:paraId="0111E3E3"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Albrecht, S. L., Bakker, A. B., Gruman, J. A., Macey, W. H., &amp; Saks, A. M. (2015). Employee engagement, human resource management practices and competitive advantage. </w:t>
      </w:r>
      <w:r w:rsidRPr="00452437">
        <w:rPr>
          <w:rFonts w:ascii="Times New Roman" w:hAnsi="Times New Roman" w:cs="Times New Roman"/>
          <w:i/>
          <w:iCs/>
          <w:color w:val="000000" w:themeColor="text1"/>
          <w:szCs w:val="24"/>
        </w:rPr>
        <w:t>Journal of Organizational Effectiveness: People and Performance, 2</w:t>
      </w:r>
      <w:r w:rsidRPr="00452437">
        <w:rPr>
          <w:rFonts w:ascii="Times New Roman" w:hAnsi="Times New Roman" w:cs="Times New Roman"/>
          <w:color w:val="000000" w:themeColor="text1"/>
          <w:szCs w:val="24"/>
        </w:rPr>
        <w:t>(1), 7–35. https://doi.org/10.1108/JOEPP-08-2014-0042</w:t>
      </w:r>
    </w:p>
    <w:p w14:paraId="26603C0E"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Baum, T. (2015). </w:t>
      </w:r>
      <w:r w:rsidRPr="00452437">
        <w:rPr>
          <w:rFonts w:ascii="Times New Roman" w:hAnsi="Times New Roman" w:cs="Times New Roman"/>
          <w:i/>
          <w:iCs/>
          <w:color w:val="000000" w:themeColor="text1"/>
          <w:szCs w:val="24"/>
        </w:rPr>
        <w:t>Human resource management for tourism, hospitality and leisure: An international perspective</w:t>
      </w:r>
      <w:r w:rsidRPr="00452437">
        <w:rPr>
          <w:rFonts w:ascii="Times New Roman" w:hAnsi="Times New Roman" w:cs="Times New Roman"/>
          <w:color w:val="000000" w:themeColor="text1"/>
          <w:szCs w:val="24"/>
        </w:rPr>
        <w:t xml:space="preserve"> (2nd ed.). Cengage Learning.</w:t>
      </w:r>
    </w:p>
    <w:p w14:paraId="54ECAE97"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Bitner, M. J., Ostrom, A. L., &amp; Morgan, F. N. (2008). Service blueprinting: A practical technique for service innovation. </w:t>
      </w:r>
      <w:r w:rsidRPr="00452437">
        <w:rPr>
          <w:rFonts w:ascii="Times New Roman" w:hAnsi="Times New Roman" w:cs="Times New Roman"/>
          <w:i/>
          <w:iCs/>
          <w:color w:val="000000" w:themeColor="text1"/>
          <w:szCs w:val="24"/>
        </w:rPr>
        <w:t>California Management Review, 50</w:t>
      </w:r>
      <w:r w:rsidRPr="00452437">
        <w:rPr>
          <w:rFonts w:ascii="Times New Roman" w:hAnsi="Times New Roman" w:cs="Times New Roman"/>
          <w:color w:val="000000" w:themeColor="text1"/>
          <w:szCs w:val="24"/>
        </w:rPr>
        <w:t>(3), 66–94. https://doi.org/10.2307/41166446</w:t>
      </w:r>
    </w:p>
    <w:p w14:paraId="16F2C378"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Grönroos, C. (2015). </w:t>
      </w:r>
      <w:r w:rsidRPr="00452437">
        <w:rPr>
          <w:rFonts w:ascii="Times New Roman" w:hAnsi="Times New Roman" w:cs="Times New Roman"/>
          <w:i/>
          <w:iCs/>
          <w:color w:val="000000" w:themeColor="text1"/>
          <w:szCs w:val="24"/>
        </w:rPr>
        <w:t>Service management and marketing: Managing the service profit logic</w:t>
      </w:r>
      <w:r w:rsidRPr="00452437">
        <w:rPr>
          <w:rFonts w:ascii="Times New Roman" w:hAnsi="Times New Roman" w:cs="Times New Roman"/>
          <w:color w:val="000000" w:themeColor="text1"/>
          <w:szCs w:val="24"/>
        </w:rPr>
        <w:t xml:space="preserve"> (4th ed.). Wiley.</w:t>
      </w:r>
    </w:p>
    <w:p w14:paraId="7A417DE6"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Johnston, R., &amp; Clark, G. (2018). </w:t>
      </w:r>
      <w:r w:rsidRPr="00452437">
        <w:rPr>
          <w:rFonts w:ascii="Times New Roman" w:hAnsi="Times New Roman" w:cs="Times New Roman"/>
          <w:i/>
          <w:iCs/>
          <w:color w:val="000000" w:themeColor="text1"/>
          <w:szCs w:val="24"/>
        </w:rPr>
        <w:t>Service operations management</w:t>
      </w:r>
      <w:r w:rsidRPr="00452437">
        <w:rPr>
          <w:rFonts w:ascii="Times New Roman" w:hAnsi="Times New Roman" w:cs="Times New Roman"/>
          <w:color w:val="000000" w:themeColor="text1"/>
          <w:szCs w:val="24"/>
        </w:rPr>
        <w:t xml:space="preserve"> (5th ed.). Pearson Education.</w:t>
      </w:r>
    </w:p>
    <w:p w14:paraId="3D87E04F"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Kandampully, J., Zhang, T. C., &amp; Jaakkola, E. (2018). Customer experience management in hospitality: A literature synthesis and implications for future research. </w:t>
      </w:r>
      <w:r w:rsidRPr="00452437">
        <w:rPr>
          <w:rFonts w:ascii="Times New Roman" w:hAnsi="Times New Roman" w:cs="Times New Roman"/>
          <w:i/>
          <w:iCs/>
          <w:color w:val="000000" w:themeColor="text1"/>
          <w:szCs w:val="24"/>
        </w:rPr>
        <w:t>International Journal of Contemporary Hospitality Management, 30</w:t>
      </w:r>
      <w:r w:rsidRPr="00452437">
        <w:rPr>
          <w:rFonts w:ascii="Times New Roman" w:hAnsi="Times New Roman" w:cs="Times New Roman"/>
          <w:color w:val="000000" w:themeColor="text1"/>
          <w:szCs w:val="24"/>
        </w:rPr>
        <w:t>(1), 21–56. https://doi.org/10.1108/IJCHM-10-2015-0549</w:t>
      </w:r>
    </w:p>
    <w:p w14:paraId="20B50500"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Lashley, C. (2018). </w:t>
      </w:r>
      <w:r w:rsidRPr="00452437">
        <w:rPr>
          <w:rFonts w:ascii="Times New Roman" w:hAnsi="Times New Roman" w:cs="Times New Roman"/>
          <w:i/>
          <w:iCs/>
          <w:color w:val="000000" w:themeColor="text1"/>
          <w:szCs w:val="24"/>
        </w:rPr>
        <w:t>Hospitality management: A brief introduction</w:t>
      </w:r>
      <w:r w:rsidRPr="00452437">
        <w:rPr>
          <w:rFonts w:ascii="Times New Roman" w:hAnsi="Times New Roman" w:cs="Times New Roman"/>
          <w:color w:val="000000" w:themeColor="text1"/>
          <w:szCs w:val="24"/>
        </w:rPr>
        <w:t xml:space="preserve"> (2nd ed.). Routledge.</w:t>
      </w:r>
    </w:p>
    <w:p w14:paraId="5B8DA3B8"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Oakland, J. S. (2014). </w:t>
      </w:r>
      <w:r w:rsidRPr="00452437">
        <w:rPr>
          <w:rFonts w:ascii="Times New Roman" w:hAnsi="Times New Roman" w:cs="Times New Roman"/>
          <w:i/>
          <w:iCs/>
          <w:color w:val="000000" w:themeColor="text1"/>
          <w:szCs w:val="24"/>
        </w:rPr>
        <w:t>Total quality management and operational excellence: Text with cases</w:t>
      </w:r>
      <w:r w:rsidRPr="00452437">
        <w:rPr>
          <w:rFonts w:ascii="Times New Roman" w:hAnsi="Times New Roman" w:cs="Times New Roman"/>
          <w:color w:val="000000" w:themeColor="text1"/>
          <w:szCs w:val="24"/>
        </w:rPr>
        <w:t xml:space="preserve"> (4th ed.). Routledge.</w:t>
      </w:r>
    </w:p>
    <w:p w14:paraId="63CEB810"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Parasuraman, A., Zeithaml, V. A., &amp; Berry, L. L. (1988). SERVQUAL: A multiple-item scale for measuring consumer perceptions of service quality. </w:t>
      </w:r>
      <w:r w:rsidRPr="00452437">
        <w:rPr>
          <w:rFonts w:ascii="Times New Roman" w:hAnsi="Times New Roman" w:cs="Times New Roman"/>
          <w:i/>
          <w:iCs/>
          <w:color w:val="000000" w:themeColor="text1"/>
          <w:szCs w:val="24"/>
        </w:rPr>
        <w:t>Journal of Retailing, 64</w:t>
      </w:r>
      <w:r w:rsidRPr="00452437">
        <w:rPr>
          <w:rFonts w:ascii="Times New Roman" w:hAnsi="Times New Roman" w:cs="Times New Roman"/>
          <w:color w:val="000000" w:themeColor="text1"/>
          <w:szCs w:val="24"/>
        </w:rPr>
        <w:t>(1), 12–40.</w:t>
      </w:r>
    </w:p>
    <w:p w14:paraId="0C781F13"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Sigala, M. (2018). Implementing social customer relationship management in the hospitality industry. </w:t>
      </w:r>
      <w:r w:rsidRPr="00452437">
        <w:rPr>
          <w:rFonts w:ascii="Times New Roman" w:hAnsi="Times New Roman" w:cs="Times New Roman"/>
          <w:i/>
          <w:iCs/>
          <w:color w:val="000000" w:themeColor="text1"/>
          <w:szCs w:val="24"/>
        </w:rPr>
        <w:t>International Journal of Contemporary Hospitality Management, 30</w:t>
      </w:r>
      <w:r w:rsidRPr="00452437">
        <w:rPr>
          <w:rFonts w:ascii="Times New Roman" w:hAnsi="Times New Roman" w:cs="Times New Roman"/>
          <w:color w:val="000000" w:themeColor="text1"/>
          <w:szCs w:val="24"/>
        </w:rPr>
        <w:t>(7), 2692–2716. https://doi.org/10.1108/IJCHM-07-2016-0388</w:t>
      </w:r>
    </w:p>
    <w:p w14:paraId="774CC689"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lastRenderedPageBreak/>
        <w:t xml:space="preserve">Tax, S. S., Brown, S. W., &amp; Chandrashekaran, M. (1998). Customer evaluations of service complaint experiences. </w:t>
      </w:r>
      <w:r w:rsidRPr="00452437">
        <w:rPr>
          <w:rFonts w:ascii="Times New Roman" w:hAnsi="Times New Roman" w:cs="Times New Roman"/>
          <w:i/>
          <w:iCs/>
          <w:color w:val="000000" w:themeColor="text1"/>
          <w:szCs w:val="24"/>
        </w:rPr>
        <w:t>Journal of Marketing, 62</w:t>
      </w:r>
      <w:r w:rsidRPr="00452437">
        <w:rPr>
          <w:rFonts w:ascii="Times New Roman" w:hAnsi="Times New Roman" w:cs="Times New Roman"/>
          <w:color w:val="000000" w:themeColor="text1"/>
          <w:szCs w:val="24"/>
        </w:rPr>
        <w:t xml:space="preserve">(2), 60–76. </w:t>
      </w:r>
      <w:hyperlink r:id="rId7" w:tgtFrame="_new" w:history="1">
        <w:r w:rsidRPr="00452437">
          <w:rPr>
            <w:rStyle w:val="Hyperlink"/>
            <w:rFonts w:ascii="Times New Roman" w:hAnsi="Times New Roman" w:cs="Times New Roman"/>
            <w:szCs w:val="24"/>
          </w:rPr>
          <w:t>https://doi.org/10.1177/002224299806200205</w:t>
        </w:r>
      </w:hyperlink>
    </w:p>
    <w:p w14:paraId="57695D2B"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Xiang, Z., Schwartz, Z., Gerdes, J. H., &amp; Uysal, M. (2017). What can big data and text analytics tell us about hotel guest experience and satisfaction? </w:t>
      </w:r>
      <w:r w:rsidRPr="00452437">
        <w:rPr>
          <w:rFonts w:ascii="Times New Roman" w:hAnsi="Times New Roman" w:cs="Times New Roman"/>
          <w:i/>
          <w:iCs/>
          <w:color w:val="000000" w:themeColor="text1"/>
          <w:szCs w:val="24"/>
        </w:rPr>
        <w:t>Tourism Management, 59</w:t>
      </w:r>
      <w:r w:rsidRPr="00452437">
        <w:rPr>
          <w:rFonts w:ascii="Times New Roman" w:hAnsi="Times New Roman" w:cs="Times New Roman"/>
          <w:color w:val="000000" w:themeColor="text1"/>
          <w:szCs w:val="24"/>
        </w:rPr>
        <w:t>, 295–305. https://doi.org/10.1016/j.tourman.2016.08.015</w:t>
      </w:r>
    </w:p>
    <w:p w14:paraId="00282DF1"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Zeithaml, V. A., Bitner, M. J., &amp; Gremler, D. D. (2020). </w:t>
      </w:r>
      <w:r w:rsidRPr="00452437">
        <w:rPr>
          <w:rFonts w:ascii="Times New Roman" w:hAnsi="Times New Roman" w:cs="Times New Roman"/>
          <w:i/>
          <w:iCs/>
          <w:color w:val="000000" w:themeColor="text1"/>
          <w:szCs w:val="24"/>
        </w:rPr>
        <w:t>Services marketing: Integrating customer focus across the firm</w:t>
      </w:r>
      <w:r w:rsidRPr="00452437">
        <w:rPr>
          <w:rFonts w:ascii="Times New Roman" w:hAnsi="Times New Roman" w:cs="Times New Roman"/>
          <w:color w:val="000000" w:themeColor="text1"/>
          <w:szCs w:val="24"/>
        </w:rPr>
        <w:t xml:space="preserve"> (7th ed.). McGraw-Hill Education.</w:t>
      </w:r>
    </w:p>
    <w:p w14:paraId="0471EDC4" w14:textId="77777777" w:rsidR="001E2A7C" w:rsidRPr="00345836" w:rsidRDefault="001E2A7C" w:rsidP="00452437">
      <w:pPr>
        <w:spacing w:line="360" w:lineRule="auto"/>
        <w:rPr>
          <w:rFonts w:ascii="Times New Roman" w:hAnsi="Times New Roman" w:cs="Times New Roman"/>
          <w:color w:val="000000" w:themeColor="text1"/>
          <w:szCs w:val="24"/>
        </w:rPr>
      </w:pPr>
    </w:p>
    <w:sectPr w:rsidR="001E2A7C" w:rsidRPr="003458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3"/>
  </w:num>
  <w:num w:numId="3" w16cid:durableId="1950237153">
    <w:abstractNumId w:val="4"/>
  </w:num>
  <w:num w:numId="4" w16cid:durableId="1363168827">
    <w:abstractNumId w:val="38"/>
  </w:num>
  <w:num w:numId="5" w16cid:durableId="357974320">
    <w:abstractNumId w:val="12"/>
  </w:num>
  <w:num w:numId="6" w16cid:durableId="579674841">
    <w:abstractNumId w:val="13"/>
  </w:num>
  <w:num w:numId="7" w16cid:durableId="359084666">
    <w:abstractNumId w:val="11"/>
  </w:num>
  <w:num w:numId="8" w16cid:durableId="1333096502">
    <w:abstractNumId w:val="34"/>
  </w:num>
  <w:num w:numId="9" w16cid:durableId="897087251">
    <w:abstractNumId w:val="42"/>
  </w:num>
  <w:num w:numId="10" w16cid:durableId="1949465594">
    <w:abstractNumId w:val="45"/>
  </w:num>
  <w:num w:numId="11" w16cid:durableId="540483361">
    <w:abstractNumId w:val="37"/>
  </w:num>
  <w:num w:numId="12" w16cid:durableId="949244108">
    <w:abstractNumId w:val="44"/>
  </w:num>
  <w:num w:numId="13" w16cid:durableId="646470493">
    <w:abstractNumId w:val="26"/>
  </w:num>
  <w:num w:numId="14" w16cid:durableId="1633947311">
    <w:abstractNumId w:val="49"/>
  </w:num>
  <w:num w:numId="15" w16cid:durableId="958996080">
    <w:abstractNumId w:val="35"/>
  </w:num>
  <w:num w:numId="16" w16cid:durableId="1218054281">
    <w:abstractNumId w:val="18"/>
  </w:num>
  <w:num w:numId="17" w16cid:durableId="303777591">
    <w:abstractNumId w:val="28"/>
  </w:num>
  <w:num w:numId="18" w16cid:durableId="802387298">
    <w:abstractNumId w:val="47"/>
  </w:num>
  <w:num w:numId="19" w16cid:durableId="1948197075">
    <w:abstractNumId w:val="0"/>
  </w:num>
  <w:num w:numId="20" w16cid:durableId="1655917397">
    <w:abstractNumId w:val="17"/>
  </w:num>
  <w:num w:numId="21" w16cid:durableId="1052074971">
    <w:abstractNumId w:val="3"/>
  </w:num>
  <w:num w:numId="22" w16cid:durableId="98644351">
    <w:abstractNumId w:val="53"/>
  </w:num>
  <w:num w:numId="23" w16cid:durableId="1674335103">
    <w:abstractNumId w:val="54"/>
  </w:num>
  <w:num w:numId="24" w16cid:durableId="1212956802">
    <w:abstractNumId w:val="1"/>
  </w:num>
  <w:num w:numId="25" w16cid:durableId="1806390333">
    <w:abstractNumId w:val="48"/>
  </w:num>
  <w:num w:numId="26" w16cid:durableId="1089423568">
    <w:abstractNumId w:val="5"/>
  </w:num>
  <w:num w:numId="27" w16cid:durableId="1158611673">
    <w:abstractNumId w:val="36"/>
  </w:num>
  <w:num w:numId="28" w16cid:durableId="839468264">
    <w:abstractNumId w:val="20"/>
  </w:num>
  <w:num w:numId="29" w16cid:durableId="1218474286">
    <w:abstractNumId w:val="25"/>
  </w:num>
  <w:num w:numId="30" w16cid:durableId="1486164698">
    <w:abstractNumId w:val="50"/>
  </w:num>
  <w:num w:numId="31" w16cid:durableId="2007511022">
    <w:abstractNumId w:val="41"/>
  </w:num>
  <w:num w:numId="32" w16cid:durableId="1795828787">
    <w:abstractNumId w:val="32"/>
  </w:num>
  <w:num w:numId="33" w16cid:durableId="1214391941">
    <w:abstractNumId w:val="39"/>
  </w:num>
  <w:num w:numId="34" w16cid:durableId="1134829281">
    <w:abstractNumId w:val="31"/>
  </w:num>
  <w:num w:numId="35" w16cid:durableId="1448162929">
    <w:abstractNumId w:val="52"/>
  </w:num>
  <w:num w:numId="36" w16cid:durableId="1113014580">
    <w:abstractNumId w:val="14"/>
  </w:num>
  <w:num w:numId="37" w16cid:durableId="1485929363">
    <w:abstractNumId w:val="51"/>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9"/>
  </w:num>
  <w:num w:numId="44" w16cid:durableId="943423275">
    <w:abstractNumId w:val="30"/>
  </w:num>
  <w:num w:numId="45" w16cid:durableId="723529735">
    <w:abstractNumId w:val="43"/>
  </w:num>
  <w:num w:numId="46" w16cid:durableId="911889532">
    <w:abstractNumId w:val="22"/>
  </w:num>
  <w:num w:numId="47" w16cid:durableId="767849633">
    <w:abstractNumId w:val="40"/>
  </w:num>
  <w:num w:numId="48" w16cid:durableId="306053586">
    <w:abstractNumId w:val="6"/>
  </w:num>
  <w:num w:numId="49" w16cid:durableId="1996687574">
    <w:abstractNumId w:val="46"/>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E04F4"/>
    <w:rsid w:val="000E1A2C"/>
    <w:rsid w:val="00100191"/>
    <w:rsid w:val="00143A1A"/>
    <w:rsid w:val="00143D83"/>
    <w:rsid w:val="00151724"/>
    <w:rsid w:val="00153DD8"/>
    <w:rsid w:val="00160E9C"/>
    <w:rsid w:val="00174C04"/>
    <w:rsid w:val="0018722F"/>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28DB"/>
    <w:rsid w:val="002E7AD7"/>
    <w:rsid w:val="002F73F5"/>
    <w:rsid w:val="00305511"/>
    <w:rsid w:val="003124C8"/>
    <w:rsid w:val="00313D22"/>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5243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31D00"/>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45360"/>
    <w:rsid w:val="00654B4B"/>
    <w:rsid w:val="00661C0E"/>
    <w:rsid w:val="006640E0"/>
    <w:rsid w:val="006A1855"/>
    <w:rsid w:val="006A39D8"/>
    <w:rsid w:val="006A4481"/>
    <w:rsid w:val="006C6E7E"/>
    <w:rsid w:val="006D483F"/>
    <w:rsid w:val="00714A73"/>
    <w:rsid w:val="0073169A"/>
    <w:rsid w:val="007367D0"/>
    <w:rsid w:val="00751C25"/>
    <w:rsid w:val="007560CF"/>
    <w:rsid w:val="00770D56"/>
    <w:rsid w:val="00773FB7"/>
    <w:rsid w:val="00792C80"/>
    <w:rsid w:val="007975D2"/>
    <w:rsid w:val="007B37BD"/>
    <w:rsid w:val="007D6CCE"/>
    <w:rsid w:val="007E2C5A"/>
    <w:rsid w:val="007F2D81"/>
    <w:rsid w:val="00810849"/>
    <w:rsid w:val="008146F5"/>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55509"/>
    <w:rsid w:val="009634A6"/>
    <w:rsid w:val="009745D8"/>
    <w:rsid w:val="00974FC7"/>
    <w:rsid w:val="00977624"/>
    <w:rsid w:val="00986E2A"/>
    <w:rsid w:val="00987C16"/>
    <w:rsid w:val="009956D6"/>
    <w:rsid w:val="009A1709"/>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A1294"/>
    <w:rsid w:val="00AC3926"/>
    <w:rsid w:val="00AD05F9"/>
    <w:rsid w:val="00AD40B1"/>
    <w:rsid w:val="00B02610"/>
    <w:rsid w:val="00B02D87"/>
    <w:rsid w:val="00B06124"/>
    <w:rsid w:val="00B3019D"/>
    <w:rsid w:val="00B425D9"/>
    <w:rsid w:val="00B6174C"/>
    <w:rsid w:val="00B74633"/>
    <w:rsid w:val="00B75166"/>
    <w:rsid w:val="00B80826"/>
    <w:rsid w:val="00B83471"/>
    <w:rsid w:val="00B8435D"/>
    <w:rsid w:val="00B847AE"/>
    <w:rsid w:val="00BB783D"/>
    <w:rsid w:val="00BD23A3"/>
    <w:rsid w:val="00BD4725"/>
    <w:rsid w:val="00BD68D7"/>
    <w:rsid w:val="00BF0D10"/>
    <w:rsid w:val="00BF4BBC"/>
    <w:rsid w:val="00C1597C"/>
    <w:rsid w:val="00C435B3"/>
    <w:rsid w:val="00C65F2E"/>
    <w:rsid w:val="00C74CF2"/>
    <w:rsid w:val="00C82410"/>
    <w:rsid w:val="00CC17BF"/>
    <w:rsid w:val="00CC457B"/>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1266E"/>
    <w:rsid w:val="00E2656D"/>
    <w:rsid w:val="00E33913"/>
    <w:rsid w:val="00E34C40"/>
    <w:rsid w:val="00E47DA5"/>
    <w:rsid w:val="00E63B86"/>
    <w:rsid w:val="00E648E9"/>
    <w:rsid w:val="00E765CF"/>
    <w:rsid w:val="00E87329"/>
    <w:rsid w:val="00E952CA"/>
    <w:rsid w:val="00EB04D0"/>
    <w:rsid w:val="00EB175A"/>
    <w:rsid w:val="00EB264E"/>
    <w:rsid w:val="00EB37A9"/>
    <w:rsid w:val="00EC356C"/>
    <w:rsid w:val="00ED1841"/>
    <w:rsid w:val="00EF40F7"/>
    <w:rsid w:val="00EF6A04"/>
    <w:rsid w:val="00F10114"/>
    <w:rsid w:val="00F11085"/>
    <w:rsid w:val="00F13212"/>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77/0022242998062002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4889</Words>
  <Characters>27872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2025-12-23T10:54:00Z</dcterms:created>
  <dcterms:modified xsi:type="dcterms:W3CDTF">2025-12-23T10:54:00Z</dcterms:modified>
</cp:coreProperties>
</file>