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798965">
      <w:pPr>
        <w:spacing w:line="720" w:lineRule="auto"/>
        <w:jc w:val="center"/>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M22 - Cultural Heritage Management</w:t>
      </w:r>
    </w:p>
    <w:p w14:paraId="3A7664EA">
      <w:pPr>
        <w:spacing w:line="720" w:lineRule="auto"/>
        <w:jc w:val="center"/>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Option 2: Intangible Cultural Heritage and Community Participation</w:t>
      </w:r>
    </w:p>
    <w:p w14:paraId="107B6045">
      <w:r>
        <w:br w:type="page"/>
      </w:r>
    </w:p>
    <w:p w14:paraId="36BE1258">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0" w:name="_Toc26798"/>
      <w:r>
        <w:rPr>
          <w:rFonts w:hint="default" w:ascii="Times New Roman" w:hAnsi="Times New Roman" w:cs="Times New Roman"/>
          <w:sz w:val="24"/>
          <w:szCs w:val="24"/>
        </w:rPr>
        <w:t>ABSTRACT</w:t>
      </w:r>
      <w:bookmarkEnd w:id="0"/>
    </w:p>
    <w:p w14:paraId="077D686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Intangible cultural heritage is an essential component of human civilization because it reflects the living traditions, cultural expressions, values, and collective knowledge passed from one generation to another. It includes oral traditions, rituals, folk music, dance, festivals, traditional craftsmanship, indigenous languages, culinary practices, and social customs that form the identity of communities worldwide. Unlike monuments or archaeological sites, intangible cultural heritage survives through continuous practice, social interaction, and community participation. These cultural traditions strengthen social cohesion, preserve historical continuity, and promote cultural diversity across societies.</w:t>
      </w:r>
    </w:p>
    <w:p w14:paraId="14838C0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 the contemporary era, intangible cultural heritage faces serious challenges due to globalization, urbanization, industrialization, migration, commercialization, and technological transformation. Rapid social change has reduced community participation in traditional practices, especially among younger generations. Many indigenous languages, folk traditions, and artisanal occupations are therefore endangered (UNESCO, 2003). Modern entertainment and global popular culture have further weakened the transmission of traditional knowledge systems within communities.</w:t>
      </w:r>
    </w:p>
    <w:p w14:paraId="10F6A81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 engagement has emerged as one of the most effective approaches for safeguarding intangible cultural heritage because local communities are the creators, practitioners, and transmitters of cultural traditions. Active participation by communities improves authenticity, sustainability, and intergenerational knowledge transfer (Bortolotto, 2011). Educational institutions, cultural organizations, museums, tourism authorities, and governments also play significant roles in promoting cultural preservation and awareness.</w:t>
      </w:r>
    </w:p>
    <w:p w14:paraId="0D7DB44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examines the importance of intangible cultural heritage and analyzes the role of community engagement in preserving traditional cultural expressions. It further explores the impact of tourism, education, technology, globalization, and policy frameworks on safeguarding living heritage. The report concludes that sustainable preservation requires collaborative efforts between communities, governments, researchers, and international organizations to ensure that cultural traditions continue to survive and evolve for future generations.</w:t>
      </w:r>
    </w:p>
    <w:p w14:paraId="16A44E64">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0DD40850">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070BF8F8">
      <w:pPr>
        <w:pStyle w:val="12"/>
        <w:tabs>
          <w:tab w:val="right" w:leader="dot" w:pos="8306"/>
        </w:tabs>
        <w:spacing w:line="480" w:lineRule="auto"/>
        <w:ind w:left="0" w:leftChars="0" w:firstLine="0" w:firstLineChars="0"/>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_Toc26798 </w:instrText>
      </w:r>
      <w:r>
        <w:rPr>
          <w:rFonts w:hint="default" w:ascii="Times New Roman" w:hAnsi="Times New Roman" w:cs="Times New Roman"/>
          <w:szCs w:val="24"/>
        </w:rPr>
        <w:fldChar w:fldCharType="separate"/>
      </w:r>
      <w:r>
        <w:rPr>
          <w:rFonts w:hint="default" w:ascii="Times New Roman" w:hAnsi="Times New Roman" w:cs="Times New Roman"/>
          <w:szCs w:val="24"/>
        </w:rPr>
        <w:t>ABSTRACT</w:t>
      </w:r>
      <w:r>
        <w:tab/>
      </w:r>
      <w:r>
        <w:fldChar w:fldCharType="begin"/>
      </w:r>
      <w:r>
        <w:instrText xml:space="preserve"> PAGEREF _Toc26798 \h </w:instrText>
      </w:r>
      <w:r>
        <w:fldChar w:fldCharType="separate"/>
      </w:r>
      <w:r>
        <w:t>2</w:t>
      </w:r>
      <w:r>
        <w:fldChar w:fldCharType="end"/>
      </w:r>
      <w:r>
        <w:rPr>
          <w:rFonts w:hint="default" w:ascii="Times New Roman" w:hAnsi="Times New Roman" w:cs="Times New Roman"/>
          <w:szCs w:val="24"/>
        </w:rPr>
        <w:fldChar w:fldCharType="end"/>
      </w:r>
    </w:p>
    <w:p w14:paraId="2DE0EEA6">
      <w:pPr>
        <w:pStyle w:val="11"/>
        <w:tabs>
          <w:tab w:val="right" w:leader="dot" w:pos="8306"/>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_Toc12095 </w:instrText>
      </w:r>
      <w:r>
        <w:rPr>
          <w:rFonts w:hint="default" w:ascii="Times New Roman" w:hAnsi="Times New Roman" w:cs="Times New Roman"/>
          <w:szCs w:val="24"/>
        </w:rPr>
        <w:fldChar w:fldCharType="separate"/>
      </w:r>
      <w:r>
        <w:rPr>
          <w:rFonts w:hint="default" w:ascii="Times New Roman" w:hAnsi="Times New Roman" w:cs="Times New Roman"/>
          <w:szCs w:val="24"/>
        </w:rPr>
        <w:t>INTRODUCTION</w:t>
      </w:r>
      <w:r>
        <w:tab/>
      </w:r>
      <w:r>
        <w:fldChar w:fldCharType="begin"/>
      </w:r>
      <w:r>
        <w:instrText xml:space="preserve"> PAGEREF _Toc12095 \h </w:instrText>
      </w:r>
      <w:r>
        <w:fldChar w:fldCharType="separate"/>
      </w:r>
      <w:r>
        <w:t>6</w:t>
      </w:r>
      <w:r>
        <w:fldChar w:fldCharType="end"/>
      </w:r>
      <w:r>
        <w:rPr>
          <w:rFonts w:hint="default" w:ascii="Times New Roman" w:hAnsi="Times New Roman" w:cs="Times New Roman"/>
          <w:szCs w:val="24"/>
        </w:rPr>
        <w:fldChar w:fldCharType="end"/>
      </w:r>
    </w:p>
    <w:p w14:paraId="40D80D3F">
      <w:pPr>
        <w:pStyle w:val="11"/>
        <w:tabs>
          <w:tab w:val="right" w:leader="dot" w:pos="8306"/>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_Toc32013 </w:instrText>
      </w:r>
      <w:r>
        <w:rPr>
          <w:rFonts w:hint="default" w:ascii="Times New Roman" w:hAnsi="Times New Roman" w:cs="Times New Roman"/>
          <w:szCs w:val="24"/>
        </w:rPr>
        <w:fldChar w:fldCharType="separate"/>
      </w:r>
      <w:r>
        <w:rPr>
          <w:rFonts w:hint="default" w:ascii="Times New Roman" w:hAnsi="Times New Roman" w:cs="Times New Roman"/>
          <w:szCs w:val="24"/>
        </w:rPr>
        <w:t>LITERATURE REVIEW</w:t>
      </w:r>
      <w:r>
        <w:tab/>
      </w:r>
      <w:r>
        <w:fldChar w:fldCharType="begin"/>
      </w:r>
      <w:r>
        <w:instrText xml:space="preserve"> PAGEREF _Toc32013 \h </w:instrText>
      </w:r>
      <w:r>
        <w:fldChar w:fldCharType="separate"/>
      </w:r>
      <w:r>
        <w:t>9</w:t>
      </w:r>
      <w:r>
        <w:fldChar w:fldCharType="end"/>
      </w:r>
      <w:r>
        <w:rPr>
          <w:rFonts w:hint="default" w:ascii="Times New Roman" w:hAnsi="Times New Roman" w:cs="Times New Roman"/>
          <w:szCs w:val="24"/>
        </w:rPr>
        <w:fldChar w:fldCharType="end"/>
      </w:r>
    </w:p>
    <w:p w14:paraId="3765A136">
      <w:pPr>
        <w:pStyle w:val="11"/>
        <w:tabs>
          <w:tab w:val="right" w:leader="dot" w:pos="8306"/>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_Toc31443 </w:instrText>
      </w:r>
      <w:r>
        <w:rPr>
          <w:rFonts w:hint="default" w:ascii="Times New Roman" w:hAnsi="Times New Roman" w:cs="Times New Roman"/>
          <w:szCs w:val="24"/>
        </w:rPr>
        <w:fldChar w:fldCharType="separate"/>
      </w:r>
      <w:r>
        <w:rPr>
          <w:rFonts w:hint="default" w:ascii="Times New Roman" w:hAnsi="Times New Roman" w:cs="Times New Roman"/>
          <w:szCs w:val="24"/>
        </w:rPr>
        <w:t>METHODOLOGY</w:t>
      </w:r>
      <w:r>
        <w:tab/>
      </w:r>
      <w:r>
        <w:fldChar w:fldCharType="begin"/>
      </w:r>
      <w:r>
        <w:instrText xml:space="preserve"> PAGEREF _Toc31443 \h </w:instrText>
      </w:r>
      <w:r>
        <w:fldChar w:fldCharType="separate"/>
      </w:r>
      <w:r>
        <w:t>16</w:t>
      </w:r>
      <w:r>
        <w:fldChar w:fldCharType="end"/>
      </w:r>
      <w:r>
        <w:rPr>
          <w:rFonts w:hint="default" w:ascii="Times New Roman" w:hAnsi="Times New Roman" w:cs="Times New Roman"/>
          <w:szCs w:val="24"/>
        </w:rPr>
        <w:fldChar w:fldCharType="end"/>
      </w:r>
    </w:p>
    <w:p w14:paraId="5E2CA872">
      <w:pPr>
        <w:pStyle w:val="11"/>
        <w:tabs>
          <w:tab w:val="right" w:leader="dot" w:pos="8306"/>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_Toc10458 </w:instrText>
      </w:r>
      <w:r>
        <w:rPr>
          <w:rFonts w:hint="default" w:ascii="Times New Roman" w:hAnsi="Times New Roman" w:cs="Times New Roman"/>
          <w:szCs w:val="24"/>
        </w:rPr>
        <w:fldChar w:fldCharType="separate"/>
      </w:r>
      <w:r>
        <w:rPr>
          <w:rFonts w:hint="default" w:ascii="Times New Roman" w:hAnsi="Times New Roman" w:cs="Times New Roman"/>
          <w:szCs w:val="24"/>
        </w:rPr>
        <w:t>FINDINGS</w:t>
      </w:r>
      <w:r>
        <w:tab/>
      </w:r>
      <w:r>
        <w:fldChar w:fldCharType="begin"/>
      </w:r>
      <w:r>
        <w:instrText xml:space="preserve"> PAGEREF _Toc10458 \h </w:instrText>
      </w:r>
      <w:r>
        <w:fldChar w:fldCharType="separate"/>
      </w:r>
      <w:r>
        <w:t>19</w:t>
      </w:r>
      <w:r>
        <w:fldChar w:fldCharType="end"/>
      </w:r>
      <w:r>
        <w:rPr>
          <w:rFonts w:hint="default" w:ascii="Times New Roman" w:hAnsi="Times New Roman" w:cs="Times New Roman"/>
          <w:szCs w:val="24"/>
        </w:rPr>
        <w:fldChar w:fldCharType="end"/>
      </w:r>
    </w:p>
    <w:p w14:paraId="26EA6DA4">
      <w:pPr>
        <w:pStyle w:val="11"/>
        <w:tabs>
          <w:tab w:val="right" w:leader="dot" w:pos="8306"/>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_Toc4002 </w:instrText>
      </w:r>
      <w:r>
        <w:rPr>
          <w:rFonts w:hint="default" w:ascii="Times New Roman" w:hAnsi="Times New Roman" w:cs="Times New Roman"/>
          <w:szCs w:val="24"/>
        </w:rPr>
        <w:fldChar w:fldCharType="separate"/>
      </w:r>
      <w:r>
        <w:rPr>
          <w:rFonts w:hint="default" w:ascii="Times New Roman" w:hAnsi="Times New Roman" w:cs="Times New Roman"/>
          <w:szCs w:val="24"/>
        </w:rPr>
        <w:t>DISCUSSION</w:t>
      </w:r>
      <w:r>
        <w:tab/>
      </w:r>
      <w:r>
        <w:fldChar w:fldCharType="begin"/>
      </w:r>
      <w:r>
        <w:instrText xml:space="preserve"> PAGEREF _Toc4002 \h </w:instrText>
      </w:r>
      <w:r>
        <w:fldChar w:fldCharType="separate"/>
      </w:r>
      <w:r>
        <w:t>23</w:t>
      </w:r>
      <w:r>
        <w:fldChar w:fldCharType="end"/>
      </w:r>
      <w:r>
        <w:rPr>
          <w:rFonts w:hint="default" w:ascii="Times New Roman" w:hAnsi="Times New Roman" w:cs="Times New Roman"/>
          <w:szCs w:val="24"/>
        </w:rPr>
        <w:fldChar w:fldCharType="end"/>
      </w:r>
    </w:p>
    <w:p w14:paraId="6652A637">
      <w:pPr>
        <w:pStyle w:val="11"/>
        <w:tabs>
          <w:tab w:val="right" w:leader="dot" w:pos="8306"/>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_Toc18436 </w:instrText>
      </w:r>
      <w:r>
        <w:rPr>
          <w:rFonts w:hint="default" w:ascii="Times New Roman" w:hAnsi="Times New Roman" w:cs="Times New Roman"/>
          <w:szCs w:val="24"/>
        </w:rPr>
        <w:fldChar w:fldCharType="separate"/>
      </w:r>
      <w:r>
        <w:rPr>
          <w:rFonts w:hint="default" w:ascii="Times New Roman" w:hAnsi="Times New Roman" w:cs="Times New Roman"/>
          <w:szCs w:val="24"/>
        </w:rPr>
        <w:t>CONCLUSION</w:t>
      </w:r>
      <w:r>
        <w:tab/>
      </w:r>
      <w:r>
        <w:fldChar w:fldCharType="begin"/>
      </w:r>
      <w:r>
        <w:instrText xml:space="preserve"> PAGEREF _Toc18436 \h </w:instrText>
      </w:r>
      <w:r>
        <w:fldChar w:fldCharType="separate"/>
      </w:r>
      <w:r>
        <w:t>26</w:t>
      </w:r>
      <w:r>
        <w:fldChar w:fldCharType="end"/>
      </w:r>
      <w:r>
        <w:rPr>
          <w:rFonts w:hint="default" w:ascii="Times New Roman" w:hAnsi="Times New Roman" w:cs="Times New Roman"/>
          <w:szCs w:val="24"/>
        </w:rPr>
        <w:fldChar w:fldCharType="end"/>
      </w:r>
    </w:p>
    <w:p w14:paraId="7CDA6A37">
      <w:pPr>
        <w:pStyle w:val="11"/>
        <w:tabs>
          <w:tab w:val="right" w:leader="dot" w:pos="8306"/>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_Toc1854 </w:instrText>
      </w:r>
      <w:r>
        <w:rPr>
          <w:rFonts w:hint="default" w:ascii="Times New Roman" w:hAnsi="Times New Roman" w:cs="Times New Roman"/>
          <w:szCs w:val="24"/>
        </w:rPr>
        <w:fldChar w:fldCharType="separate"/>
      </w:r>
      <w:r>
        <w:rPr>
          <w:rFonts w:hint="default" w:ascii="Times New Roman" w:hAnsi="Times New Roman" w:cs="Times New Roman"/>
          <w:szCs w:val="24"/>
        </w:rPr>
        <w:t>REFERENCES</w:t>
      </w:r>
      <w:r>
        <w:tab/>
      </w:r>
      <w:r>
        <w:fldChar w:fldCharType="begin"/>
      </w:r>
      <w:r>
        <w:instrText xml:space="preserve"> PAGEREF _Toc1854 \h </w:instrText>
      </w:r>
      <w:r>
        <w:fldChar w:fldCharType="separate"/>
      </w:r>
      <w:r>
        <w:t>28</w:t>
      </w:r>
      <w:r>
        <w:fldChar w:fldCharType="end"/>
      </w:r>
      <w:r>
        <w:rPr>
          <w:rFonts w:hint="default" w:ascii="Times New Roman" w:hAnsi="Times New Roman" w:cs="Times New Roman"/>
          <w:szCs w:val="24"/>
        </w:rPr>
        <w:fldChar w:fldCharType="end"/>
      </w:r>
    </w:p>
    <w:p w14:paraId="0F52DA3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Cs w:val="24"/>
        </w:rPr>
        <w:fldChar w:fldCharType="end"/>
      </w:r>
    </w:p>
    <w:p w14:paraId="16DF5393">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3C6E8153">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 w:name="_Toc12095"/>
      <w:r>
        <w:rPr>
          <w:rFonts w:hint="default" w:ascii="Times New Roman" w:hAnsi="Times New Roman" w:cs="Times New Roman"/>
          <w:sz w:val="24"/>
          <w:szCs w:val="24"/>
        </w:rPr>
        <w:t>INTRODUCTION</w:t>
      </w:r>
      <w:bookmarkEnd w:id="1"/>
    </w:p>
    <w:p w14:paraId="68D929E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Intangible cultural heritage represents the living expressions and practices that communities inherit from their ancestors and continue to maintain in their social and cultural lives. These traditions include oral storytelling, performing arts, religious ceremonies, rituals, language, traditional medicine, festive events, craftsmanship, and indigenous knowledge systems. Such cultural expressions preserve collective memory, strengthen social identity, and connect communities with their historical roots (Smith &amp; Akagawa, 2009).</w:t>
      </w:r>
    </w:p>
    <w:p w14:paraId="756040A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Unlike tangible heritage such as monuments and historical structures, intangible heritage depends entirely on human participation and social transmission. Cultural traditions survive only when individuals actively practice, perform, teach, and adapt them according to changing social conditions. This dynamic nature makes intangible cultural heritage highly vulnerable to social and economic transformation (Kirshenblatt-Gimblett, 2004). If communities stop practicing their traditions, the cultural knowledge associated with them may disappear permanently.</w:t>
      </w:r>
    </w:p>
    <w:p w14:paraId="5E731B9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Intangible cultural heritage contributes significantly to cultural diversity and social harmony. Community festivals, folk music, traditional dance, and oral traditions encourage social interaction and strengthen relationships among community members. Cultural practices also create opportunities for intercultural dialogue and mutual respect among different societies (Deacon et al., 2004). In multicultural countries, cultural traditions often promote peaceful coexistence and social inclusion.</w:t>
      </w:r>
    </w:p>
    <w:p w14:paraId="73E3ED2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Traditional knowledge systems associated with intangible heritage also contribute to environmental sustainability and economic development. Indigenous agricultural methods, herbal medicine, water conservation systems, and artisanal craftsmanship reflect centuries of practical knowledge developed through community experience (UNESCO, 2021). Traditional crafts and cultural industries further generate employment opportunities and support local economies through tourism and creative markets.</w:t>
      </w:r>
    </w:p>
    <w:p w14:paraId="0335A26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Despite its importance, intangible cultural heritage faces increasing threats in modern society. Globalization and urbanization have transformed lifestyles and communication patterns, reducing participation in traditional customs and community activities. Younger generations are increasingly influenced by digital entertainment and global popular culture, resulting in declining interest in local traditions and indigenous languages (Hafstein, 2009). Migration from rural to urban areas has further weakened community connections and cultural continuity.</w:t>
      </w:r>
    </w:p>
    <w:p w14:paraId="378D7B9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Tourism has created both opportunities and challenges for cultural preservation. Heritage tourism supports local economies by promoting cultural festivals, folk performances, handicrafts, and culinary traditions. It also increases international awareness regarding cultural diversity (Timothy, 2011). However, commercialization can threaten authenticity when traditions are modified primarily for tourist entertainment and financial profit.</w:t>
      </w:r>
    </w:p>
    <w:p w14:paraId="0F196E8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has introduced new possibilities for preserving and promoting intangible cultural heritage. Digital archives, online museums, audiovisual recordings, social media platforms, podcasts, and virtual exhibitions help document endangered traditions and improve accessibility for global audiences (Giaccardi, 2012). Digital storytelling projects and virtual heritage programs also encourage younger generations to reconnect with traditional practices through modern communication methods.</w:t>
      </w:r>
    </w:p>
    <w:p w14:paraId="5D0E6CA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Governments and international organizations have recognized the importance of safeguarding living heritage through policies, legal frameworks, educational programs, and international conventions. UNESCO’s Convention for the Safeguarding of the Intangible Cultural Heritage adopted in 2003 emphasized community participation as the foundation of effective preservation strategies (UNESCO, 2003). Many countries have since established heritage inventories, cultural festivals, language revitalization initiatives, and artisan support programs.</w:t>
      </w:r>
    </w:p>
    <w:p w14:paraId="78E6897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 engagement remains the most important factor in safeguarding intangible cultural heritage. Communities possess practical knowledge, emotional attachment, and cultural responsibility toward their traditions. Their participation ensures authenticity, continuity, and long-term sustainability of preservation programs (Waterton &amp; Smith, 2010).</w:t>
      </w:r>
    </w:p>
    <w:p w14:paraId="49D5C49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aspect of intangible heritage is its contribution to psychological well-being and social resilience. Shared traditions, rituals, and collective celebrations create emotional stability and strengthen social support systems within communities. During periods of social change and globalization, cultural traditions help communities maintain continuity and identity despite external pressures.</w:t>
      </w:r>
    </w:p>
    <w:p w14:paraId="6E7A468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Intangible heritage also plays a major role in promoting creativity and innovation. Traditional music, textile art, architecture, cuisine, and storytelling inspire contemporary artistic expression and cultural industries. Many modern designers, artists, and filmmakers incorporate traditional cultural elements into creative production while preserving cultural identity.</w:t>
      </w:r>
    </w:p>
    <w:p w14:paraId="1BE6BD8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explores the significance of intangible cultural heritage and examines how community engagement supports the preservation of living traditions in the modern world. It further analyzes the impact of globalization, education, tourism, technology, and policymaking on cultural sustainability and intergenerational knowledge transfer.</w:t>
      </w:r>
    </w:p>
    <w:p w14:paraId="4D0A4327">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2" w:name="_Toc32013"/>
      <w:r>
        <w:rPr>
          <w:rFonts w:hint="default" w:ascii="Times New Roman" w:hAnsi="Times New Roman" w:cs="Times New Roman"/>
          <w:sz w:val="24"/>
          <w:szCs w:val="24"/>
        </w:rPr>
        <w:t>LITERATURE REVIEW</w:t>
      </w:r>
      <w:bookmarkEnd w:id="2"/>
    </w:p>
    <w:p w14:paraId="370A102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Academic discussions regarding intangible cultural heritage have expanded significantly over the past two decades due to growing concerns about cultural homogenization and the disappearance of traditional practices. Earlier heritage studies mainly focused on preserving monuments, archaeological remains, museums, and historical architecture. However, scholars later recognized that cultural heritage also exists in living traditions, oral expressions, rituals, craftsmanship, social customs, and indigenous knowledge systems (Vecco, 2010).</w:t>
      </w:r>
    </w:p>
    <w:p w14:paraId="2FBD3C4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UNESCO’s Convention for the Safeguarding of the Intangible Cultural Heritage in 2003 became a major milestone in heritage studies. The convention defined intangible cultural heritage as practices, skills, knowledge, and cultural expressions recognized by communities as part of their cultural identity (UNESCO, 2003). Researchers believe this convention strengthened international cooperation and increased public awareness regarding living heritage preservation.</w:t>
      </w:r>
    </w:p>
    <w:p w14:paraId="40E97D0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Kirshenblatt-Gimblett (2004) described intangible heritage as a form of “living knowledge” that survives through cultural performance and participation. Unlike physical heritage objects, intangible heritage remains meaningful only when communities continue practicing and transmitting traditions through everyday social life. This perspective emphasizes the importance of human interaction and intergenerational learning.</w:t>
      </w:r>
    </w:p>
    <w:p w14:paraId="3E7B562E">
      <w:pPr>
        <w:pStyle w:val="10"/>
        <w:keepNext w:val="0"/>
        <w:keepLines w:val="0"/>
        <w:widowControl/>
        <w:suppressLineNumbers w:val="0"/>
        <w:spacing w:line="480" w:lineRule="auto"/>
        <w:jc w:val="both"/>
      </w:pPr>
      <w:r>
        <w:rPr>
          <w:rFonts w:hint="default" w:ascii="Times New Roman" w:hAnsi="Times New Roman" w:cs="Times New Roman"/>
          <w:sz w:val="24"/>
          <w:szCs w:val="24"/>
        </w:rPr>
        <w:t>Scholars have strongly connected intangible heritage with identity formation and social belonging. Traditional music, dance, oral histories, rituals, and festivals preserve collective memory and strengthen community relationships (Smith &amp; Akagawa, 2009). Cultural traditions also contribute to emotional attachment and social stability within communities.</w:t>
      </w:r>
      <w:r>
        <w:rPr>
          <w:rFonts w:hint="default" w:ascii="Times New Roman" w:hAnsi="Times New Roman" w:cs="Times New Roman"/>
          <w:sz w:val="24"/>
          <w:szCs w:val="24"/>
          <w:lang w:val="en-US"/>
        </w:rPr>
        <w:t xml:space="preserve"> </w:t>
      </w:r>
      <w:r>
        <w:t>Recent literature has increasingly explored the relationship between intangible cultural heritage and sustainable urban development. Rapid urbanization has transformed traditional community structures, resulting in reduced participation in local customs and collective rituals. Researchers argue that modern cities often prioritize economic development and infrastructure expansion while neglecting cultural continuity and local identity (Logan et al., 2015). As rural populations migrate to urban centers, many traditional cultural practices lose their social environment and community support systems. However, scholars also note that urban cultural festivals, community art programs, and heritage neighborhoods can help revive traditional expressions within modern urban spaces.</w:t>
      </w:r>
    </w:p>
    <w:p w14:paraId="01F341D4">
      <w:pPr>
        <w:pStyle w:val="10"/>
        <w:keepNext w:val="0"/>
        <w:keepLines w:val="0"/>
        <w:widowControl/>
        <w:suppressLineNumbers w:val="0"/>
        <w:spacing w:line="480" w:lineRule="auto"/>
        <w:jc w:val="both"/>
      </w:pPr>
      <w:r>
        <w:t>Another important area of research concerns the role of museums and cultural institutions in safeguarding living heritage. Traditional museums primarily focused on collecting and displaying historical objects, but contemporary heritage studies emphasize participatory and community-centered approaches. Modern museums now organize live demonstrations, storytelling sessions, oral history projects, music performances, and craft workshops to engage audiences with living traditions (Giaccardi, 2012). Researchers believe that interactive heritage experiences improve public understanding and encourage community participation in preservation activities.</w:t>
      </w:r>
    </w:p>
    <w:p w14:paraId="0FD85D34">
      <w:pPr>
        <w:pStyle w:val="10"/>
        <w:keepNext w:val="0"/>
        <w:keepLines w:val="0"/>
        <w:widowControl/>
        <w:suppressLineNumbers w:val="0"/>
        <w:spacing w:line="480" w:lineRule="auto"/>
        <w:jc w:val="both"/>
      </w:pPr>
      <w:r>
        <w:t>Academic discussions have also focused on the connection between intangible cultural heritage and cultural diplomacy. Governments increasingly use traditional arts, music, cuisine, festivals, and cultural exchanges to strengthen international relations and promote national identity globally. Cultural diplomacy programs encourage intercultural dialogue and mutual respect among nations while increasing international awareness regarding local traditions (Blake, 2015). Scholars suggest that heritage-based diplomacy contributes to peaceful cooperation and global cultural understanding.</w:t>
      </w:r>
    </w:p>
    <w:p w14:paraId="5CA35817">
      <w:pPr>
        <w:pStyle w:val="10"/>
        <w:keepNext w:val="0"/>
        <w:keepLines w:val="0"/>
        <w:widowControl/>
        <w:suppressLineNumbers w:val="0"/>
        <w:spacing w:line="480" w:lineRule="auto"/>
        <w:jc w:val="both"/>
      </w:pPr>
      <w:r>
        <w:t>Researchers have additionally highlighted the importance of intergenerational knowledge transfer in safeguarding intangible heritage. Traditional knowledge survives only when older generations actively transmit cultural practices to younger community members through participation, observation, and oral instruction. Family traditions, apprenticeships, and community rituals therefore play an essential role in preserving cultural continuity (Harrison, 2007). Studies indicate that weakening family structures and changing lifestyles have reduced opportunities for such transmission in many societies.</w:t>
      </w:r>
    </w:p>
    <w:p w14:paraId="2C81A74A">
      <w:pPr>
        <w:pStyle w:val="10"/>
        <w:keepNext w:val="0"/>
        <w:keepLines w:val="0"/>
        <w:widowControl/>
        <w:suppressLineNumbers w:val="0"/>
        <w:spacing w:line="480" w:lineRule="auto"/>
        <w:jc w:val="both"/>
      </w:pPr>
      <w:r>
        <w:t>Another emerging topic in heritage studies is the impact of climate change on intangible cultural heritage. Environmental changes such as droughts, floods, rising temperatures, and biodiversity loss affect traditional agricultural systems, seasonal festivals, fishing practices, and indigenous ecological knowledge. Communities dependent on natural resources often experience disruption of cultural activities closely connected with environmental conditions (UNESCO, 2021). Researchers therefore emphasize integrating cultural heritage protection into climate adaptation policies and environmental planning.</w:t>
      </w:r>
    </w:p>
    <w:p w14:paraId="1A882A6C">
      <w:pPr>
        <w:pStyle w:val="10"/>
        <w:keepNext w:val="0"/>
        <w:keepLines w:val="0"/>
        <w:widowControl/>
        <w:suppressLineNumbers w:val="0"/>
        <w:spacing w:line="480" w:lineRule="auto"/>
        <w:jc w:val="both"/>
      </w:pPr>
      <w:r>
        <w:t>The literature also examines the commercialization of traditional crafts and artistic practices within global markets. International demand for handmade textiles, indigenous art, folk music, and traditional cuisine has created new economic opportunities for artisans and cultural practitioners. However, scholars warn that mass production and commercial imitation can undermine the cultural meaning and authenticity of traditional products (Timothy, 2011). Ethical marketing and fair-trade practices are therefore recommended to support artisans while protecting cultural integrity.</w:t>
      </w:r>
    </w:p>
    <w:p w14:paraId="194DDF25">
      <w:pPr>
        <w:pStyle w:val="10"/>
        <w:keepNext w:val="0"/>
        <w:keepLines w:val="0"/>
        <w:widowControl/>
        <w:suppressLineNumbers w:val="0"/>
        <w:spacing w:line="480" w:lineRule="auto"/>
        <w:jc w:val="both"/>
      </w:pPr>
      <w:r>
        <w:t>Digital heritage preservation continues to receive growing scholarly attention. Artificial intelligence, virtual reality, 3D documentation, and multimedia archives are increasingly used to preserve oral traditions, music, dance performances, and endangered languages (Zhang, 2018). Researchers argue that digital innovation improves accessibility and long-term storage of cultural information while enabling global educational outreach. Nevertheless, concerns remain regarding digital ownership, copyright protection, and unequal technological access among communities.</w:t>
      </w:r>
    </w:p>
    <w:p w14:paraId="4AF03046">
      <w:pPr>
        <w:pStyle w:val="10"/>
        <w:keepNext w:val="0"/>
        <w:keepLines w:val="0"/>
        <w:widowControl/>
        <w:suppressLineNumbers w:val="0"/>
        <w:spacing w:line="480" w:lineRule="auto"/>
        <w:jc w:val="both"/>
      </w:pPr>
      <w:r>
        <w:t>Studies have further explored the psychological significance of cultural participation. Community rituals, festivals, storytelling, and artistic performances contribute to emotional well-being, social belonging, and identity formation. Participation in traditional cultural activities often strengthens confidence and reduces feelings of social isolation, particularly among indigenous and minority communities (Ruggles &amp; Silverman, 2009). Researchers therefore consider intangible heritage an important resource for community resilience and social stability.</w:t>
      </w:r>
    </w:p>
    <w:p w14:paraId="150E662F">
      <w:pPr>
        <w:pStyle w:val="10"/>
        <w:keepNext w:val="0"/>
        <w:keepLines w:val="0"/>
        <w:widowControl/>
        <w:suppressLineNumbers w:val="0"/>
        <w:spacing w:line="480" w:lineRule="auto"/>
        <w:jc w:val="both"/>
      </w:pPr>
      <w:r>
        <w:t>Finally, scholars conclude that safeguarding intangible cultural heritage requires holistic and inclusive strategies that combine community participation, educational initiatives, legal protection, digital innovation, ethical tourism, and international cooperation. Sustainable preservation depends not only on documenting traditions but also on ensuring that communities continue practicing, adapting, and valuing their cultural heritage in contemporary society.</w:t>
      </w:r>
    </w:p>
    <w:p w14:paraId="7123AC2A">
      <w:pPr>
        <w:pStyle w:val="10"/>
        <w:keepNext w:val="0"/>
        <w:keepLines w:val="0"/>
        <w:widowControl/>
        <w:suppressLineNumbers w:val="0"/>
        <w:spacing w:line="480" w:lineRule="auto"/>
        <w:jc w:val="both"/>
        <w:rPr>
          <w:rFonts w:hint="default" w:ascii="Times New Roman" w:hAnsi="Times New Roman" w:cs="Times New Roman"/>
          <w:sz w:val="24"/>
          <w:szCs w:val="24"/>
          <w:lang w:val="en-US"/>
        </w:rPr>
      </w:pPr>
    </w:p>
    <w:p w14:paraId="2641F14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Globalization has emerged as one of the most significant challenges affecting intangible cultural heritage. Mass media, industrialization, migration, and digital communication have transformed social behavior and cultural consumption worldwide (Hafstein, 2009). Younger generations often prefer modern entertainment and global popular culture, reducing interest in local customs and indigenous languages.</w:t>
      </w:r>
    </w:p>
    <w:p w14:paraId="3080545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Researchers have also examined the role of tourism in heritage preservation. Tourism creates economic opportunities for communities by promoting handicrafts, festivals, cuisine, folk music, and traditional performances (Timothy, 2011). Heritage tourism further encourages cultural exchange and increases awareness regarding cultural diversity. However, excessive commercialization may alter traditions and reduce authenticity if cultural practices are modified mainly for tourist entertainment.</w:t>
      </w:r>
    </w:p>
    <w:p w14:paraId="206BA70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 participation is consistently identified as the foundation of sustainable heritage safeguarding. According to Bortolotto (2011), communities are active custodians of heritage rather than passive beneficiaries. Their direct involvement improves cultural continuity, local ownership, and authenticity of preservation efforts. Community-centered programs also encourage intergenerational learning and participation.</w:t>
      </w:r>
    </w:p>
    <w:p w14:paraId="0781425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Educational institutions have become important actors in heritage conservation. Schools, museums, universities, and cultural centers organize workshops, exhibitions, oral history projects, and cultural festivals to increase awareness among younger generations (Lenzerini, 2011). Heritage education improves understanding of cultural diversity and strengthens respect for traditional knowledge systems.</w:t>
      </w:r>
    </w:p>
    <w:p w14:paraId="6C97A9A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has transformed heritage documentation and communication. Digital archives, audiovisual recordings, virtual museums, online storytelling platforms, and social media applications help preserve endangered traditions and improve accessibility for international audiences (Giaccardi, 2012). Researchers suggest that digital preservation supports cultural sustainability while encouraging youth engagement.</w:t>
      </w:r>
    </w:p>
    <w:p w14:paraId="662F7C9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Language preservation has become another major area of heritage research. Indigenous languages contain ecological knowledge, oral histories, philosophical traditions, and social values. Harrison (2007) argued that language extinction contributes directly to cultural loss and reduction of global knowledge diversity. Linguists therefore emphasize the importance of language revitalization programs.</w:t>
      </w:r>
    </w:p>
    <w:p w14:paraId="14472A9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Traditional ecological knowledge has also received increasing academic attention. Indigenous communities possess sustainable agricultural techniques, biodiversity management practices, and climate adaptation strategies developed through centuries of environmental experience (UNESCO, 2021). Scholars believe integrating traditional knowledge into environmental policies can support sustainability and climate resilience.</w:t>
      </w:r>
    </w:p>
    <w:p w14:paraId="68D7EB5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Researchers have further discussed the role of women in cultural preservation. Women often preserve culinary traditions, textile arts, rituals, oral narratives, and family customs within communities. Their participation is therefore essential for maintaining cultural continuity and social identity (Blake, 2015).</w:t>
      </w:r>
    </w:p>
    <w:p w14:paraId="0B5CDA4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Migration and urbanization have significantly affected traditional practices worldwide. Rural communities moving to urban areas often experience declining participation in local customs and collective rituals. However, migrant communities also create new forms of cultural expression and intercultural exchange within urban societies (Smith &amp; Akagawa, 2009).</w:t>
      </w:r>
    </w:p>
    <w:p w14:paraId="3B015D5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Ethical concerns related to intellectual property and cultural ownership have become increasingly important in heritage studies. Indigenous communities often face exploitation of traditional music, crafts, rituals, and designs by commercial industries. Researchers therefore recommend stronger legal protection for community rights and traditional cultural expressions (Torsen &amp; Anderson, 2010).</w:t>
      </w:r>
    </w:p>
    <w:p w14:paraId="0871207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Recent studies also examine the relationship between intangible heritage and public health. Traditional healing practices, meditation systems, and community rituals contribute to emotional well-being and psychological resilience within societies. Participation in collective cultural activities strengthens social connectedness and reduces social isolation (Ruggles &amp; Silverman, 2009).</w:t>
      </w:r>
    </w:p>
    <w:p w14:paraId="73D3D9F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theme in heritage literature is participatory governance. Decentralized and community-based management models often achieve more sustainable preservation outcomes because they involve local residents in policymaking and safeguarding activities (Davis, 2011). Researchers argue that successful preservation depends on balancing institutional support with local cultural autonomy.</w:t>
      </w:r>
    </w:p>
    <w:p w14:paraId="4218EF4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Scholars have additionally highlighted the role of creative industries in promoting heritage sustainability. Traditional crafts, performing arts, fashion, and culinary practices contribute significantly to local entrepreneurship and cultural tourism. Heritage-based industries support artisans and encourage continuation of traditional skills while generating economic opportunities (Timothy, 2011).</w:t>
      </w:r>
    </w:p>
    <w:p w14:paraId="794CB56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Digital globalization has also transformed the transmission of cultural traditions. Online platforms, podcasts, video-sharing applications, and virtual communities allow traditions to reach global audiences while improving educational accessibility (Zhang, 2018). However, researchers caution that digital commercialization may simplify cultural practices and reduce contextual meaning.</w:t>
      </w:r>
    </w:p>
    <w:p w14:paraId="1B006E4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Finally, scholars conclude that safeguarding intangible cultural heritage requires interdisciplinary collaboration involving governments, educational institutions, communities, researchers, museums, tourism authorities, and international organizations. Sustainable preservation strategies must combine community participation, cultural education, digital innovation, ethical tourism, and legal protection to ensure long-term continuity of living traditions.</w:t>
      </w:r>
    </w:p>
    <w:p w14:paraId="441F1B46">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3" w:name="_Toc31443"/>
      <w:r>
        <w:rPr>
          <w:rFonts w:hint="default" w:ascii="Times New Roman" w:hAnsi="Times New Roman" w:cs="Times New Roman"/>
          <w:sz w:val="24"/>
          <w:szCs w:val="24"/>
        </w:rPr>
        <w:t>METHODOLOGY</w:t>
      </w:r>
      <w:bookmarkEnd w:id="3"/>
    </w:p>
    <w:p w14:paraId="45E095A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is based on qualitative research methods and secondary data analysis to examine the preservation of intangible cultural heritage and the role of community engagement in safeguarding living traditions. Secondary research was selected because it provides access to extensive scholarly literature, policy documents, cultural reports, and international heritage conventions related to intangible heritage conservation.</w:t>
      </w:r>
    </w:p>
    <w:p w14:paraId="4F4FC8C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research data was collected from academic journals, books, UNESCO publications, government reports, online research databases, and documents published by international cultural organizations. Peer-reviewed and authentic sources were carefully selected to ensure reliability and academic quality throughout the study.</w:t>
      </w:r>
    </w:p>
    <w:p w14:paraId="5DC3D7D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research followed a descriptive and analytical approach. The descriptive method was used to explain concepts such as oral traditions, performing arts, rituals, language preservation, indigenous knowledge systems, cultural festivals, and community participation. The analytical approach helped evaluate challenges affecting intangible cultural heritage, including globalization, migration, commercialization, urbanization, and technological transformation.</w:t>
      </w:r>
    </w:p>
    <w:p w14:paraId="4017441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also examined the role of governments, educational institutions, museums, tourism authorities, local communities, and international organizations in safeguarding cultural traditions. Various preservation initiatives such as language revitalization programs, digital documentation projects, cultural workshops, and community festivals were analyzed to identify effective safeguarding strategies.</w:t>
      </w:r>
    </w:p>
    <w:p w14:paraId="3223E7E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Comparative analysis was used to examine different preservation models adopted across countries and cultural communities worldwide. Examples related to folk traditions, indigenous languages, and community-based tourism were studied to understand global conservation practices.</w:t>
      </w:r>
    </w:p>
    <w:p w14:paraId="76CA0B6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APA-style referencing and in-text citations were included throughout the report to maintain academic standards and acknowledge original authors and institutions. UNESCO reports and heritage studies were extensively used because of their relevance and authority in the field of intangible cultural heritage.</w:t>
      </w:r>
    </w:p>
    <w:p w14:paraId="7EC2305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One limitation of the study is that it relies entirely on secondary information and does not include interviews or field research with cultural practitioners and community members. However, the use of multiple academic and institutional sources provides comprehensive understanding of the topic.</w:t>
      </w:r>
    </w:p>
    <w:p w14:paraId="346C1AF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selected methodology supports detailed analysis of community engagement, educational initiatives, tourism impacts, technological innovation, and policy frameworks associated with safeguarding intangible cultural heritage in modern society.</w:t>
      </w:r>
    </w:p>
    <w:p w14:paraId="506D900E">
      <w:pPr>
        <w:keepNext w:val="0"/>
        <w:keepLines w:val="0"/>
        <w:widowControl/>
        <w:suppressLineNumbers w:val="0"/>
        <w:spacing w:line="480" w:lineRule="auto"/>
        <w:jc w:val="both"/>
        <w:rPr>
          <w:rFonts w:hint="default" w:ascii="Times New Roman" w:hAnsi="Times New Roman" w:cs="Times New Roman"/>
          <w:sz w:val="24"/>
          <w:szCs w:val="24"/>
        </w:rPr>
      </w:pPr>
    </w:p>
    <w:p w14:paraId="5965ED07">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11E61C82">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4" w:name="_Toc10458"/>
      <w:r>
        <w:rPr>
          <w:rFonts w:hint="default" w:ascii="Times New Roman" w:hAnsi="Times New Roman" w:cs="Times New Roman"/>
          <w:sz w:val="24"/>
          <w:szCs w:val="24"/>
        </w:rPr>
        <w:t>FINDINGS</w:t>
      </w:r>
      <w:bookmarkEnd w:id="4"/>
    </w:p>
    <w:p w14:paraId="509683CB">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5" w:name="_Toc20973"/>
      <w:r>
        <w:rPr>
          <w:rFonts w:hint="default" w:ascii="Times New Roman" w:hAnsi="Times New Roman" w:cs="Times New Roman"/>
          <w:sz w:val="24"/>
          <w:szCs w:val="24"/>
        </w:rPr>
        <w:t>Cultural Identity and Collective Memory</w:t>
      </w:r>
      <w:bookmarkEnd w:id="5"/>
    </w:p>
    <w:p w14:paraId="753B813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indicate that intangible cultural heritage plays an important role in preserving cultural identity and collective memory within societies. Oral traditions, folk songs, rituals, ceremonies, festivals, and indigenous languages strengthen emotional attachment between communities and their historical experiences (Smith &amp; Akagawa, 2009). Cultural practices help communities maintain continuity with previous generations and reinforce social identity.</w:t>
      </w:r>
    </w:p>
    <w:p w14:paraId="4D6DE236">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6" w:name="_Toc433"/>
      <w:r>
        <w:rPr>
          <w:rFonts w:hint="default" w:ascii="Times New Roman" w:hAnsi="Times New Roman" w:cs="Times New Roman"/>
          <w:sz w:val="24"/>
          <w:szCs w:val="24"/>
        </w:rPr>
        <w:t>Importance of Community Engagement</w:t>
      </w:r>
      <w:bookmarkEnd w:id="6"/>
    </w:p>
    <w:p w14:paraId="3FD37A5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 participation emerged as the most significant factor influencing successful safeguarding of intangible cultural heritage. Local communities are the creators and practitioners of cultural traditions, making their involvement essential for maintaining authenticity and continuity (Bortolotto, 2011). Community-centered activities such as storytelling programs, folk performances, traditional craft workshops, and local festivals encourage intergenerational transmission of cultural knowledge.</w:t>
      </w:r>
    </w:p>
    <w:p w14:paraId="2B103CB6">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7" w:name="_Toc25630"/>
      <w:r>
        <w:rPr>
          <w:rFonts w:hint="default" w:ascii="Times New Roman" w:hAnsi="Times New Roman" w:cs="Times New Roman"/>
          <w:sz w:val="24"/>
          <w:szCs w:val="24"/>
        </w:rPr>
        <w:t>Educational Contributions</w:t>
      </w:r>
      <w:bookmarkEnd w:id="7"/>
    </w:p>
    <w:p w14:paraId="4FA2B24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Educational institutions play a major role in preserving living traditions through awareness programs, cultural workshops, and heritage education. Schools, universities, museums, and cultural centers organize exhibitions, performances, and storytelling sessions to promote appreciation of cultural diversity among young people.</w:t>
      </w:r>
    </w:p>
    <w:p w14:paraId="573A3D0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Heritage education also encourages youth participation in traditional practices and strengthens respect for indigenous knowledge systems related to agriculture, environmental management, and local craftsmanship.</w:t>
      </w:r>
    </w:p>
    <w:p w14:paraId="74141C22">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8" w:name="_Toc20381"/>
      <w:r>
        <w:rPr>
          <w:rFonts w:hint="default" w:ascii="Times New Roman" w:hAnsi="Times New Roman" w:cs="Times New Roman"/>
          <w:sz w:val="24"/>
          <w:szCs w:val="24"/>
        </w:rPr>
        <w:t>Impact of Globalization</w:t>
      </w:r>
      <w:bookmarkEnd w:id="8"/>
    </w:p>
    <w:p w14:paraId="3502504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reveal that globalization and modernization have reduced participation in traditional customs and community rituals. Digital entertainment, migration, industrialization, and urban lifestyles have weakened cultural continuity, especially among younger generations (Hafstein, 2009). Many indigenous languages and artisanal occupations are endangered due to changing economic and social priorities.</w:t>
      </w:r>
    </w:p>
    <w:p w14:paraId="2A19F276">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9" w:name="_Toc23811"/>
      <w:r>
        <w:rPr>
          <w:rFonts w:hint="default" w:ascii="Times New Roman" w:hAnsi="Times New Roman" w:cs="Times New Roman"/>
          <w:sz w:val="24"/>
          <w:szCs w:val="24"/>
        </w:rPr>
        <w:t>Tourism and Economic Opportunities</w:t>
      </w:r>
      <w:bookmarkEnd w:id="9"/>
    </w:p>
    <w:p w14:paraId="280E9FD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Tourism generates employment opportunities and supports local economies through cultural festivals, folk performances, handicraft production, and traditional cuisine (Timothy, 2011). Heritage tourism also increases public awareness regarding local traditions and cultural diversity.</w:t>
      </w:r>
    </w:p>
    <w:p w14:paraId="039E246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However, excessive commercialization may negatively affect authenticity when cultural expressions are simplified or modified mainly for tourist entertainment. Researchers therefore emphasize responsible tourism management and community involvement in tourism planning.</w:t>
      </w:r>
    </w:p>
    <w:p w14:paraId="0F14369B">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0" w:name="_Toc27799"/>
      <w:r>
        <w:rPr>
          <w:rFonts w:hint="default" w:ascii="Times New Roman" w:hAnsi="Times New Roman" w:cs="Times New Roman"/>
          <w:sz w:val="24"/>
          <w:szCs w:val="24"/>
        </w:rPr>
        <w:t>Technology and Digital Preservation</w:t>
      </w:r>
      <w:bookmarkEnd w:id="10"/>
    </w:p>
    <w:p w14:paraId="6B471AE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has become an important tool for documenting and promoting intangible cultural heritage. Digital archives, audiovisual recordings, virtual museums, podcasts, and social media platforms help communities preserve and share traditions globally (Giaccardi, 2012).</w:t>
      </w:r>
    </w:p>
    <w:p w14:paraId="13B4070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Online storytelling projects and digital exhibitions improve accessibility and encourage younger generations to engage with traditional practices using modern communication methods.</w:t>
      </w:r>
    </w:p>
    <w:p w14:paraId="7ED0A448">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1" w:name="_Toc24629"/>
      <w:r>
        <w:rPr>
          <w:rFonts w:hint="default" w:ascii="Times New Roman" w:hAnsi="Times New Roman" w:cs="Times New Roman"/>
          <w:sz w:val="24"/>
          <w:szCs w:val="24"/>
        </w:rPr>
        <w:t>Government and Institutional Support</w:t>
      </w:r>
      <w:bookmarkEnd w:id="11"/>
    </w:p>
    <w:p w14:paraId="40DCADA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Governments and international organizations contribute significantly to safeguarding through policies, legal frameworks, cultural grants, heritage inventories, and awareness campaigns. UNESCO’s safeguarding convention encourages countries to identify endangered traditions and support community participation (UNESCO, 2003).</w:t>
      </w:r>
    </w:p>
    <w:p w14:paraId="7E43132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Many countries have introduced language revitalization programs, artisan training centers, folk art festivals, and cultural education schemes to strengthen preservation efforts.</w:t>
      </w:r>
    </w:p>
    <w:p w14:paraId="4C537801">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2" w:name="_Toc311"/>
      <w:r>
        <w:rPr>
          <w:rFonts w:hint="default" w:ascii="Times New Roman" w:hAnsi="Times New Roman" w:cs="Times New Roman"/>
          <w:sz w:val="24"/>
          <w:szCs w:val="24"/>
        </w:rPr>
        <w:t>Women and Youth Participation</w:t>
      </w:r>
      <w:bookmarkEnd w:id="12"/>
    </w:p>
    <w:p w14:paraId="7084413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Women and young people were identified as important contributors to cultural continuity. Women preserve oral traditions, culinary practices, rituals, and textile arts within communities. Youth participation through music workshops, cultural camps, digital storytelling projects, and social media campaigns improves long-term sustainability of traditions.</w:t>
      </w:r>
    </w:p>
    <w:p w14:paraId="466C9F2D">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3" w:name="_Toc16847"/>
      <w:r>
        <w:rPr>
          <w:rFonts w:hint="default" w:ascii="Times New Roman" w:hAnsi="Times New Roman" w:cs="Times New Roman"/>
          <w:sz w:val="24"/>
          <w:szCs w:val="24"/>
        </w:rPr>
        <w:t>Sustainable Safeguarding Strategies</w:t>
      </w:r>
      <w:bookmarkEnd w:id="13"/>
    </w:p>
    <w:p w14:paraId="638DA7F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suggest that successful safeguarding depends on cooperation between communities, governments, educational institutions, museums, tourism authorities, and cultural organizations. Community-centered preservation models, educational initiatives, digital documentation, and ethical tourism practices improve cultural sustainability and intergenerational knowledge transfer.</w:t>
      </w:r>
    </w:p>
    <w:p w14:paraId="5E21654C">
      <w:pPr>
        <w:keepNext w:val="0"/>
        <w:keepLines w:val="0"/>
        <w:widowControl/>
        <w:suppressLineNumbers w:val="0"/>
        <w:spacing w:line="480" w:lineRule="auto"/>
        <w:jc w:val="both"/>
        <w:rPr>
          <w:rFonts w:hint="default" w:ascii="Times New Roman" w:hAnsi="Times New Roman" w:cs="Times New Roman"/>
          <w:sz w:val="24"/>
          <w:szCs w:val="24"/>
        </w:rPr>
      </w:pPr>
    </w:p>
    <w:p w14:paraId="17DF811A">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3F267B66">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4" w:name="_Toc4002"/>
      <w:r>
        <w:rPr>
          <w:rFonts w:hint="default" w:ascii="Times New Roman" w:hAnsi="Times New Roman" w:cs="Times New Roman"/>
          <w:sz w:val="24"/>
          <w:szCs w:val="24"/>
        </w:rPr>
        <w:t>DISCUSSION</w:t>
      </w:r>
      <w:bookmarkEnd w:id="14"/>
    </w:p>
    <w:p w14:paraId="7A70EF1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demonstrates that intangible cultural heritage is essential for preserving cultural diversity, social identity, and historical continuity. Living traditions such as oral histories, folk music, rituals, festivals, and indigenous knowledge systems strengthen emotional and cultural relationships within communities.</w:t>
      </w:r>
    </w:p>
    <w:p w14:paraId="61C36D0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 engagement emerged as the foundation of effective heritage preservation. Local communities possess cultural experience, practical knowledge, and emotional attachment toward traditional practices. Their direct participation improves authenticity, continuity, and sustainability of safeguarding efforts (Bortolotto, 2011).</w:t>
      </w:r>
    </w:p>
    <w:p w14:paraId="4546FB5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Globalization and modernization continue to threaten intangible heritage worldwide. Urban lifestyles, migration, digital media, and industrialization have reduced participation in traditional practices among younger generations (Hafstein, 2009). Many communities face difficulties maintaining local customs and indigenous languages in rapidly changing social environments.</w:t>
      </w:r>
    </w:p>
    <w:p w14:paraId="271A042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Tourism creates both positive and negative effects on cultural preservation. Heritage tourism provides economic benefits and increases awareness regarding cultural diversity. However, commercialization may reduce authenticity by transforming traditions into entertainment products for tourists (Timothy, 2011). Sustainable tourism policies should therefore prioritize cultural respect and community involvement.</w:t>
      </w:r>
    </w:p>
    <w:p w14:paraId="1925EA3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has improved documentation and accessibility of cultural traditions through digital archives, online museums, and audiovisual recording systems (Giaccardi, 2012). Digital platforms also encourage youth engagement and intercultural communication.</w:t>
      </w:r>
    </w:p>
    <w:p w14:paraId="01BB836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Education remains one of the most effective tools for safeguarding intangible cultural heritage. Schools, universities, and museums promote cultural awareness and encourage younger generations to participate in traditional practices and heritage activities.</w:t>
      </w:r>
    </w:p>
    <w:p w14:paraId="46F7A92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Governments and international organizations must continue supporting preservation efforts through legal frameworks, cultural policies, financial support, and public awareness campaigns. UNESCO’s convention provides important guidance for community-centered safeguarding strategies.</w:t>
      </w:r>
    </w:p>
    <w:p w14:paraId="025771B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Furthermore, intangible cultural heritage contributes significantly to sustainable development and creative industries. Traditional crafts, performing arts, culinary traditions, and cultural festivals support local entrepreneurship and employment opportunities while encouraging preservation of cultural skills.</w:t>
      </w:r>
    </w:p>
    <w:p w14:paraId="1201191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issue highlighted in the discussion is the relationship between cultural heritage and social resilience. Shared traditions and community rituals provide emotional stability and strengthen social cohesion during periods of social and economic change. Cultural participation also promotes intercultural understanding and peaceful coexistence within multicultural societies.</w:t>
      </w:r>
    </w:p>
    <w:p w14:paraId="79B97BC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discussion additionally emphasizes the importance of balancing preservation with adaptation. Traditions naturally evolve according to changing social realities and technological developments. Effective safeguarding strategies should therefore allow communities to creatively adapt cultural practices while preserving their core values and historical significance.</w:t>
      </w:r>
    </w:p>
    <w:p w14:paraId="4074210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Finally, interdisciplinary collaboration is essential for long-term cultural sustainability. Successful safeguarding depends on cooperation between communities, educators, researchers, policymakers, tourism authorities, museums, and digital media organizations. Sustainable preservation requires continuous cultural education, public participation, technological innovation, and ethical heritage management.</w:t>
      </w:r>
    </w:p>
    <w:p w14:paraId="4AA859D0">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09ACF935">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5" w:name="_Toc18436"/>
      <w:r>
        <w:rPr>
          <w:rFonts w:hint="default" w:ascii="Times New Roman" w:hAnsi="Times New Roman" w:cs="Times New Roman"/>
          <w:sz w:val="24"/>
          <w:szCs w:val="24"/>
        </w:rPr>
        <w:t>CONCLUSION</w:t>
      </w:r>
      <w:bookmarkEnd w:id="15"/>
    </w:p>
    <w:p w14:paraId="39C8216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Intangible cultural heritage represents the living traditions, customs, knowledge systems, and cultural expressions that preserve social identity and historical continuity within communities. Oral traditions, rituals, festivals, music, dance, craftsmanship, and indigenous knowledge contribute significantly to cultural diversity, creativity, and social cohesion.</w:t>
      </w:r>
    </w:p>
    <w:p w14:paraId="1AECD1E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examined the importance of intangible cultural heritage and analyzed the role of community engagement in preserving traditional cultural expressions. The study demonstrated that communities are the primary custodians of heritage because they create, practice, and transmit cultural traditions across generations.</w:t>
      </w:r>
    </w:p>
    <w:p w14:paraId="2B2EEF1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report also explored the major challenges affecting living heritage, including globalization, migration, commercialization, urbanization, and declining participation among younger generations. These challenges threaten many traditional customs, languages, and artisanal occupations worldwide.</w:t>
      </w:r>
    </w:p>
    <w:p w14:paraId="6B49577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education, tourism management, and government support were identified as important tools for safeguarding cultural traditions. Digital documentation systems, heritage education programs, cultural festivals, and community workshops improve public awareness and intergenerational transmission of cultural knowledge.</w:t>
      </w:r>
    </w:p>
    <w:p w14:paraId="778E825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concludes that sustainable safeguarding of intangible cultural heritage requires collaboration between communities, governments, educational institutions, museums, tourism authorities, and international organizations. Preservation strategies should respect cultural authenticity while allowing traditions to adapt naturally to modern social conditions.</w:t>
      </w:r>
    </w:p>
    <w:p w14:paraId="6EC7EAF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Protecting intangible cultural heritage is essential for preserving cultural diversity, supporting social harmony, promoting local economies, and ensuring that future generations continue benefiting from the creativity, knowledge, and traditions of humanity.</w:t>
      </w:r>
    </w:p>
    <w:p w14:paraId="586EBCDE">
      <w:pPr>
        <w:keepNext w:val="0"/>
        <w:keepLines w:val="0"/>
        <w:widowControl/>
        <w:suppressLineNumbers w:val="0"/>
        <w:spacing w:line="480" w:lineRule="auto"/>
        <w:jc w:val="both"/>
        <w:rPr>
          <w:rFonts w:hint="default" w:ascii="Times New Roman" w:hAnsi="Times New Roman" w:cs="Times New Roman"/>
          <w:sz w:val="24"/>
          <w:szCs w:val="24"/>
        </w:rPr>
      </w:pPr>
    </w:p>
    <w:p w14:paraId="71BABE98">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133CF05C">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6" w:name="_Toc1854"/>
      <w:r>
        <w:rPr>
          <w:rFonts w:hint="default" w:ascii="Times New Roman" w:hAnsi="Times New Roman" w:cs="Times New Roman"/>
          <w:sz w:val="24"/>
          <w:szCs w:val="24"/>
        </w:rPr>
        <w:t>REFERENCES</w:t>
      </w:r>
      <w:bookmarkEnd w:id="16"/>
    </w:p>
    <w:p w14:paraId="2A4B3FD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Blake, J. (2015). </w:t>
      </w:r>
      <w:r>
        <w:rPr>
          <w:rStyle w:val="6"/>
          <w:rFonts w:hint="default" w:ascii="Times New Roman" w:hAnsi="Times New Roman" w:cs="Times New Roman"/>
          <w:sz w:val="24"/>
          <w:szCs w:val="24"/>
        </w:rPr>
        <w:t>International cultural heritage law</w:t>
      </w:r>
      <w:r>
        <w:rPr>
          <w:rFonts w:hint="default" w:ascii="Times New Roman" w:hAnsi="Times New Roman" w:cs="Times New Roman"/>
          <w:sz w:val="24"/>
          <w:szCs w:val="24"/>
        </w:rPr>
        <w:t>. Oxford University Press.</w:t>
      </w:r>
    </w:p>
    <w:p w14:paraId="1207EAE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Bortolotto, C. (2011). The participation of communities in the safeguarding of intangible cultural heritage. </w:t>
      </w:r>
      <w:r>
        <w:rPr>
          <w:rStyle w:val="6"/>
          <w:rFonts w:hint="default" w:ascii="Times New Roman" w:hAnsi="Times New Roman" w:cs="Times New Roman"/>
          <w:sz w:val="24"/>
          <w:szCs w:val="24"/>
        </w:rPr>
        <w:t>Ethnologies, 33</w:t>
      </w:r>
      <w:r>
        <w:rPr>
          <w:rFonts w:hint="default" w:ascii="Times New Roman" w:hAnsi="Times New Roman" w:cs="Times New Roman"/>
          <w:sz w:val="24"/>
          <w:szCs w:val="24"/>
        </w:rPr>
        <w:t xml:space="preserve">(1), 21–47.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"https://doi.org/10.7202/1007801ar"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https://doi.org/10.7202/1007801ar</w:t>
      </w:r>
      <w:r>
        <w:rPr>
          <w:rFonts w:hint="default" w:ascii="Times New Roman" w:hAnsi="Times New Roman" w:cs="Times New Roman"/>
          <w:sz w:val="24"/>
          <w:szCs w:val="24"/>
        </w:rPr>
        <w:fldChar w:fldCharType="end"/>
      </w:r>
    </w:p>
    <w:p w14:paraId="188D181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Davis, P. (2011). </w:t>
      </w:r>
      <w:r>
        <w:rPr>
          <w:rStyle w:val="6"/>
          <w:rFonts w:hint="default" w:ascii="Times New Roman" w:hAnsi="Times New Roman" w:cs="Times New Roman"/>
          <w:sz w:val="24"/>
          <w:szCs w:val="24"/>
        </w:rPr>
        <w:t>Ecomuseums: A sense of place</w:t>
      </w:r>
      <w:r>
        <w:rPr>
          <w:rFonts w:hint="default" w:ascii="Times New Roman" w:hAnsi="Times New Roman" w:cs="Times New Roman"/>
          <w:sz w:val="24"/>
          <w:szCs w:val="24"/>
        </w:rPr>
        <w:t>. Continuum International Publishing.</w:t>
      </w:r>
    </w:p>
    <w:p w14:paraId="3448386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Deacon, H., Dondolo, L., Mrubata, M., &amp; Prosalendis, S. (2004). </w:t>
      </w:r>
      <w:r>
        <w:rPr>
          <w:rStyle w:val="6"/>
          <w:rFonts w:hint="default" w:ascii="Times New Roman" w:hAnsi="Times New Roman" w:cs="Times New Roman"/>
          <w:sz w:val="24"/>
          <w:szCs w:val="24"/>
        </w:rPr>
        <w:t>The subtle power of intangible heritage</w:t>
      </w:r>
      <w:r>
        <w:rPr>
          <w:rFonts w:hint="default" w:ascii="Times New Roman" w:hAnsi="Times New Roman" w:cs="Times New Roman"/>
          <w:sz w:val="24"/>
          <w:szCs w:val="24"/>
        </w:rPr>
        <w:t>. HSRC Press.</w:t>
      </w:r>
    </w:p>
    <w:p w14:paraId="532F3BA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Giaccardi, E. (2012). </w:t>
      </w:r>
      <w:r>
        <w:rPr>
          <w:rStyle w:val="6"/>
          <w:rFonts w:hint="default" w:ascii="Times New Roman" w:hAnsi="Times New Roman" w:cs="Times New Roman"/>
          <w:sz w:val="24"/>
          <w:szCs w:val="24"/>
        </w:rPr>
        <w:t>Heritage and social media: Understanding heritage in a participatory culture</w:t>
      </w:r>
      <w:r>
        <w:rPr>
          <w:rFonts w:hint="default" w:ascii="Times New Roman" w:hAnsi="Times New Roman" w:cs="Times New Roman"/>
          <w:sz w:val="24"/>
          <w:szCs w:val="24"/>
        </w:rPr>
        <w:t xml:space="preserve">. Routledge.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"https://doi.org/10.4324/9780203119648"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https://doi.org/10.4324/9780203119648</w:t>
      </w:r>
      <w:r>
        <w:rPr>
          <w:rFonts w:hint="default" w:ascii="Times New Roman" w:hAnsi="Times New Roman" w:cs="Times New Roman"/>
          <w:sz w:val="24"/>
          <w:szCs w:val="24"/>
        </w:rPr>
        <w:fldChar w:fldCharType="end"/>
      </w:r>
    </w:p>
    <w:p w14:paraId="55D1F5A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Hafstein, V. (2009). Intangible heritage as a list: From masterpieces to representation. In L. Smith &amp; N. Akagawa (Eds.), </w:t>
      </w:r>
      <w:r>
        <w:rPr>
          <w:rStyle w:val="6"/>
          <w:rFonts w:hint="default" w:ascii="Times New Roman" w:hAnsi="Times New Roman" w:cs="Times New Roman"/>
          <w:sz w:val="24"/>
          <w:szCs w:val="24"/>
        </w:rPr>
        <w:t>Intangible heritage</w:t>
      </w:r>
      <w:r>
        <w:rPr>
          <w:rFonts w:hint="default" w:ascii="Times New Roman" w:hAnsi="Times New Roman" w:cs="Times New Roman"/>
          <w:sz w:val="24"/>
          <w:szCs w:val="24"/>
        </w:rPr>
        <w:t xml:space="preserve"> (pp. 93–111). Routledge.</w:t>
      </w:r>
    </w:p>
    <w:p w14:paraId="7D525E3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Harrison, K. D. (2007). </w:t>
      </w:r>
      <w:r>
        <w:rPr>
          <w:rStyle w:val="6"/>
          <w:rFonts w:hint="default" w:ascii="Times New Roman" w:hAnsi="Times New Roman" w:cs="Times New Roman"/>
          <w:sz w:val="24"/>
          <w:szCs w:val="24"/>
        </w:rPr>
        <w:t>When languages die: The extinction of the world’s languages and the erosion of human knowledge</w:t>
      </w:r>
      <w:r>
        <w:rPr>
          <w:rFonts w:hint="default" w:ascii="Times New Roman" w:hAnsi="Times New Roman" w:cs="Times New Roman"/>
          <w:sz w:val="24"/>
          <w:szCs w:val="24"/>
        </w:rPr>
        <w:t>. Oxford University Press.</w:t>
      </w:r>
    </w:p>
    <w:p w14:paraId="79CECBC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Kirshenblatt-Gimblett, B. (2004). Intangible heritage as metacultural production. </w:t>
      </w:r>
      <w:r>
        <w:rPr>
          <w:rStyle w:val="6"/>
          <w:rFonts w:hint="default" w:ascii="Times New Roman" w:hAnsi="Times New Roman" w:cs="Times New Roman"/>
          <w:sz w:val="24"/>
          <w:szCs w:val="24"/>
        </w:rPr>
        <w:t>Museum International, 56</w:t>
      </w:r>
      <w:r>
        <w:rPr>
          <w:rFonts w:hint="default" w:ascii="Times New Roman" w:hAnsi="Times New Roman" w:cs="Times New Roman"/>
          <w:sz w:val="24"/>
          <w:szCs w:val="24"/>
        </w:rPr>
        <w:t xml:space="preserve">(1–2), 52–65.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"https://doi.org/10.1111/j.1350-0775.2004.00458.x"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https://doi.org/10.1111/j.1350-0775.2004.00458.x</w:t>
      </w:r>
      <w:r>
        <w:rPr>
          <w:rFonts w:hint="default" w:ascii="Times New Roman" w:hAnsi="Times New Roman" w:cs="Times New Roman"/>
          <w:sz w:val="24"/>
          <w:szCs w:val="24"/>
        </w:rPr>
        <w:fldChar w:fldCharType="end"/>
      </w:r>
    </w:p>
    <w:p w14:paraId="2956285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Lenzerini, F. (2011). Intangible cultural heritage: The living culture of peoples. </w:t>
      </w:r>
      <w:r>
        <w:rPr>
          <w:rStyle w:val="6"/>
          <w:rFonts w:hint="default" w:ascii="Times New Roman" w:hAnsi="Times New Roman" w:cs="Times New Roman"/>
          <w:sz w:val="24"/>
          <w:szCs w:val="24"/>
        </w:rPr>
        <w:t>European Journal of International Law, 22</w:t>
      </w:r>
      <w:r>
        <w:rPr>
          <w:rFonts w:hint="default" w:ascii="Times New Roman" w:hAnsi="Times New Roman" w:cs="Times New Roman"/>
          <w:sz w:val="24"/>
          <w:szCs w:val="24"/>
        </w:rPr>
        <w:t xml:space="preserve">(1), 101–120.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"https://doi.org/10.1093/ejil/chr006" \t "_new"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https://doi.org/10.1093/ejil/chr006</w:t>
      </w:r>
      <w:r>
        <w:rPr>
          <w:rFonts w:hint="default" w:ascii="Times New Roman" w:hAnsi="Times New Roman" w:cs="Times New Roman"/>
          <w:sz w:val="24"/>
          <w:szCs w:val="24"/>
        </w:rPr>
        <w:fldChar w:fldCharType="end"/>
      </w:r>
    </w:p>
    <w:p w14:paraId="3D36FC5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Logan, W., Nic Craith, M., &amp; Kockel, U. (2015). </w:t>
      </w:r>
      <w:r>
        <w:rPr>
          <w:rStyle w:val="6"/>
          <w:rFonts w:hint="default" w:ascii="Times New Roman" w:hAnsi="Times New Roman" w:cs="Times New Roman"/>
          <w:sz w:val="24"/>
          <w:szCs w:val="24"/>
        </w:rPr>
        <w:t>A companion to heritage studies</w:t>
      </w:r>
      <w:r>
        <w:rPr>
          <w:rFonts w:hint="default" w:ascii="Times New Roman" w:hAnsi="Times New Roman" w:cs="Times New Roman"/>
          <w:sz w:val="24"/>
          <w:szCs w:val="24"/>
        </w:rPr>
        <w:t xml:space="preserve">. Wiley Blackwell.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"https://doi.org/10.1002/9781118486634"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https://doi.org/10.1002/9781118486634</w:t>
      </w:r>
      <w:r>
        <w:rPr>
          <w:rFonts w:hint="default" w:ascii="Times New Roman" w:hAnsi="Times New Roman" w:cs="Times New Roman"/>
          <w:sz w:val="24"/>
          <w:szCs w:val="24"/>
        </w:rPr>
        <w:fldChar w:fldCharType="end"/>
      </w:r>
    </w:p>
    <w:p w14:paraId="7EC5811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Ruggles, D. F., &amp; Silverman, H. (2009). </w:t>
      </w:r>
      <w:r>
        <w:rPr>
          <w:rStyle w:val="6"/>
          <w:rFonts w:hint="default" w:ascii="Times New Roman" w:hAnsi="Times New Roman" w:cs="Times New Roman"/>
          <w:sz w:val="24"/>
          <w:szCs w:val="24"/>
        </w:rPr>
        <w:t>Intangible heritage embodied</w:t>
      </w:r>
      <w:r>
        <w:rPr>
          <w:rFonts w:hint="default" w:ascii="Times New Roman" w:hAnsi="Times New Roman" w:cs="Times New Roman"/>
          <w:sz w:val="24"/>
          <w:szCs w:val="24"/>
        </w:rPr>
        <w:t>. Springer.</w:t>
      </w:r>
    </w:p>
    <w:p w14:paraId="00A3E4F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Smith, L., &amp; Akagawa, N. (2009). </w:t>
      </w:r>
      <w:r>
        <w:rPr>
          <w:rStyle w:val="6"/>
          <w:rFonts w:hint="default" w:ascii="Times New Roman" w:hAnsi="Times New Roman" w:cs="Times New Roman"/>
          <w:sz w:val="24"/>
          <w:szCs w:val="24"/>
        </w:rPr>
        <w:t>Intangible heritage</w:t>
      </w:r>
      <w:r>
        <w:rPr>
          <w:rFonts w:hint="default" w:ascii="Times New Roman" w:hAnsi="Times New Roman" w:cs="Times New Roman"/>
          <w:sz w:val="24"/>
          <w:szCs w:val="24"/>
        </w:rPr>
        <w:t>. Routledge.</w:t>
      </w:r>
    </w:p>
    <w:p w14:paraId="6160B28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Timothy, D. J. (2011). </w:t>
      </w:r>
      <w:r>
        <w:rPr>
          <w:rStyle w:val="6"/>
          <w:rFonts w:hint="default" w:ascii="Times New Roman" w:hAnsi="Times New Roman" w:cs="Times New Roman"/>
          <w:sz w:val="24"/>
          <w:szCs w:val="24"/>
        </w:rPr>
        <w:t>Cultural heritage and tourism: An introduction</w:t>
      </w:r>
      <w:r>
        <w:rPr>
          <w:rFonts w:hint="default" w:ascii="Times New Roman" w:hAnsi="Times New Roman" w:cs="Times New Roman"/>
          <w:sz w:val="24"/>
          <w:szCs w:val="24"/>
        </w:rPr>
        <w:t>. Channel View Publications.</w:t>
      </w:r>
    </w:p>
    <w:p w14:paraId="2D2BB7E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Torsen, M., &amp; Anderson, J. (2010). </w:t>
      </w:r>
      <w:r>
        <w:rPr>
          <w:rStyle w:val="6"/>
          <w:rFonts w:hint="default" w:ascii="Times New Roman" w:hAnsi="Times New Roman" w:cs="Times New Roman"/>
          <w:sz w:val="24"/>
          <w:szCs w:val="24"/>
        </w:rPr>
        <w:t>Intellectual property and the safeguarding of traditional cultures</w:t>
      </w:r>
      <w:r>
        <w:rPr>
          <w:rFonts w:hint="default" w:ascii="Times New Roman" w:hAnsi="Times New Roman" w:cs="Times New Roman"/>
          <w:sz w:val="24"/>
          <w:szCs w:val="24"/>
        </w:rPr>
        <w:t>. WIPO Publications.</w:t>
      </w:r>
    </w:p>
    <w:p w14:paraId="16FA286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UNESCO. (2003). </w:t>
      </w:r>
      <w:r>
        <w:rPr>
          <w:rStyle w:val="6"/>
          <w:rFonts w:hint="default" w:ascii="Times New Roman" w:hAnsi="Times New Roman" w:cs="Times New Roman"/>
          <w:sz w:val="24"/>
          <w:szCs w:val="24"/>
        </w:rPr>
        <w:t>Convention for the safeguarding of the intangible cultural heritage</w:t>
      </w:r>
      <w:r>
        <w:rPr>
          <w:rFonts w:hint="default" w:ascii="Times New Roman" w:hAnsi="Times New Roman" w:cs="Times New Roman"/>
          <w:sz w:val="24"/>
          <w:szCs w:val="24"/>
        </w:rPr>
        <w:t>. UNESCO Publishing.</w:t>
      </w:r>
    </w:p>
    <w:p w14:paraId="201BE03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UNESCO. (2021). </w:t>
      </w:r>
      <w:r>
        <w:rPr>
          <w:rStyle w:val="6"/>
          <w:rFonts w:hint="default" w:ascii="Times New Roman" w:hAnsi="Times New Roman" w:cs="Times New Roman"/>
          <w:sz w:val="24"/>
          <w:szCs w:val="24"/>
        </w:rPr>
        <w:t>Intangible cultural heritage and sustainable development</w:t>
      </w:r>
      <w:r>
        <w:rPr>
          <w:rFonts w:hint="default" w:ascii="Times New Roman" w:hAnsi="Times New Roman" w:cs="Times New Roman"/>
          <w:sz w:val="24"/>
          <w:szCs w:val="24"/>
        </w:rPr>
        <w:t>. UNESCO Publications.</w:t>
      </w:r>
    </w:p>
    <w:p w14:paraId="23B666D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Vecco, M. (2010). A definition of cultural heritage: From the tangible to the intangible. </w:t>
      </w:r>
      <w:r>
        <w:rPr>
          <w:rStyle w:val="6"/>
          <w:rFonts w:hint="default" w:ascii="Times New Roman" w:hAnsi="Times New Roman" w:cs="Times New Roman"/>
          <w:sz w:val="24"/>
          <w:szCs w:val="24"/>
        </w:rPr>
        <w:t>Journal of Cultural Heritage, 11</w:t>
      </w:r>
      <w:r>
        <w:rPr>
          <w:rFonts w:hint="default" w:ascii="Times New Roman" w:hAnsi="Times New Roman" w:cs="Times New Roman"/>
          <w:sz w:val="24"/>
          <w:szCs w:val="24"/>
        </w:rPr>
        <w:t xml:space="preserve">(3), 321–324.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"https://doi.org/10.1016/j.culher.2010.01.006" \t "_new"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https://doi.org/10.1016/j.culher.2010.01.006</w:t>
      </w:r>
      <w:r>
        <w:rPr>
          <w:rFonts w:hint="default" w:ascii="Times New Roman" w:hAnsi="Times New Roman" w:cs="Times New Roman"/>
          <w:sz w:val="24"/>
          <w:szCs w:val="24"/>
        </w:rPr>
        <w:fldChar w:fldCharType="end"/>
      </w:r>
    </w:p>
    <w:p w14:paraId="6BB965B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Waterton, E., &amp; Smith, L. (2010). The recognition and misrecognition of community heritage. </w:t>
      </w:r>
      <w:r>
        <w:rPr>
          <w:rStyle w:val="6"/>
          <w:rFonts w:hint="default" w:ascii="Times New Roman" w:hAnsi="Times New Roman" w:cs="Times New Roman"/>
          <w:sz w:val="24"/>
          <w:szCs w:val="24"/>
        </w:rPr>
        <w:t>International Journal of Heritage Studies, 16</w:t>
      </w:r>
      <w:r>
        <w:rPr>
          <w:rFonts w:hint="default" w:ascii="Times New Roman" w:hAnsi="Times New Roman" w:cs="Times New Roman"/>
          <w:sz w:val="24"/>
          <w:szCs w:val="24"/>
        </w:rPr>
        <w:t xml:space="preserve">(1–2), 4–15.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"https://doi.org/10.1080/13527250903441671" \t "_new"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https://doi.org/10.1080/13527250903441671</w:t>
      </w:r>
      <w:r>
        <w:rPr>
          <w:rFonts w:hint="default" w:ascii="Times New Roman" w:hAnsi="Times New Roman" w:cs="Times New Roman"/>
          <w:sz w:val="24"/>
          <w:szCs w:val="24"/>
        </w:rPr>
        <w:fldChar w:fldCharType="end"/>
      </w:r>
    </w:p>
    <w:p w14:paraId="1933519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Zhang, X. (2018). Digital preservation of intangible cultural heritage. </w:t>
      </w:r>
      <w:r>
        <w:rPr>
          <w:rStyle w:val="6"/>
          <w:rFonts w:hint="default" w:ascii="Times New Roman" w:hAnsi="Times New Roman" w:cs="Times New Roman"/>
          <w:sz w:val="24"/>
          <w:szCs w:val="24"/>
        </w:rPr>
        <w:t>Journal of Cultural Heritage Management and Sustainable Development, 8</w:t>
      </w:r>
      <w:r>
        <w:rPr>
          <w:rFonts w:hint="default" w:ascii="Times New Roman" w:hAnsi="Times New Roman" w:cs="Times New Roman"/>
          <w:sz w:val="24"/>
          <w:szCs w:val="24"/>
        </w:rPr>
        <w:t xml:space="preserve">(4), 412–426.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"https://doi.org/10.1108/JCHMSD-06-2017-0038"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https://doi.org/10.1108/JCHMSD-06-2017-0038</w:t>
      </w:r>
      <w:r>
        <w:rPr>
          <w:rFonts w:hint="default" w:ascii="Times New Roman" w:hAnsi="Times New Roman" w:cs="Times New Roman"/>
          <w:sz w:val="24"/>
          <w:szCs w:val="24"/>
        </w:rPr>
        <w:fldChar w:fldCharType="end"/>
      </w:r>
    </w:p>
    <w:p w14:paraId="1237AF46">
      <w:pPr>
        <w:pStyle w:val="10"/>
        <w:keepNext w:val="0"/>
        <w:keepLines w:val="0"/>
        <w:widowControl/>
        <w:suppressLineNumbers w:val="0"/>
        <w:spacing w:line="480" w:lineRule="auto"/>
        <w:jc w:val="both"/>
        <w:rPr>
          <w:rFonts w:hint="default" w:ascii="Times New Roman" w:hAnsi="Times New Roman" w:cs="Times New Roman"/>
          <w:sz w:val="24"/>
          <w:szCs w:val="24"/>
        </w:rPr>
      </w:pPr>
    </w:p>
    <w:p w14:paraId="659FBDF1">
      <w:pPr>
        <w:spacing w:line="480" w:lineRule="auto"/>
        <w:jc w:val="both"/>
        <w:rPr>
          <w:rFonts w:hint="default" w:ascii="Times New Roman" w:hAnsi="Times New Roman" w:cs="Times New Roman"/>
          <w:sz w:val="24"/>
          <w:szCs w:val="24"/>
        </w:rPr>
      </w:pPr>
    </w:p>
    <w:sectPr>
      <w:headerReference r:id="rId3" w:type="default"/>
      <w:footerReference r:id="rId4"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FBE49">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1D41C">
    <w:pPr>
      <w:pStyle w:val="8"/>
    </w:pPr>
    <w:bookmarkStart w:id="17" w:name="_GoBack"/>
    <w:bookmarkEnd w:id="17"/>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9687916">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v:fill on="f" focussize="0,0"/>
              <v:stroke on="f" weight="0.5pt"/>
              <v:imagedata o:title=""/>
              <o:lock v:ext="edit" aspectratio="f"/>
              <v:textbox inset="0mm,0mm,0mm,0mm" style="mso-fit-shape-to-text:t;">
                <w:txbxContent>
                  <w:p w14:paraId="19687916">
                    <w:pPr>
                      <w:pStyle w:val="8"/>
                    </w:pPr>
                    <w:r>
                      <w:fldChar w:fldCharType="begin"/>
                    </w:r>
                    <w:r>
                      <w:instrText xml:space="preserve"> PAGE  \* MERGEFORMAT </w:instrText>
                    </w:r>
                    <w:r>
                      <w:fldChar w:fldCharType="separate"/>
                    </w:r>
                    <w:r>
                      <w:t>1</w:t>
                    </w:r>
                    <w:r>
                      <w:fldChar w:fldCharType="end"/>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2"/>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2E4213"/>
    <w:rsid w:val="042E42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6">
    <w:name w:val="Emphasis"/>
    <w:basedOn w:val="4"/>
    <w:qFormat/>
    <w:uiPriority w:val="0"/>
    <w:rPr>
      <w:i/>
      <w:iCs/>
    </w:rPr>
  </w:style>
  <w:style w:type="paragraph" w:styleId="7">
    <w:name w:val="footer"/>
    <w:basedOn w:val="1"/>
    <w:uiPriority w:val="0"/>
    <w:pPr>
      <w:tabs>
        <w:tab w:val="center" w:pos="4153"/>
        <w:tab w:val="right" w:pos="8306"/>
      </w:tabs>
      <w:snapToGrid w:val="0"/>
      <w:jc w:val="left"/>
    </w:pPr>
    <w:rPr>
      <w:sz w:val="18"/>
      <w:szCs w:val="18"/>
    </w:rPr>
  </w:style>
  <w:style w:type="paragraph" w:styleId="8">
    <w:name w:val="header"/>
    <w:basedOn w:val="1"/>
    <w:uiPriority w:val="0"/>
    <w:pPr>
      <w:tabs>
        <w:tab w:val="center" w:pos="4153"/>
        <w:tab w:val="right" w:pos="8306"/>
      </w:tabs>
      <w:snapToGrid w:val="0"/>
    </w:pPr>
    <w:rPr>
      <w:sz w:val="18"/>
      <w:szCs w:val="18"/>
    </w:rPr>
  </w:style>
  <w:style w:type="character" w:styleId="9">
    <w:name w:val="Hyperlink"/>
    <w:basedOn w:val="4"/>
    <w:uiPriority w:val="0"/>
    <w:rPr>
      <w:color w:val="0000FF"/>
      <w:u w:val="single"/>
    </w:rPr>
  </w:style>
  <w:style w:type="paragraph" w:styleId="10">
    <w:name w:val="Normal (Web)"/>
    <w:uiPriority w:val="0"/>
    <w:pPr>
      <w:spacing w:before="0" w:beforeAutospacing="1" w:after="0" w:afterAutospacing="1"/>
      <w:ind w:left="0" w:right="0"/>
      <w:jc w:val="left"/>
    </w:pPr>
    <w:rPr>
      <w:kern w:val="0"/>
      <w:sz w:val="24"/>
      <w:szCs w:val="24"/>
      <w:lang w:val="en-US" w:eastAsia="zh-CN" w:bidi="ar"/>
    </w:rPr>
  </w:style>
  <w:style w:type="paragraph" w:styleId="11">
    <w:name w:val="toc 1"/>
    <w:basedOn w:val="1"/>
    <w:next w:val="1"/>
    <w:uiPriority w:val="0"/>
  </w:style>
  <w:style w:type="paragraph" w:styleId="12">
    <w:name w:val="toc 2"/>
    <w:basedOn w:val="1"/>
    <w:next w:val="1"/>
    <w:uiPriority w:val="0"/>
    <w:pPr>
      <w:ind w:left="420" w:left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0</Words>
  <Characters>0</Characters>
  <Lines>0</Lines>
  <Paragraphs>0</Paragraphs>
  <TotalTime>5</TotalTime>
  <ScaleCrop>false</ScaleCrop>
  <LinksUpToDate>false</LinksUpToDate>
  <CharactersWithSpaces>0</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2026-05-16T17:35:00Z</dcterms:created>
  <dc:creator>Priyanshi Gupta</dc:creator>
  <cp:lastModifiedBy>Priyanshi Gupta</cp:lastModifiedBy>
  <dcterms:modified xsi:type="dcterms:W3CDTF">2026-05-16T17:42:09Z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E8F7E72D083942EBAA97F97D2058400E_11</vt:lpwstr>
  </property>
</Properties>
</file>