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989F5" w14:textId="77777777" w:rsidR="009216E7" w:rsidRDefault="009216E7" w:rsidP="009216E7">
      <w:pPr>
        <w:pStyle w:val="Title"/>
        <w:rPr>
          <w:lang w:val="en-IN"/>
        </w:rPr>
      </w:pPr>
    </w:p>
    <w:p w14:paraId="39108D85" w14:textId="77777777" w:rsidR="009216E7" w:rsidRDefault="009216E7" w:rsidP="009216E7">
      <w:pPr>
        <w:pStyle w:val="Title"/>
        <w:rPr>
          <w:lang w:val="en-IN"/>
        </w:rPr>
      </w:pPr>
    </w:p>
    <w:p w14:paraId="0CA66E80" w14:textId="77777777" w:rsidR="009216E7" w:rsidRDefault="009216E7" w:rsidP="009216E7">
      <w:pPr>
        <w:pStyle w:val="Title"/>
        <w:rPr>
          <w:lang w:val="en-IN"/>
        </w:rPr>
      </w:pPr>
    </w:p>
    <w:p w14:paraId="116B5F5B" w14:textId="77777777" w:rsidR="009216E7" w:rsidRDefault="009216E7" w:rsidP="009216E7">
      <w:pPr>
        <w:pStyle w:val="Title"/>
        <w:rPr>
          <w:lang w:val="en-IN"/>
        </w:rPr>
      </w:pPr>
    </w:p>
    <w:p w14:paraId="3311C9F9" w14:textId="77777777" w:rsidR="009216E7" w:rsidRDefault="009216E7" w:rsidP="009216E7">
      <w:pPr>
        <w:pStyle w:val="Title"/>
        <w:rPr>
          <w:lang w:val="en-IN"/>
        </w:rPr>
      </w:pPr>
    </w:p>
    <w:p w14:paraId="1E28DC75" w14:textId="77777777" w:rsidR="009216E7" w:rsidRDefault="009216E7" w:rsidP="009216E7">
      <w:pPr>
        <w:pStyle w:val="Title"/>
        <w:rPr>
          <w:lang w:val="en-IN"/>
        </w:rPr>
      </w:pPr>
    </w:p>
    <w:p w14:paraId="72BAA873" w14:textId="77777777" w:rsidR="009216E7" w:rsidRDefault="009216E7" w:rsidP="009216E7">
      <w:pPr>
        <w:pStyle w:val="Title"/>
        <w:rPr>
          <w:lang w:val="en-IN"/>
        </w:rPr>
      </w:pPr>
    </w:p>
    <w:p w14:paraId="2C40C909" w14:textId="77777777" w:rsidR="009216E7" w:rsidRDefault="009216E7" w:rsidP="009216E7">
      <w:pPr>
        <w:pStyle w:val="Title"/>
        <w:rPr>
          <w:lang w:val="en-IN"/>
        </w:rPr>
      </w:pPr>
    </w:p>
    <w:p w14:paraId="5F9402E7" w14:textId="77777777" w:rsidR="009216E7" w:rsidRDefault="009216E7" w:rsidP="009216E7">
      <w:pPr>
        <w:pStyle w:val="Title"/>
        <w:rPr>
          <w:lang w:val="en-IN"/>
        </w:rPr>
      </w:pPr>
      <w:r w:rsidRPr="009216E7">
        <w:rPr>
          <w:lang w:val="en-IN"/>
        </w:rPr>
        <w:t>Assignment</w:t>
      </w:r>
      <w:r>
        <w:rPr>
          <w:lang w:val="en-IN"/>
        </w:rPr>
        <w:t>:</w:t>
      </w:r>
      <w:r w:rsidRPr="009216E7">
        <w:rPr>
          <w:lang w:val="en-IN"/>
        </w:rPr>
        <w:t xml:space="preserve"> 10</w:t>
      </w:r>
    </w:p>
    <w:p w14:paraId="298682BD" w14:textId="77777777" w:rsidR="00923746" w:rsidRDefault="00923746" w:rsidP="00923746">
      <w:pPr>
        <w:pStyle w:val="Title"/>
        <w:rPr>
          <w:lang w:val="en-IN"/>
        </w:rPr>
      </w:pPr>
      <w:r>
        <w:rPr>
          <w:lang w:val="en-IN"/>
        </w:rPr>
        <w:t>Student Name: Kewal Kumar</w:t>
      </w:r>
    </w:p>
    <w:p w14:paraId="2852490E" w14:textId="77777777" w:rsidR="00923746" w:rsidRDefault="00923746" w:rsidP="00923746">
      <w:pPr>
        <w:pStyle w:val="Title"/>
        <w:rPr>
          <w:lang w:val="en-IN"/>
        </w:rPr>
      </w:pPr>
      <w:r>
        <w:rPr>
          <w:lang w:val="en-IN"/>
        </w:rPr>
        <w:t xml:space="preserve">Student ID: </w:t>
      </w:r>
      <w:r>
        <w:rPr>
          <w:rFonts w:cs="Times New Roman"/>
          <w:bCs/>
          <w:szCs w:val="32"/>
          <w:lang w:val="en-US"/>
        </w:rPr>
        <w:t>DE240138</w:t>
      </w:r>
    </w:p>
    <w:p w14:paraId="26120536" w14:textId="77777777" w:rsidR="009216E7" w:rsidRDefault="009216E7">
      <w:pPr>
        <w:spacing w:line="278" w:lineRule="auto"/>
        <w:jc w:val="left"/>
        <w:rPr>
          <w:b/>
          <w:bCs/>
          <w:lang w:val="en-IN"/>
        </w:rPr>
      </w:pPr>
      <w:r>
        <w:rPr>
          <w:b/>
          <w:bCs/>
          <w:lang w:val="en-IN"/>
        </w:rPr>
        <w:br w:type="page"/>
      </w:r>
    </w:p>
    <w:p w14:paraId="069F265D" w14:textId="69E8E124" w:rsidR="009216E7" w:rsidRPr="009216E7" w:rsidRDefault="009216E7" w:rsidP="009216E7">
      <w:pPr>
        <w:rPr>
          <w:lang w:val="en-IN"/>
        </w:rPr>
      </w:pPr>
      <w:r w:rsidRPr="009216E7">
        <w:rPr>
          <w:b/>
          <w:bCs/>
          <w:lang w:val="en-IN"/>
        </w:rPr>
        <w:lastRenderedPageBreak/>
        <w:t>Revenue Management in Hotels</w:t>
      </w:r>
    </w:p>
    <w:p w14:paraId="228F69B2" w14:textId="2DC5D4D6" w:rsidR="009216E7" w:rsidRPr="009216E7" w:rsidRDefault="00B0685A" w:rsidP="009216E7">
      <w:pPr>
        <w:rPr>
          <w:lang w:val="en-IN"/>
        </w:rPr>
      </w:pPr>
      <w:r>
        <w:t>Revenue</w:t>
      </w:r>
      <w:r w:rsidRPr="00B0685A">
        <w:t xml:space="preserve"> management is the methodical application of the demand forecasting, market segmentation, inventory management, and dynamic pricing to sell the appropriate room to the appropriate customer at the appropriate time and appropriate price. Its role in hotels is not merely to fill rooms but to make the most out of a fixed and perishable inventory in terms of revenue and profit. Recent studies indicate that hotel revenue management has become more and more data-driven, with open pricing, customer-level data, and continuous rate </w:t>
      </w:r>
      <w:r>
        <w:t>optimisation</w:t>
      </w:r>
      <w:r w:rsidRPr="00B0685A">
        <w:t xml:space="preserve"> as opposed to fixed seasonal rates (Talon-Ballestero </w:t>
      </w:r>
      <w:r w:rsidRPr="00B0685A">
        <w:rPr>
          <w:i/>
          <w:iCs/>
        </w:rPr>
        <w:t>et al.</w:t>
      </w:r>
      <w:r w:rsidRPr="00B0685A">
        <w:t xml:space="preserve"> 2022).</w:t>
      </w:r>
    </w:p>
    <w:p w14:paraId="72D69612" w14:textId="77777777" w:rsidR="009216E7" w:rsidRPr="009216E7" w:rsidRDefault="009216E7" w:rsidP="009216E7">
      <w:pPr>
        <w:rPr>
          <w:lang w:val="en-IN"/>
        </w:rPr>
      </w:pPr>
      <w:r w:rsidRPr="009216E7">
        <w:rPr>
          <w:b/>
          <w:bCs/>
          <w:lang w:val="en-IN"/>
        </w:rPr>
        <w:t>Why Metrics Matter for Decisions</w:t>
      </w:r>
    </w:p>
    <w:p w14:paraId="2D482A86" w14:textId="00DBF5E1" w:rsidR="009216E7" w:rsidRPr="009216E7" w:rsidRDefault="00B0685A" w:rsidP="009216E7">
      <w:pPr>
        <w:rPr>
          <w:lang w:val="en-IN"/>
        </w:rPr>
      </w:pPr>
      <w:r w:rsidRPr="00B0685A">
        <w:rPr>
          <w:lang w:val="en-IN"/>
        </w:rPr>
        <w:t xml:space="preserve">Performance measures are necessary since speculative pricing decisions are speculative. Occupancy prediction is used to determine the number of employees to hire, rooms to allocate, or when to promote, and current journal data demonstrates that short-term occupancy prediction leads to better hotel decision-making, particularly in independent hotels (Legg and </w:t>
      </w:r>
      <w:proofErr w:type="spellStart"/>
      <w:r w:rsidRPr="00B0685A">
        <w:rPr>
          <w:lang w:val="en-IN"/>
        </w:rPr>
        <w:t>Ampountolas</w:t>
      </w:r>
      <w:proofErr w:type="spellEnd"/>
      <w:r w:rsidRPr="00B0685A">
        <w:rPr>
          <w:lang w:val="en-IN"/>
        </w:rPr>
        <w:t xml:space="preserve">, 2023). More importantly, a single metric can be misleading: a high occupancy is not invariably accompanied by a high price and a high ADR does not always indicate used capacity. In addition to this, recent research in hotel-management asserts that management requires combined indicators since the integration of financial data and operating indicators enhances performance and control in business (Emmanuel </w:t>
      </w:r>
      <w:r w:rsidRPr="00B0685A">
        <w:rPr>
          <w:i/>
          <w:iCs/>
          <w:lang w:val="en-IN"/>
        </w:rPr>
        <w:t>et al.</w:t>
      </w:r>
      <w:r w:rsidRPr="00B0685A">
        <w:rPr>
          <w:lang w:val="en-IN"/>
        </w:rPr>
        <w:t xml:space="preserve"> 2025).</w:t>
      </w:r>
    </w:p>
    <w:p w14:paraId="4494256E" w14:textId="77777777" w:rsidR="009216E7" w:rsidRPr="009216E7" w:rsidRDefault="009216E7" w:rsidP="009216E7">
      <w:pPr>
        <w:rPr>
          <w:lang w:val="en-IN"/>
        </w:rPr>
      </w:pPr>
      <w:r w:rsidRPr="009216E7">
        <w:rPr>
          <w:b/>
          <w:bCs/>
          <w:lang w:val="en-IN"/>
        </w:rPr>
        <w:t>Key Metrics and Managerial Significance</w:t>
      </w:r>
    </w:p>
    <w:p w14:paraId="360A982A" w14:textId="77777777" w:rsidR="00B0685A" w:rsidRPr="00B0685A" w:rsidRDefault="00B0685A" w:rsidP="00B0685A">
      <w:pPr>
        <w:rPr>
          <w:lang w:val="en-IN"/>
        </w:rPr>
      </w:pPr>
      <w:r w:rsidRPr="00B0685A">
        <w:rPr>
          <w:lang w:val="en-IN"/>
        </w:rPr>
        <w:t>ADR (Average Daily rate) = Rooms Sold/Total Room Revenue. ADR is a price strength gauge. Managers can know about whether the hotel is deriving adequate value out of the sold rooms. Nevertheless, empty rooms are not taken into account by ADR alone, and it cannot be viewed as a complete performance. Notably, the distribution practices of the average daily rate also have the potential to abuse it, where a significant part of the sales is achieved due to the online booking site at a discount where the resulting room sales are low but the resulting revenue is poor (Niko et al. 2022).</w:t>
      </w:r>
    </w:p>
    <w:p w14:paraId="6737BB7A" w14:textId="2FCAA3E6" w:rsidR="00B0685A" w:rsidRPr="00B0685A" w:rsidRDefault="00B0685A" w:rsidP="00B0685A">
      <w:pPr>
        <w:rPr>
          <w:lang w:val="en-IN"/>
        </w:rPr>
      </w:pPr>
      <w:r w:rsidRPr="00B0685A">
        <w:rPr>
          <w:lang w:val="en-IN"/>
        </w:rPr>
        <w:t>Occupancy rate = Rooms Sold/ Rooms available x100. Capacity is reflected in the occupancy. It plays a crucial role in labour scheduling, housekeeping planning, and demand assessment. However, the boost in occupancy by offering discounts are harmful to the profitability.</w:t>
      </w:r>
    </w:p>
    <w:p w14:paraId="76A6443D" w14:textId="468180D2" w:rsidR="00B0685A" w:rsidRPr="00B0685A" w:rsidRDefault="00B0685A" w:rsidP="00B0685A">
      <w:pPr>
        <w:rPr>
          <w:lang w:val="en-IN"/>
        </w:rPr>
      </w:pPr>
      <w:r w:rsidRPr="00B0685A">
        <w:rPr>
          <w:lang w:val="en-IN"/>
        </w:rPr>
        <w:t xml:space="preserve">Revenue per Available Room </w:t>
      </w:r>
      <w:proofErr w:type="gramStart"/>
      <w:r w:rsidRPr="00B0685A">
        <w:rPr>
          <w:lang w:val="en-IN"/>
        </w:rPr>
        <w:t>( RevPAR</w:t>
      </w:r>
      <w:proofErr w:type="gramEnd"/>
      <w:r w:rsidRPr="00B0685A">
        <w:rPr>
          <w:lang w:val="en-IN"/>
        </w:rPr>
        <w:t xml:space="preserve"> ) = Total Room Revenue / Rooms Available or ADR/Occupancy. Instead of relying on either ADR or occupancy, RevPAR is more valuable </w:t>
      </w:r>
      <w:r w:rsidRPr="00B0685A">
        <w:rPr>
          <w:lang w:val="en-IN"/>
        </w:rPr>
        <w:lastRenderedPageBreak/>
        <w:t>since it is a combination of price and volume. It is hence a key measurement of revenue strategy.</w:t>
      </w:r>
    </w:p>
    <w:p w14:paraId="08C0FACA" w14:textId="5FE13DAB" w:rsidR="00A56F63" w:rsidRPr="00A56F63" w:rsidRDefault="00B0685A" w:rsidP="00B0685A">
      <w:pPr>
        <w:rPr>
          <w:lang w:val="en-IN"/>
        </w:rPr>
      </w:pPr>
      <w:r w:rsidRPr="00B0685A">
        <w:rPr>
          <w:lang w:val="en-IN"/>
        </w:rPr>
        <w:t xml:space="preserve">GOPPAR (Gross Operating Profit per Room available) = Gross Operating Profit/Rooms available. The most managerially powerful one in this regard is GOPPAR since it relates revenue performance to cost efficiency and profit. Studies into crisis-period revenue management underline that the best hotels should consider pricing strategies in terms of financial sustainability, rather than the highest room rates (Santos </w:t>
      </w:r>
      <w:r w:rsidRPr="00B0685A">
        <w:rPr>
          <w:i/>
          <w:iCs/>
          <w:lang w:val="en-IN"/>
        </w:rPr>
        <w:t>et al.</w:t>
      </w:r>
      <w:r w:rsidRPr="00B0685A">
        <w:rPr>
          <w:lang w:val="en-IN"/>
        </w:rPr>
        <w:t xml:space="preserve"> 2024).</w:t>
      </w:r>
    </w:p>
    <w:p w14:paraId="6E61BA99" w14:textId="77777777" w:rsidR="00A56F63" w:rsidRPr="00A56F63" w:rsidRDefault="00A56F63" w:rsidP="00A56F63">
      <w:pPr>
        <w:rPr>
          <w:b/>
          <w:bCs/>
          <w:lang w:val="en-IN"/>
        </w:rPr>
      </w:pPr>
      <w:r w:rsidRPr="00A56F63">
        <w:rPr>
          <w:b/>
          <w:bCs/>
          <w:lang w:val="en-IN"/>
        </w:rPr>
        <w:t>Conclusion</w:t>
      </w:r>
    </w:p>
    <w:p w14:paraId="0D42BAD0" w14:textId="2F67A178" w:rsidR="009216E7" w:rsidRDefault="00B0685A" w:rsidP="00A56F63">
      <w:pPr>
        <w:rPr>
          <w:lang w:val="en-IN"/>
        </w:rPr>
      </w:pPr>
      <w:r w:rsidRPr="00B0685A">
        <w:t xml:space="preserve">Revenue management, then, can be thought of as a </w:t>
      </w:r>
      <w:r>
        <w:t>profit-optimisation</w:t>
      </w:r>
      <w:r w:rsidRPr="00B0685A">
        <w:t xml:space="preserve"> system and ADR, Occupancy, RevPAR, </w:t>
      </w:r>
      <w:r>
        <w:t xml:space="preserve">and </w:t>
      </w:r>
      <w:r w:rsidRPr="00B0685A">
        <w:t>GOPPAR are decision tools of varying analytical depth. To score well, GOPPAR offers the most strategic perspective, whereas RevPAR is the most successful working dashboard.</w:t>
      </w:r>
    </w:p>
    <w:p w14:paraId="22227859" w14:textId="77777777" w:rsidR="009216E7" w:rsidRDefault="009216E7">
      <w:pPr>
        <w:spacing w:line="278" w:lineRule="auto"/>
        <w:jc w:val="left"/>
        <w:rPr>
          <w:lang w:val="en-IN"/>
        </w:rPr>
      </w:pPr>
      <w:r>
        <w:rPr>
          <w:lang w:val="en-IN"/>
        </w:rPr>
        <w:br w:type="page"/>
      </w:r>
    </w:p>
    <w:p w14:paraId="50AAF203" w14:textId="46115624" w:rsidR="009216E7" w:rsidRDefault="009216E7" w:rsidP="009216E7">
      <w:pPr>
        <w:pStyle w:val="Heading1"/>
        <w:rPr>
          <w:lang w:val="en-IN"/>
        </w:rPr>
      </w:pPr>
      <w:r>
        <w:rPr>
          <w:lang w:val="en-IN"/>
        </w:rPr>
        <w:lastRenderedPageBreak/>
        <w:t>Reference</w:t>
      </w:r>
    </w:p>
    <w:p w14:paraId="2DB81911" w14:textId="77777777" w:rsidR="002F326B" w:rsidRPr="009216E7" w:rsidRDefault="002F326B" w:rsidP="009216E7">
      <w:pPr>
        <w:rPr>
          <w:lang w:val="en-IN"/>
        </w:rPr>
      </w:pPr>
      <w:r w:rsidRPr="009216E7">
        <w:rPr>
          <w:lang w:val="en-IN"/>
        </w:rPr>
        <w:t xml:space="preserve">Emmanuel, A., Isabel, M., Santos, L.L. and Gomes, C. (2025). Impact of Management Indicators on the Business Performance of Hotel SMEs in Mexico. </w:t>
      </w:r>
      <w:r w:rsidRPr="009216E7">
        <w:rPr>
          <w:i/>
          <w:iCs/>
          <w:lang w:val="en-IN"/>
        </w:rPr>
        <w:t>Journal of risk and financial management</w:t>
      </w:r>
      <w:r w:rsidRPr="009216E7">
        <w:rPr>
          <w:lang w:val="en-IN"/>
        </w:rPr>
        <w:t xml:space="preserve">, [online] 18(5), pp.271–271. </w:t>
      </w:r>
      <w:proofErr w:type="spellStart"/>
      <w:r w:rsidRPr="009216E7">
        <w:rPr>
          <w:lang w:val="en-IN"/>
        </w:rPr>
        <w:t>doi</w:t>
      </w:r>
      <w:proofErr w:type="spellEnd"/>
      <w:r w:rsidRPr="009216E7">
        <w:rPr>
          <w:lang w:val="en-IN"/>
        </w:rPr>
        <w:t>:</w:t>
      </w:r>
      <w:r>
        <w:rPr>
          <w:lang w:val="en-IN"/>
        </w:rPr>
        <w:t xml:space="preserve"> </w:t>
      </w:r>
      <w:hyperlink r:id="rId6" w:history="1">
        <w:r w:rsidRPr="009216E7">
          <w:rPr>
            <w:rStyle w:val="Hyperlink"/>
            <w:lang w:val="en-IN"/>
          </w:rPr>
          <w:t>https://doi.org/10.3390/jrfm18050271</w:t>
        </w:r>
      </w:hyperlink>
      <w:r w:rsidRPr="009216E7">
        <w:rPr>
          <w:lang w:val="en-IN"/>
        </w:rPr>
        <w:t>.</w:t>
      </w:r>
      <w:r>
        <w:rPr>
          <w:lang w:val="en-IN"/>
        </w:rPr>
        <w:t xml:space="preserve"> </w:t>
      </w:r>
    </w:p>
    <w:p w14:paraId="0AA67805" w14:textId="77777777" w:rsidR="002F326B" w:rsidRPr="009216E7" w:rsidRDefault="002F326B" w:rsidP="009216E7">
      <w:pPr>
        <w:rPr>
          <w:lang w:val="en-IN"/>
        </w:rPr>
      </w:pPr>
      <w:r w:rsidRPr="009216E7">
        <w:rPr>
          <w:lang w:val="en-IN"/>
        </w:rPr>
        <w:t xml:space="preserve">Legg, M. and </w:t>
      </w:r>
      <w:proofErr w:type="spellStart"/>
      <w:r w:rsidRPr="009216E7">
        <w:rPr>
          <w:lang w:val="en-IN"/>
        </w:rPr>
        <w:t>Ampountolas</w:t>
      </w:r>
      <w:proofErr w:type="spellEnd"/>
      <w:r w:rsidRPr="009216E7">
        <w:rPr>
          <w:lang w:val="en-IN"/>
        </w:rPr>
        <w:t xml:space="preserve">, A. (2023). Predicting daily hotel occupancy: a practical application for independent hotels. </w:t>
      </w:r>
      <w:r w:rsidRPr="009216E7">
        <w:rPr>
          <w:i/>
          <w:iCs/>
          <w:lang w:val="en-IN"/>
        </w:rPr>
        <w:t>Journal of Revenue and Pricing Management</w:t>
      </w:r>
      <w:r w:rsidRPr="009216E7">
        <w:rPr>
          <w:lang w:val="en-IN"/>
        </w:rPr>
        <w:t xml:space="preserve">. </w:t>
      </w:r>
      <w:proofErr w:type="spellStart"/>
      <w:r w:rsidRPr="009216E7">
        <w:rPr>
          <w:lang w:val="en-IN"/>
        </w:rPr>
        <w:t>doi</w:t>
      </w:r>
      <w:proofErr w:type="spellEnd"/>
      <w:r w:rsidRPr="009216E7">
        <w:rPr>
          <w:lang w:val="en-IN"/>
        </w:rPr>
        <w:t>:</w:t>
      </w:r>
      <w:r>
        <w:rPr>
          <w:lang w:val="en-IN"/>
        </w:rPr>
        <w:t xml:space="preserve"> </w:t>
      </w:r>
      <w:hyperlink r:id="rId7" w:history="1">
        <w:r w:rsidRPr="009216E7">
          <w:rPr>
            <w:rStyle w:val="Hyperlink"/>
            <w:lang w:val="en-IN"/>
          </w:rPr>
          <w:t>https://doi.org/10.1057/s41272-023-00445-7</w:t>
        </w:r>
      </w:hyperlink>
      <w:r w:rsidRPr="009216E7">
        <w:rPr>
          <w:lang w:val="en-IN"/>
        </w:rPr>
        <w:t>.</w:t>
      </w:r>
      <w:r>
        <w:rPr>
          <w:lang w:val="en-IN"/>
        </w:rPr>
        <w:t xml:space="preserve"> </w:t>
      </w:r>
    </w:p>
    <w:p w14:paraId="2F571F4D" w14:textId="77777777" w:rsidR="002F326B" w:rsidRPr="00CE6BD7" w:rsidRDefault="002F326B" w:rsidP="00CE6BD7">
      <w:pPr>
        <w:rPr>
          <w:lang w:val="en-IN"/>
        </w:rPr>
      </w:pPr>
      <w:r w:rsidRPr="00CE6BD7">
        <w:rPr>
          <w:lang w:val="en-IN"/>
        </w:rPr>
        <w:t xml:space="preserve">Niko, I., </w:t>
      </w:r>
      <w:proofErr w:type="spellStart"/>
      <w:r w:rsidRPr="00CE6BD7">
        <w:rPr>
          <w:lang w:val="en-IN"/>
        </w:rPr>
        <w:t>Panca</w:t>
      </w:r>
      <w:proofErr w:type="spellEnd"/>
      <w:r w:rsidRPr="00CE6BD7">
        <w:rPr>
          <w:lang w:val="en-IN"/>
        </w:rPr>
        <w:t xml:space="preserve">, O., Hadi, P. and </w:t>
      </w:r>
      <w:proofErr w:type="spellStart"/>
      <w:r w:rsidRPr="00CE6BD7">
        <w:rPr>
          <w:lang w:val="en-IN"/>
        </w:rPr>
        <w:t>Wuri</w:t>
      </w:r>
      <w:proofErr w:type="spellEnd"/>
      <w:r w:rsidRPr="00CE6BD7">
        <w:rPr>
          <w:lang w:val="en-IN"/>
        </w:rPr>
        <w:t xml:space="preserve">, P. (2022). Distribution Channel Model for Hotel Revenue Management: Lessons from Hoteliers and E-Intermediaries. </w:t>
      </w:r>
      <w:r w:rsidRPr="00CE6BD7">
        <w:rPr>
          <w:i/>
          <w:iCs/>
          <w:lang w:val="en-IN"/>
        </w:rPr>
        <w:t>Journal of Distribution Science</w:t>
      </w:r>
      <w:r w:rsidRPr="00CE6BD7">
        <w:rPr>
          <w:lang w:val="en-IN"/>
        </w:rPr>
        <w:t xml:space="preserve">, [online] 20(2), pp.19–29. </w:t>
      </w:r>
      <w:proofErr w:type="spellStart"/>
      <w:r w:rsidRPr="00CE6BD7">
        <w:rPr>
          <w:lang w:val="en-IN"/>
        </w:rPr>
        <w:t>doi</w:t>
      </w:r>
      <w:proofErr w:type="spellEnd"/>
      <w:r w:rsidRPr="00CE6BD7">
        <w:rPr>
          <w:lang w:val="en-IN"/>
        </w:rPr>
        <w:t>:</w:t>
      </w:r>
      <w:r>
        <w:rPr>
          <w:lang w:val="en-IN"/>
        </w:rPr>
        <w:t xml:space="preserve"> </w:t>
      </w:r>
      <w:hyperlink r:id="rId8" w:history="1">
        <w:r w:rsidRPr="00CE6BD7">
          <w:rPr>
            <w:rStyle w:val="Hyperlink"/>
            <w:lang w:val="en-IN"/>
          </w:rPr>
          <w:t>https://doi.org/10.15722/jds.20.02.202202.19</w:t>
        </w:r>
      </w:hyperlink>
      <w:r w:rsidRPr="00CE6BD7">
        <w:rPr>
          <w:lang w:val="en-IN"/>
        </w:rPr>
        <w:t>.</w:t>
      </w:r>
      <w:r>
        <w:rPr>
          <w:lang w:val="en-IN"/>
        </w:rPr>
        <w:t xml:space="preserve"> </w:t>
      </w:r>
    </w:p>
    <w:p w14:paraId="3C588B63" w14:textId="77777777" w:rsidR="002F326B" w:rsidRPr="009216E7" w:rsidRDefault="002F326B" w:rsidP="009216E7">
      <w:pPr>
        <w:rPr>
          <w:lang w:val="en-IN"/>
        </w:rPr>
      </w:pPr>
      <w:r w:rsidRPr="009216E7">
        <w:rPr>
          <w:lang w:val="en-IN"/>
        </w:rPr>
        <w:t xml:space="preserve">Santos, L.L., Gomes, C., Malheiros, C., Crespo, C. and Bento, C. (2024). Factors Influencing Hotel Revenue Management in Times of Crisis: Towards Financial Sustainability. </w:t>
      </w:r>
      <w:r w:rsidRPr="009216E7">
        <w:rPr>
          <w:i/>
          <w:iCs/>
          <w:lang w:val="en-IN"/>
        </w:rPr>
        <w:t>International Journal of Financial Studies</w:t>
      </w:r>
      <w:r w:rsidRPr="009216E7">
        <w:rPr>
          <w:lang w:val="en-IN"/>
        </w:rPr>
        <w:t xml:space="preserve">, [online] 12(4), pp.112–112. </w:t>
      </w:r>
      <w:proofErr w:type="spellStart"/>
      <w:r w:rsidRPr="009216E7">
        <w:rPr>
          <w:lang w:val="en-IN"/>
        </w:rPr>
        <w:t>doi</w:t>
      </w:r>
      <w:proofErr w:type="spellEnd"/>
      <w:r w:rsidRPr="009216E7">
        <w:rPr>
          <w:lang w:val="en-IN"/>
        </w:rPr>
        <w:t>:</w:t>
      </w:r>
      <w:r>
        <w:rPr>
          <w:lang w:val="en-IN"/>
        </w:rPr>
        <w:t xml:space="preserve"> </w:t>
      </w:r>
      <w:hyperlink r:id="rId9" w:history="1">
        <w:r w:rsidRPr="009216E7">
          <w:rPr>
            <w:rStyle w:val="Hyperlink"/>
            <w:lang w:val="en-IN"/>
          </w:rPr>
          <w:t>https://doi.org/10.3390/ijfs12040112</w:t>
        </w:r>
      </w:hyperlink>
      <w:r w:rsidRPr="009216E7">
        <w:rPr>
          <w:lang w:val="en-IN"/>
        </w:rPr>
        <w:t>.</w:t>
      </w:r>
      <w:r>
        <w:rPr>
          <w:lang w:val="en-IN"/>
        </w:rPr>
        <w:t xml:space="preserve">  </w:t>
      </w:r>
    </w:p>
    <w:p w14:paraId="2BE83A92" w14:textId="77777777" w:rsidR="002F326B" w:rsidRDefault="002F326B" w:rsidP="009216E7">
      <w:pPr>
        <w:rPr>
          <w:lang w:val="en-IN"/>
        </w:rPr>
      </w:pPr>
      <w:proofErr w:type="spellStart"/>
      <w:r w:rsidRPr="009216E7">
        <w:rPr>
          <w:lang w:val="en-IN"/>
        </w:rPr>
        <w:t>Talón</w:t>
      </w:r>
      <w:proofErr w:type="spellEnd"/>
      <w:r w:rsidRPr="009216E7">
        <w:rPr>
          <w:lang w:val="en-IN"/>
        </w:rPr>
        <w:t xml:space="preserve">-Ballestero, P., Nieto-García, M. and González-Serrano, L. (2022). The wheel of dynamic pricing: Towards open pricing and one to one pricing in hotel revenue management. </w:t>
      </w:r>
      <w:r w:rsidRPr="009216E7">
        <w:rPr>
          <w:i/>
          <w:iCs/>
          <w:lang w:val="en-IN"/>
        </w:rPr>
        <w:t>International Journal of Hospitality Management</w:t>
      </w:r>
      <w:r w:rsidRPr="009216E7">
        <w:rPr>
          <w:lang w:val="en-IN"/>
        </w:rPr>
        <w:t>, 102, p.103184.</w:t>
      </w:r>
      <w:r>
        <w:rPr>
          <w:lang w:val="en-IN"/>
        </w:rPr>
        <w:t xml:space="preserve"> </w:t>
      </w:r>
      <w:hyperlink r:id="rId10" w:history="1">
        <w:r w:rsidRPr="0085272C">
          <w:rPr>
            <w:rStyle w:val="Hyperlink"/>
          </w:rPr>
          <w:t>https://doi.org/10.1016/j.ijhm.2022.103184</w:t>
        </w:r>
      </w:hyperlink>
    </w:p>
    <w:p w14:paraId="6FD80F9C" w14:textId="77777777" w:rsidR="009216E7" w:rsidRPr="009216E7" w:rsidRDefault="009216E7" w:rsidP="009216E7">
      <w:pPr>
        <w:rPr>
          <w:lang w:val="en-IN"/>
        </w:rPr>
      </w:pPr>
    </w:p>
    <w:p w14:paraId="680367F9" w14:textId="77777777" w:rsidR="00315BA7" w:rsidRDefault="00315BA7"/>
    <w:sectPr w:rsidR="00315BA7" w:rsidSect="009216E7">
      <w:footerReference w:type="default" r:id="rId1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183F0" w14:textId="77777777" w:rsidR="009B1212" w:rsidRDefault="009B1212" w:rsidP="009216E7">
      <w:pPr>
        <w:spacing w:after="0" w:line="240" w:lineRule="auto"/>
      </w:pPr>
      <w:r>
        <w:separator/>
      </w:r>
    </w:p>
  </w:endnote>
  <w:endnote w:type="continuationSeparator" w:id="0">
    <w:p w14:paraId="1271FA31" w14:textId="77777777" w:rsidR="009B1212" w:rsidRDefault="009B1212" w:rsidP="00921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928629"/>
      <w:docPartObj>
        <w:docPartGallery w:val="Page Numbers (Bottom of Page)"/>
        <w:docPartUnique/>
      </w:docPartObj>
    </w:sdtPr>
    <w:sdtEndPr>
      <w:rPr>
        <w:noProof/>
      </w:rPr>
    </w:sdtEndPr>
    <w:sdtContent>
      <w:p w14:paraId="3AC7D4B4" w14:textId="3CCA1E49" w:rsidR="009216E7" w:rsidRDefault="009216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607B5B" w14:textId="77777777" w:rsidR="009216E7" w:rsidRDefault="00921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F68E4" w14:textId="77777777" w:rsidR="009B1212" w:rsidRDefault="009B1212" w:rsidP="009216E7">
      <w:pPr>
        <w:spacing w:after="0" w:line="240" w:lineRule="auto"/>
      </w:pPr>
      <w:r>
        <w:separator/>
      </w:r>
    </w:p>
  </w:footnote>
  <w:footnote w:type="continuationSeparator" w:id="0">
    <w:p w14:paraId="36C4911B" w14:textId="77777777" w:rsidR="009B1212" w:rsidRDefault="009B1212" w:rsidP="009216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23"/>
    <w:rsid w:val="000A1B24"/>
    <w:rsid w:val="000F4D4E"/>
    <w:rsid w:val="001606DB"/>
    <w:rsid w:val="00257190"/>
    <w:rsid w:val="002F326B"/>
    <w:rsid w:val="00315BA7"/>
    <w:rsid w:val="00516181"/>
    <w:rsid w:val="006B1C35"/>
    <w:rsid w:val="008E54F6"/>
    <w:rsid w:val="009216E7"/>
    <w:rsid w:val="00923746"/>
    <w:rsid w:val="00996A7A"/>
    <w:rsid w:val="009B1212"/>
    <w:rsid w:val="00A56F63"/>
    <w:rsid w:val="00A7482E"/>
    <w:rsid w:val="00B0685A"/>
    <w:rsid w:val="00B77923"/>
    <w:rsid w:val="00CB6714"/>
    <w:rsid w:val="00CE6BD7"/>
    <w:rsid w:val="00E94AFB"/>
    <w:rsid w:val="00EF22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A3E21"/>
  <w15:chartTrackingRefBased/>
  <w15:docId w15:val="{FEC83985-305A-414C-85DF-23491345F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A7A"/>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315BA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7792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7792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7792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792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792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792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BA7"/>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B7792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7792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7792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7792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7792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77923"/>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B7792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92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77923"/>
    <w:pPr>
      <w:spacing w:before="160"/>
      <w:jc w:val="center"/>
    </w:pPr>
    <w:rPr>
      <w:i/>
      <w:iCs/>
      <w:color w:val="404040" w:themeColor="text1" w:themeTint="BF"/>
    </w:rPr>
  </w:style>
  <w:style w:type="character" w:customStyle="1" w:styleId="QuoteChar">
    <w:name w:val="Quote Char"/>
    <w:basedOn w:val="DefaultParagraphFont"/>
    <w:link w:val="Quote"/>
    <w:uiPriority w:val="29"/>
    <w:rsid w:val="00B77923"/>
    <w:rPr>
      <w:rFonts w:ascii="Times New Roman" w:hAnsi="Times New Roman"/>
      <w:i/>
      <w:iCs/>
      <w:color w:val="404040" w:themeColor="text1" w:themeTint="BF"/>
      <w:lang w:val="en-GB"/>
    </w:rPr>
  </w:style>
  <w:style w:type="paragraph" w:styleId="ListParagraph">
    <w:name w:val="List Paragraph"/>
    <w:basedOn w:val="Normal"/>
    <w:uiPriority w:val="34"/>
    <w:qFormat/>
    <w:rsid w:val="00B77923"/>
    <w:pPr>
      <w:ind w:left="720"/>
      <w:contextualSpacing/>
    </w:pPr>
  </w:style>
  <w:style w:type="character" w:styleId="IntenseEmphasis">
    <w:name w:val="Intense Emphasis"/>
    <w:basedOn w:val="DefaultParagraphFont"/>
    <w:uiPriority w:val="21"/>
    <w:qFormat/>
    <w:rsid w:val="00B77923"/>
    <w:rPr>
      <w:i/>
      <w:iCs/>
      <w:color w:val="0F4761" w:themeColor="accent1" w:themeShade="BF"/>
    </w:rPr>
  </w:style>
  <w:style w:type="paragraph" w:styleId="IntenseQuote">
    <w:name w:val="Intense Quote"/>
    <w:basedOn w:val="Normal"/>
    <w:next w:val="Normal"/>
    <w:link w:val="IntenseQuoteChar"/>
    <w:uiPriority w:val="30"/>
    <w:qFormat/>
    <w:rsid w:val="00B779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923"/>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B77923"/>
    <w:rPr>
      <w:b/>
      <w:bCs/>
      <w:smallCaps/>
      <w:color w:val="0F4761" w:themeColor="accent1" w:themeShade="BF"/>
      <w:spacing w:val="5"/>
    </w:rPr>
  </w:style>
  <w:style w:type="character" w:styleId="Hyperlink">
    <w:name w:val="Hyperlink"/>
    <w:basedOn w:val="DefaultParagraphFont"/>
    <w:uiPriority w:val="99"/>
    <w:unhideWhenUsed/>
    <w:rsid w:val="009216E7"/>
    <w:rPr>
      <w:color w:val="467886" w:themeColor="hyperlink"/>
      <w:u w:val="single"/>
    </w:rPr>
  </w:style>
  <w:style w:type="character" w:styleId="UnresolvedMention">
    <w:name w:val="Unresolved Mention"/>
    <w:basedOn w:val="DefaultParagraphFont"/>
    <w:uiPriority w:val="99"/>
    <w:semiHidden/>
    <w:unhideWhenUsed/>
    <w:rsid w:val="009216E7"/>
    <w:rPr>
      <w:color w:val="605E5C"/>
      <w:shd w:val="clear" w:color="auto" w:fill="E1DFDD"/>
    </w:rPr>
  </w:style>
  <w:style w:type="character" w:styleId="FollowedHyperlink">
    <w:name w:val="FollowedHyperlink"/>
    <w:basedOn w:val="DefaultParagraphFont"/>
    <w:uiPriority w:val="99"/>
    <w:semiHidden/>
    <w:unhideWhenUsed/>
    <w:rsid w:val="009216E7"/>
    <w:rPr>
      <w:color w:val="96607D" w:themeColor="followedHyperlink"/>
      <w:u w:val="single"/>
    </w:rPr>
  </w:style>
  <w:style w:type="paragraph" w:styleId="Header">
    <w:name w:val="header"/>
    <w:basedOn w:val="Normal"/>
    <w:link w:val="HeaderChar"/>
    <w:uiPriority w:val="99"/>
    <w:unhideWhenUsed/>
    <w:rsid w:val="00921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6E7"/>
    <w:rPr>
      <w:rFonts w:ascii="Times New Roman" w:hAnsi="Times New Roman"/>
      <w:lang w:val="en-GB"/>
    </w:rPr>
  </w:style>
  <w:style w:type="paragraph" w:styleId="Footer">
    <w:name w:val="footer"/>
    <w:basedOn w:val="Normal"/>
    <w:link w:val="FooterChar"/>
    <w:uiPriority w:val="99"/>
    <w:unhideWhenUsed/>
    <w:rsid w:val="00921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6E7"/>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722/jds.20.02.202202.19"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57/s41272-023-00445-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jrfm1805027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doi.org/10.1016/j.ijhm.2022.103184" TargetMode="External"/><Relationship Id="rId4" Type="http://schemas.openxmlformats.org/officeDocument/2006/relationships/footnotes" Target="footnotes.xml"/><Relationship Id="rId9" Type="http://schemas.openxmlformats.org/officeDocument/2006/relationships/hyperlink" Target="https://doi.org/10.3390/ijfs12040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750</Words>
  <Characters>4277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TISHAN KOLEH</dc:creator>
  <cp:keywords/>
  <dc:description/>
  <cp:lastModifiedBy>ARIN KOLEH</cp:lastModifiedBy>
  <cp:revision>2</cp:revision>
  <dcterms:created xsi:type="dcterms:W3CDTF">2026-04-15T11:43:00Z</dcterms:created>
  <dcterms:modified xsi:type="dcterms:W3CDTF">2026-04-15T11:43:00Z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296b240b-3086-44a3-95fb-4150a26899f2</vt:lpwstr>
  </property>
</Properties>
</file>