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FDF491" w14:textId="77777777" w:rsidR="005A44D5" w:rsidRPr="00CC2A71" w:rsidRDefault="005A44D5" w:rsidP="00986B40">
      <w:pPr>
        <w:spacing w:line="480" w:lineRule="auto"/>
        <w:jc w:val="center"/>
        <w:rPr>
          <w:rFonts w:ascii="Calibri" w:hAnsi="Calibri" w:cs="Calibri"/>
          <w:b/>
          <w:bCs/>
          <w:color w:val="000000" w:themeColor="text1"/>
          <w:szCs w:val="24"/>
        </w:rPr>
      </w:pPr>
      <w:r w:rsidRPr="00CC2A71">
        <w:rPr>
          <w:rFonts w:ascii="Calibri" w:hAnsi="Calibri" w:cs="Calibri"/>
          <w:b/>
          <w:bCs/>
          <w:noProof/>
          <w:color w:val="000000" w:themeColor="text1"/>
          <w:szCs w:val="24"/>
        </w:rPr>
        <w:drawing>
          <wp:inline distT="0" distB="0" distL="0" distR="0" wp14:anchorId="0876CBE1" wp14:editId="50783AFF">
            <wp:extent cx="2648320" cy="743054"/>
            <wp:effectExtent l="0" t="0" r="0" b="0"/>
            <wp:docPr id="1945696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696584" name=""/>
                    <pic:cNvPicPr/>
                  </pic:nvPicPr>
                  <pic:blipFill>
                    <a:blip r:embed="rId5"/>
                    <a:stretch>
                      <a:fillRect/>
                    </a:stretch>
                  </pic:blipFill>
                  <pic:spPr>
                    <a:xfrm>
                      <a:off x="0" y="0"/>
                      <a:ext cx="2648320" cy="743054"/>
                    </a:xfrm>
                    <a:prstGeom prst="rect">
                      <a:avLst/>
                    </a:prstGeom>
                  </pic:spPr>
                </pic:pic>
              </a:graphicData>
            </a:graphic>
          </wp:inline>
        </w:drawing>
      </w:r>
    </w:p>
    <w:p w14:paraId="2ACBF012" w14:textId="77777777" w:rsidR="005A44D5" w:rsidRPr="00CC2A71" w:rsidRDefault="005A44D5" w:rsidP="00986B40">
      <w:pPr>
        <w:spacing w:line="480" w:lineRule="auto"/>
        <w:jc w:val="center"/>
        <w:rPr>
          <w:rFonts w:ascii="Calibri" w:hAnsi="Calibri" w:cs="Calibri"/>
          <w:b/>
          <w:bCs/>
          <w:color w:val="000000" w:themeColor="text1"/>
          <w:szCs w:val="24"/>
        </w:rPr>
      </w:pPr>
      <w:r w:rsidRPr="00CC2A71">
        <w:rPr>
          <w:rFonts w:ascii="Calibri" w:hAnsi="Calibri" w:cs="Calibri"/>
          <w:b/>
          <w:bCs/>
          <w:color w:val="000000" w:themeColor="text1"/>
          <w:szCs w:val="24"/>
        </w:rPr>
        <w:t xml:space="preserve">Bachelors in tourism and recreation </w:t>
      </w:r>
    </w:p>
    <w:p w14:paraId="1326528D" w14:textId="6418E9BD" w:rsidR="005A44D5" w:rsidRPr="00CC2A71" w:rsidRDefault="005A44D5" w:rsidP="00986B40">
      <w:pPr>
        <w:spacing w:line="480" w:lineRule="auto"/>
        <w:jc w:val="center"/>
        <w:rPr>
          <w:rFonts w:ascii="Calibri" w:hAnsi="Calibri" w:cs="Calibri"/>
          <w:b/>
          <w:bCs/>
          <w:color w:val="000000" w:themeColor="text1"/>
          <w:szCs w:val="24"/>
        </w:rPr>
      </w:pPr>
      <w:r w:rsidRPr="00CC2A71">
        <w:rPr>
          <w:rFonts w:ascii="Calibri" w:hAnsi="Calibri" w:cs="Calibri"/>
          <w:b/>
          <w:bCs/>
          <w:color w:val="000000" w:themeColor="text1"/>
          <w:szCs w:val="24"/>
        </w:rPr>
        <w:t>Business Organization and Human Resource Management</w:t>
      </w:r>
    </w:p>
    <w:p w14:paraId="26BD3ED7" w14:textId="77777777" w:rsidR="005A44D5" w:rsidRPr="00CC2A71" w:rsidRDefault="005A44D5" w:rsidP="00986B40">
      <w:pPr>
        <w:spacing w:line="480" w:lineRule="auto"/>
        <w:jc w:val="center"/>
        <w:rPr>
          <w:rFonts w:ascii="Calibri" w:hAnsi="Calibri" w:cs="Calibri"/>
          <w:color w:val="000000" w:themeColor="text1"/>
          <w:szCs w:val="24"/>
        </w:rPr>
      </w:pPr>
    </w:p>
    <w:p w14:paraId="6837BE46" w14:textId="61935289" w:rsidR="00AD11FA" w:rsidRPr="00CC2A71" w:rsidRDefault="0054154B" w:rsidP="00986B40">
      <w:pPr>
        <w:spacing w:line="480" w:lineRule="auto"/>
        <w:rPr>
          <w:rFonts w:ascii="Calibri" w:hAnsi="Calibri" w:cs="Calibri"/>
          <w:b/>
          <w:bCs/>
          <w:color w:val="000000" w:themeColor="text1"/>
          <w:szCs w:val="24"/>
        </w:rPr>
      </w:pPr>
      <w:r w:rsidRPr="0054154B">
        <w:rPr>
          <w:rFonts w:ascii="Calibri" w:hAnsi="Calibri" w:cs="Calibri"/>
          <w:color w:val="000000" w:themeColor="text1"/>
          <w:szCs w:val="24"/>
        </w:rPr>
        <w:drawing>
          <wp:inline distT="0" distB="0" distL="0" distR="0" wp14:anchorId="6BD23738" wp14:editId="0E7A3806">
            <wp:extent cx="5943600" cy="3526155"/>
            <wp:effectExtent l="0" t="0" r="0" b="0"/>
            <wp:docPr id="19756180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618061" name=""/>
                    <pic:cNvPicPr/>
                  </pic:nvPicPr>
                  <pic:blipFill>
                    <a:blip r:embed="rId6"/>
                    <a:stretch>
                      <a:fillRect/>
                    </a:stretch>
                  </pic:blipFill>
                  <pic:spPr>
                    <a:xfrm>
                      <a:off x="0" y="0"/>
                      <a:ext cx="5943600" cy="3526155"/>
                    </a:xfrm>
                    <a:prstGeom prst="rect">
                      <a:avLst/>
                    </a:prstGeom>
                  </pic:spPr>
                </pic:pic>
              </a:graphicData>
            </a:graphic>
          </wp:inline>
        </w:drawing>
      </w:r>
    </w:p>
    <w:p w14:paraId="2A5D0583" w14:textId="77777777" w:rsidR="00AD11FA" w:rsidRPr="00CC2A71" w:rsidRDefault="00AD11FA" w:rsidP="00986B40">
      <w:pPr>
        <w:spacing w:line="480" w:lineRule="auto"/>
        <w:jc w:val="center"/>
        <w:rPr>
          <w:rFonts w:ascii="Calibri" w:hAnsi="Calibri" w:cs="Calibri"/>
          <w:b/>
          <w:bCs/>
          <w:color w:val="000000" w:themeColor="text1"/>
          <w:szCs w:val="24"/>
        </w:rPr>
      </w:pPr>
    </w:p>
    <w:p w14:paraId="6E961B4B" w14:textId="77777777" w:rsidR="00AD11FA" w:rsidRPr="00CC2A71" w:rsidRDefault="00AD11FA" w:rsidP="00986B40">
      <w:pPr>
        <w:spacing w:line="480" w:lineRule="auto"/>
        <w:jc w:val="center"/>
        <w:rPr>
          <w:rFonts w:ascii="Calibri" w:hAnsi="Calibri" w:cs="Calibri"/>
          <w:b/>
          <w:bCs/>
          <w:color w:val="000000" w:themeColor="text1"/>
          <w:szCs w:val="24"/>
        </w:rPr>
      </w:pPr>
    </w:p>
    <w:p w14:paraId="52635BF6" w14:textId="77777777" w:rsidR="00AD11FA" w:rsidRPr="00CC2A71" w:rsidRDefault="00AD11FA" w:rsidP="00986B40">
      <w:pPr>
        <w:spacing w:line="480" w:lineRule="auto"/>
        <w:jc w:val="center"/>
        <w:rPr>
          <w:rFonts w:ascii="Calibri" w:hAnsi="Calibri" w:cs="Calibri"/>
          <w:b/>
          <w:bCs/>
          <w:color w:val="000000" w:themeColor="text1"/>
          <w:szCs w:val="24"/>
        </w:rPr>
      </w:pPr>
    </w:p>
    <w:p w14:paraId="4CDE8CA8" w14:textId="77777777" w:rsidR="00AD11FA" w:rsidRPr="00CC2A71" w:rsidRDefault="00AD11FA" w:rsidP="00986B40">
      <w:pPr>
        <w:spacing w:line="480" w:lineRule="auto"/>
        <w:jc w:val="center"/>
        <w:rPr>
          <w:rFonts w:ascii="Calibri" w:hAnsi="Calibri" w:cs="Calibri"/>
          <w:b/>
          <w:bCs/>
          <w:color w:val="000000" w:themeColor="text1"/>
          <w:szCs w:val="24"/>
        </w:rPr>
      </w:pPr>
    </w:p>
    <w:p w14:paraId="2330E25E" w14:textId="77777777" w:rsidR="00AD11FA" w:rsidRPr="00CC2A71" w:rsidRDefault="00AD11FA" w:rsidP="00986B40">
      <w:pPr>
        <w:spacing w:line="480" w:lineRule="auto"/>
        <w:rPr>
          <w:rFonts w:ascii="Calibri" w:hAnsi="Calibri" w:cs="Calibri"/>
          <w:b/>
          <w:bCs/>
          <w:color w:val="000000" w:themeColor="text1"/>
          <w:szCs w:val="24"/>
        </w:rPr>
      </w:pPr>
    </w:p>
    <w:sdt>
      <w:sdtPr>
        <w:rPr>
          <w:rFonts w:ascii="Calibri" w:eastAsiaTheme="minorHAnsi" w:hAnsi="Calibri" w:cs="Calibri"/>
          <w:color w:val="auto"/>
          <w:kern w:val="2"/>
          <w:sz w:val="24"/>
          <w:szCs w:val="21"/>
          <w:lang w:val="en-GB" w:bidi="hi-IN"/>
          <w14:ligatures w14:val="standardContextual"/>
        </w:rPr>
        <w:id w:val="-1538275456"/>
        <w:docPartObj>
          <w:docPartGallery w:val="Table of Contents"/>
          <w:docPartUnique/>
        </w:docPartObj>
      </w:sdtPr>
      <w:sdtEndPr>
        <w:rPr>
          <w:b/>
          <w:bCs/>
          <w:noProof/>
        </w:rPr>
      </w:sdtEndPr>
      <w:sdtContent>
        <w:p w14:paraId="5CDD7259" w14:textId="5695EF24" w:rsidR="00C57A06" w:rsidRPr="00CC2A71" w:rsidRDefault="00C57A06" w:rsidP="00986B40">
          <w:pPr>
            <w:pStyle w:val="TOCHeading"/>
            <w:spacing w:line="480" w:lineRule="auto"/>
            <w:rPr>
              <w:rFonts w:ascii="Calibri" w:hAnsi="Calibri" w:cs="Calibri"/>
            </w:rPr>
          </w:pPr>
          <w:r w:rsidRPr="00CC2A71">
            <w:rPr>
              <w:rFonts w:ascii="Calibri" w:hAnsi="Calibri" w:cs="Calibri"/>
            </w:rPr>
            <w:t>Contents</w:t>
          </w:r>
        </w:p>
        <w:p w14:paraId="25908EA8" w14:textId="3AEE7E52" w:rsidR="00C57A06" w:rsidRPr="00CC2A71" w:rsidRDefault="00C57A06" w:rsidP="00986B40">
          <w:pPr>
            <w:pStyle w:val="TOC1"/>
            <w:tabs>
              <w:tab w:val="right" w:leader="dot" w:pos="9350"/>
            </w:tabs>
            <w:spacing w:line="480" w:lineRule="auto"/>
            <w:rPr>
              <w:rFonts w:ascii="Calibri" w:hAnsi="Calibri" w:cs="Calibri"/>
              <w:noProof/>
            </w:rPr>
          </w:pPr>
          <w:r w:rsidRPr="00CC2A71">
            <w:rPr>
              <w:rFonts w:ascii="Calibri" w:hAnsi="Calibri" w:cs="Calibri"/>
            </w:rPr>
            <w:fldChar w:fldCharType="begin"/>
          </w:r>
          <w:r w:rsidRPr="00CC2A71">
            <w:rPr>
              <w:rFonts w:ascii="Calibri" w:hAnsi="Calibri" w:cs="Calibri"/>
            </w:rPr>
            <w:instrText xml:space="preserve"> TOC \o "1-3" \h \z \u </w:instrText>
          </w:r>
          <w:r w:rsidRPr="00CC2A71">
            <w:rPr>
              <w:rFonts w:ascii="Calibri" w:hAnsi="Calibri" w:cs="Calibri"/>
            </w:rPr>
            <w:fldChar w:fldCharType="separate"/>
          </w:r>
          <w:hyperlink w:anchor="_Toc220957850" w:history="1">
            <w:r w:rsidRPr="00CC2A71">
              <w:rPr>
                <w:rStyle w:val="Hyperlink"/>
                <w:rFonts w:ascii="Calibri" w:hAnsi="Calibri" w:cs="Calibri"/>
                <w:noProof/>
              </w:rPr>
              <w:t>Abstract</w:t>
            </w:r>
            <w:r w:rsidRPr="00CC2A71">
              <w:rPr>
                <w:rFonts w:ascii="Calibri" w:hAnsi="Calibri" w:cs="Calibri"/>
                <w:noProof/>
                <w:webHidden/>
              </w:rPr>
              <w:tab/>
            </w:r>
            <w:r w:rsidRPr="00CC2A71">
              <w:rPr>
                <w:rFonts w:ascii="Calibri" w:hAnsi="Calibri" w:cs="Calibri"/>
                <w:noProof/>
                <w:webHidden/>
              </w:rPr>
              <w:fldChar w:fldCharType="begin"/>
            </w:r>
            <w:r w:rsidRPr="00CC2A71">
              <w:rPr>
                <w:rFonts w:ascii="Calibri" w:hAnsi="Calibri" w:cs="Calibri"/>
                <w:noProof/>
                <w:webHidden/>
              </w:rPr>
              <w:instrText xml:space="preserve"> PAGEREF _Toc220957850 \h </w:instrText>
            </w:r>
            <w:r w:rsidRPr="00CC2A71">
              <w:rPr>
                <w:rFonts w:ascii="Calibri" w:hAnsi="Calibri" w:cs="Calibri"/>
                <w:noProof/>
                <w:webHidden/>
              </w:rPr>
            </w:r>
            <w:r w:rsidRPr="00CC2A71">
              <w:rPr>
                <w:rFonts w:ascii="Calibri" w:hAnsi="Calibri" w:cs="Calibri"/>
                <w:noProof/>
                <w:webHidden/>
              </w:rPr>
              <w:fldChar w:fldCharType="separate"/>
            </w:r>
            <w:r w:rsidRPr="00CC2A71">
              <w:rPr>
                <w:rFonts w:ascii="Calibri" w:hAnsi="Calibri" w:cs="Calibri"/>
                <w:noProof/>
                <w:webHidden/>
              </w:rPr>
              <w:t>3</w:t>
            </w:r>
            <w:r w:rsidRPr="00CC2A71">
              <w:rPr>
                <w:rFonts w:ascii="Calibri" w:hAnsi="Calibri" w:cs="Calibri"/>
                <w:noProof/>
                <w:webHidden/>
              </w:rPr>
              <w:fldChar w:fldCharType="end"/>
            </w:r>
          </w:hyperlink>
        </w:p>
        <w:p w14:paraId="35BD7C5A" w14:textId="0666E932" w:rsidR="00C57A06" w:rsidRPr="00CC2A71" w:rsidRDefault="00C57A06" w:rsidP="00986B40">
          <w:pPr>
            <w:pStyle w:val="TOC1"/>
            <w:tabs>
              <w:tab w:val="right" w:leader="dot" w:pos="9350"/>
            </w:tabs>
            <w:spacing w:line="480" w:lineRule="auto"/>
            <w:rPr>
              <w:rFonts w:ascii="Calibri" w:hAnsi="Calibri" w:cs="Calibri"/>
              <w:noProof/>
            </w:rPr>
          </w:pPr>
          <w:hyperlink w:anchor="_Toc220957851" w:history="1">
            <w:r w:rsidRPr="00CC2A71">
              <w:rPr>
                <w:rStyle w:val="Hyperlink"/>
                <w:rFonts w:ascii="Calibri" w:hAnsi="Calibri" w:cs="Calibri"/>
                <w:noProof/>
              </w:rPr>
              <w:t>Introduction</w:t>
            </w:r>
            <w:r w:rsidRPr="00CC2A71">
              <w:rPr>
                <w:rFonts w:ascii="Calibri" w:hAnsi="Calibri" w:cs="Calibri"/>
                <w:noProof/>
                <w:webHidden/>
              </w:rPr>
              <w:tab/>
            </w:r>
            <w:r w:rsidRPr="00CC2A71">
              <w:rPr>
                <w:rFonts w:ascii="Calibri" w:hAnsi="Calibri" w:cs="Calibri"/>
                <w:noProof/>
                <w:webHidden/>
              </w:rPr>
              <w:fldChar w:fldCharType="begin"/>
            </w:r>
            <w:r w:rsidRPr="00CC2A71">
              <w:rPr>
                <w:rFonts w:ascii="Calibri" w:hAnsi="Calibri" w:cs="Calibri"/>
                <w:noProof/>
                <w:webHidden/>
              </w:rPr>
              <w:instrText xml:space="preserve"> PAGEREF _Toc220957851 \h </w:instrText>
            </w:r>
            <w:r w:rsidRPr="00CC2A71">
              <w:rPr>
                <w:rFonts w:ascii="Calibri" w:hAnsi="Calibri" w:cs="Calibri"/>
                <w:noProof/>
                <w:webHidden/>
              </w:rPr>
            </w:r>
            <w:r w:rsidRPr="00CC2A71">
              <w:rPr>
                <w:rFonts w:ascii="Calibri" w:hAnsi="Calibri" w:cs="Calibri"/>
                <w:noProof/>
                <w:webHidden/>
              </w:rPr>
              <w:fldChar w:fldCharType="separate"/>
            </w:r>
            <w:r w:rsidRPr="00CC2A71">
              <w:rPr>
                <w:rFonts w:ascii="Calibri" w:hAnsi="Calibri" w:cs="Calibri"/>
                <w:noProof/>
                <w:webHidden/>
              </w:rPr>
              <w:t>3</w:t>
            </w:r>
            <w:r w:rsidRPr="00CC2A71">
              <w:rPr>
                <w:rFonts w:ascii="Calibri" w:hAnsi="Calibri" w:cs="Calibri"/>
                <w:noProof/>
                <w:webHidden/>
              </w:rPr>
              <w:fldChar w:fldCharType="end"/>
            </w:r>
          </w:hyperlink>
        </w:p>
        <w:p w14:paraId="415860D0" w14:textId="49BE15CD" w:rsidR="00C57A06" w:rsidRPr="00CC2A71" w:rsidRDefault="00C57A06" w:rsidP="00986B40">
          <w:pPr>
            <w:pStyle w:val="TOC1"/>
            <w:tabs>
              <w:tab w:val="right" w:leader="dot" w:pos="9350"/>
            </w:tabs>
            <w:spacing w:line="480" w:lineRule="auto"/>
            <w:rPr>
              <w:rFonts w:ascii="Calibri" w:hAnsi="Calibri" w:cs="Calibri"/>
              <w:noProof/>
            </w:rPr>
          </w:pPr>
          <w:hyperlink w:anchor="_Toc220957852" w:history="1">
            <w:r w:rsidRPr="00CC2A71">
              <w:rPr>
                <w:rStyle w:val="Hyperlink"/>
                <w:rFonts w:ascii="Calibri" w:hAnsi="Calibri" w:cs="Calibri"/>
                <w:noProof/>
              </w:rPr>
              <w:t>Literature Review</w:t>
            </w:r>
            <w:r w:rsidRPr="00CC2A71">
              <w:rPr>
                <w:rFonts w:ascii="Calibri" w:hAnsi="Calibri" w:cs="Calibri"/>
                <w:noProof/>
                <w:webHidden/>
              </w:rPr>
              <w:tab/>
            </w:r>
            <w:r w:rsidRPr="00CC2A71">
              <w:rPr>
                <w:rFonts w:ascii="Calibri" w:hAnsi="Calibri" w:cs="Calibri"/>
                <w:noProof/>
                <w:webHidden/>
              </w:rPr>
              <w:fldChar w:fldCharType="begin"/>
            </w:r>
            <w:r w:rsidRPr="00CC2A71">
              <w:rPr>
                <w:rFonts w:ascii="Calibri" w:hAnsi="Calibri" w:cs="Calibri"/>
                <w:noProof/>
                <w:webHidden/>
              </w:rPr>
              <w:instrText xml:space="preserve"> PAGEREF _Toc220957852 \h </w:instrText>
            </w:r>
            <w:r w:rsidRPr="00CC2A71">
              <w:rPr>
                <w:rFonts w:ascii="Calibri" w:hAnsi="Calibri" w:cs="Calibri"/>
                <w:noProof/>
                <w:webHidden/>
              </w:rPr>
            </w:r>
            <w:r w:rsidRPr="00CC2A71">
              <w:rPr>
                <w:rFonts w:ascii="Calibri" w:hAnsi="Calibri" w:cs="Calibri"/>
                <w:noProof/>
                <w:webHidden/>
              </w:rPr>
              <w:fldChar w:fldCharType="separate"/>
            </w:r>
            <w:r w:rsidRPr="00CC2A71">
              <w:rPr>
                <w:rFonts w:ascii="Calibri" w:hAnsi="Calibri" w:cs="Calibri"/>
                <w:noProof/>
                <w:webHidden/>
              </w:rPr>
              <w:t>5</w:t>
            </w:r>
            <w:r w:rsidRPr="00CC2A71">
              <w:rPr>
                <w:rFonts w:ascii="Calibri" w:hAnsi="Calibri" w:cs="Calibri"/>
                <w:noProof/>
                <w:webHidden/>
              </w:rPr>
              <w:fldChar w:fldCharType="end"/>
            </w:r>
          </w:hyperlink>
        </w:p>
        <w:p w14:paraId="7686D66A" w14:textId="574A21E4" w:rsidR="00C57A06" w:rsidRPr="00CC2A71" w:rsidRDefault="00C57A06" w:rsidP="00986B40">
          <w:pPr>
            <w:pStyle w:val="TOC1"/>
            <w:tabs>
              <w:tab w:val="right" w:leader="dot" w:pos="9350"/>
            </w:tabs>
            <w:spacing w:line="480" w:lineRule="auto"/>
            <w:rPr>
              <w:rFonts w:ascii="Calibri" w:hAnsi="Calibri" w:cs="Calibri"/>
              <w:noProof/>
            </w:rPr>
          </w:pPr>
          <w:hyperlink w:anchor="_Toc220957853" w:history="1">
            <w:r w:rsidRPr="00CC2A71">
              <w:rPr>
                <w:rStyle w:val="Hyperlink"/>
                <w:rFonts w:ascii="Calibri" w:hAnsi="Calibri" w:cs="Calibri"/>
                <w:b/>
                <w:bCs/>
                <w:noProof/>
              </w:rPr>
              <w:t>Methodology</w:t>
            </w:r>
            <w:r w:rsidRPr="00CC2A71">
              <w:rPr>
                <w:rFonts w:ascii="Calibri" w:hAnsi="Calibri" w:cs="Calibri"/>
                <w:noProof/>
                <w:webHidden/>
              </w:rPr>
              <w:tab/>
            </w:r>
            <w:r w:rsidRPr="00CC2A71">
              <w:rPr>
                <w:rFonts w:ascii="Calibri" w:hAnsi="Calibri" w:cs="Calibri"/>
                <w:noProof/>
                <w:webHidden/>
              </w:rPr>
              <w:fldChar w:fldCharType="begin"/>
            </w:r>
            <w:r w:rsidRPr="00CC2A71">
              <w:rPr>
                <w:rFonts w:ascii="Calibri" w:hAnsi="Calibri" w:cs="Calibri"/>
                <w:noProof/>
                <w:webHidden/>
              </w:rPr>
              <w:instrText xml:space="preserve"> PAGEREF _Toc220957853 \h </w:instrText>
            </w:r>
            <w:r w:rsidRPr="00CC2A71">
              <w:rPr>
                <w:rFonts w:ascii="Calibri" w:hAnsi="Calibri" w:cs="Calibri"/>
                <w:noProof/>
                <w:webHidden/>
              </w:rPr>
            </w:r>
            <w:r w:rsidRPr="00CC2A71">
              <w:rPr>
                <w:rFonts w:ascii="Calibri" w:hAnsi="Calibri" w:cs="Calibri"/>
                <w:noProof/>
                <w:webHidden/>
              </w:rPr>
              <w:fldChar w:fldCharType="separate"/>
            </w:r>
            <w:r w:rsidRPr="00CC2A71">
              <w:rPr>
                <w:rFonts w:ascii="Calibri" w:hAnsi="Calibri" w:cs="Calibri"/>
                <w:noProof/>
                <w:webHidden/>
              </w:rPr>
              <w:t>9</w:t>
            </w:r>
            <w:r w:rsidRPr="00CC2A71">
              <w:rPr>
                <w:rFonts w:ascii="Calibri" w:hAnsi="Calibri" w:cs="Calibri"/>
                <w:noProof/>
                <w:webHidden/>
              </w:rPr>
              <w:fldChar w:fldCharType="end"/>
            </w:r>
          </w:hyperlink>
        </w:p>
        <w:p w14:paraId="2DDC8BF5" w14:textId="58E2491A" w:rsidR="00C57A06" w:rsidRPr="00CC2A71" w:rsidRDefault="00C57A06" w:rsidP="00986B40">
          <w:pPr>
            <w:pStyle w:val="TOC1"/>
            <w:tabs>
              <w:tab w:val="right" w:leader="dot" w:pos="9350"/>
            </w:tabs>
            <w:spacing w:line="480" w:lineRule="auto"/>
            <w:rPr>
              <w:rFonts w:ascii="Calibri" w:hAnsi="Calibri" w:cs="Calibri"/>
              <w:noProof/>
            </w:rPr>
          </w:pPr>
          <w:hyperlink w:anchor="_Toc220957854" w:history="1">
            <w:r w:rsidRPr="00CC2A71">
              <w:rPr>
                <w:rStyle w:val="Hyperlink"/>
                <w:rFonts w:ascii="Calibri" w:hAnsi="Calibri" w:cs="Calibri"/>
                <w:b/>
                <w:bCs/>
                <w:noProof/>
              </w:rPr>
              <w:t>Findings</w:t>
            </w:r>
            <w:r w:rsidRPr="00CC2A71">
              <w:rPr>
                <w:rFonts w:ascii="Calibri" w:hAnsi="Calibri" w:cs="Calibri"/>
                <w:noProof/>
                <w:webHidden/>
              </w:rPr>
              <w:tab/>
            </w:r>
            <w:r w:rsidRPr="00CC2A71">
              <w:rPr>
                <w:rFonts w:ascii="Calibri" w:hAnsi="Calibri" w:cs="Calibri"/>
                <w:noProof/>
                <w:webHidden/>
              </w:rPr>
              <w:fldChar w:fldCharType="begin"/>
            </w:r>
            <w:r w:rsidRPr="00CC2A71">
              <w:rPr>
                <w:rFonts w:ascii="Calibri" w:hAnsi="Calibri" w:cs="Calibri"/>
                <w:noProof/>
                <w:webHidden/>
              </w:rPr>
              <w:instrText xml:space="preserve"> PAGEREF _Toc220957854 \h </w:instrText>
            </w:r>
            <w:r w:rsidRPr="00CC2A71">
              <w:rPr>
                <w:rFonts w:ascii="Calibri" w:hAnsi="Calibri" w:cs="Calibri"/>
                <w:noProof/>
                <w:webHidden/>
              </w:rPr>
            </w:r>
            <w:r w:rsidRPr="00CC2A71">
              <w:rPr>
                <w:rFonts w:ascii="Calibri" w:hAnsi="Calibri" w:cs="Calibri"/>
                <w:noProof/>
                <w:webHidden/>
              </w:rPr>
              <w:fldChar w:fldCharType="separate"/>
            </w:r>
            <w:r w:rsidRPr="00CC2A71">
              <w:rPr>
                <w:rFonts w:ascii="Calibri" w:hAnsi="Calibri" w:cs="Calibri"/>
                <w:noProof/>
                <w:webHidden/>
              </w:rPr>
              <w:t>10</w:t>
            </w:r>
            <w:r w:rsidRPr="00CC2A71">
              <w:rPr>
                <w:rFonts w:ascii="Calibri" w:hAnsi="Calibri" w:cs="Calibri"/>
                <w:noProof/>
                <w:webHidden/>
              </w:rPr>
              <w:fldChar w:fldCharType="end"/>
            </w:r>
          </w:hyperlink>
        </w:p>
        <w:p w14:paraId="00F1FBC4" w14:textId="3E98A4DD" w:rsidR="00C57A06" w:rsidRPr="00CC2A71" w:rsidRDefault="00C57A06" w:rsidP="00986B40">
          <w:pPr>
            <w:pStyle w:val="TOC1"/>
            <w:tabs>
              <w:tab w:val="right" w:leader="dot" w:pos="9350"/>
            </w:tabs>
            <w:spacing w:line="480" w:lineRule="auto"/>
            <w:rPr>
              <w:rFonts w:ascii="Calibri" w:hAnsi="Calibri" w:cs="Calibri"/>
              <w:noProof/>
            </w:rPr>
          </w:pPr>
          <w:hyperlink w:anchor="_Toc220957855" w:history="1">
            <w:r w:rsidRPr="00CC2A71">
              <w:rPr>
                <w:rStyle w:val="Hyperlink"/>
                <w:rFonts w:ascii="Calibri" w:hAnsi="Calibri" w:cs="Calibri"/>
                <w:noProof/>
              </w:rPr>
              <w:t>Discussion</w:t>
            </w:r>
            <w:r w:rsidRPr="00CC2A71">
              <w:rPr>
                <w:rFonts w:ascii="Calibri" w:hAnsi="Calibri" w:cs="Calibri"/>
                <w:noProof/>
                <w:webHidden/>
              </w:rPr>
              <w:tab/>
            </w:r>
            <w:r w:rsidRPr="00CC2A71">
              <w:rPr>
                <w:rFonts w:ascii="Calibri" w:hAnsi="Calibri" w:cs="Calibri"/>
                <w:noProof/>
                <w:webHidden/>
              </w:rPr>
              <w:fldChar w:fldCharType="begin"/>
            </w:r>
            <w:r w:rsidRPr="00CC2A71">
              <w:rPr>
                <w:rFonts w:ascii="Calibri" w:hAnsi="Calibri" w:cs="Calibri"/>
                <w:noProof/>
                <w:webHidden/>
              </w:rPr>
              <w:instrText xml:space="preserve"> PAGEREF _Toc220957855 \h </w:instrText>
            </w:r>
            <w:r w:rsidRPr="00CC2A71">
              <w:rPr>
                <w:rFonts w:ascii="Calibri" w:hAnsi="Calibri" w:cs="Calibri"/>
                <w:noProof/>
                <w:webHidden/>
              </w:rPr>
            </w:r>
            <w:r w:rsidRPr="00CC2A71">
              <w:rPr>
                <w:rFonts w:ascii="Calibri" w:hAnsi="Calibri" w:cs="Calibri"/>
                <w:noProof/>
                <w:webHidden/>
              </w:rPr>
              <w:fldChar w:fldCharType="separate"/>
            </w:r>
            <w:r w:rsidRPr="00CC2A71">
              <w:rPr>
                <w:rFonts w:ascii="Calibri" w:hAnsi="Calibri" w:cs="Calibri"/>
                <w:noProof/>
                <w:webHidden/>
              </w:rPr>
              <w:t>12</w:t>
            </w:r>
            <w:r w:rsidRPr="00CC2A71">
              <w:rPr>
                <w:rFonts w:ascii="Calibri" w:hAnsi="Calibri" w:cs="Calibri"/>
                <w:noProof/>
                <w:webHidden/>
              </w:rPr>
              <w:fldChar w:fldCharType="end"/>
            </w:r>
          </w:hyperlink>
        </w:p>
        <w:p w14:paraId="5E5445CC" w14:textId="7E2B9431" w:rsidR="00C57A06" w:rsidRPr="00CC2A71" w:rsidRDefault="00C57A06" w:rsidP="00986B40">
          <w:pPr>
            <w:pStyle w:val="TOC1"/>
            <w:tabs>
              <w:tab w:val="right" w:leader="dot" w:pos="9350"/>
            </w:tabs>
            <w:spacing w:line="480" w:lineRule="auto"/>
            <w:rPr>
              <w:rFonts w:ascii="Calibri" w:hAnsi="Calibri" w:cs="Calibri"/>
              <w:noProof/>
            </w:rPr>
          </w:pPr>
          <w:hyperlink w:anchor="_Toc220957856" w:history="1">
            <w:r w:rsidRPr="00CC2A71">
              <w:rPr>
                <w:rStyle w:val="Hyperlink"/>
                <w:rFonts w:ascii="Calibri" w:hAnsi="Calibri" w:cs="Calibri"/>
                <w:noProof/>
              </w:rPr>
              <w:t>Conclusion</w:t>
            </w:r>
            <w:r w:rsidRPr="00CC2A71">
              <w:rPr>
                <w:rFonts w:ascii="Calibri" w:hAnsi="Calibri" w:cs="Calibri"/>
                <w:noProof/>
                <w:webHidden/>
              </w:rPr>
              <w:tab/>
            </w:r>
            <w:r w:rsidRPr="00CC2A71">
              <w:rPr>
                <w:rFonts w:ascii="Calibri" w:hAnsi="Calibri" w:cs="Calibri"/>
                <w:noProof/>
                <w:webHidden/>
              </w:rPr>
              <w:fldChar w:fldCharType="begin"/>
            </w:r>
            <w:r w:rsidRPr="00CC2A71">
              <w:rPr>
                <w:rFonts w:ascii="Calibri" w:hAnsi="Calibri" w:cs="Calibri"/>
                <w:noProof/>
                <w:webHidden/>
              </w:rPr>
              <w:instrText xml:space="preserve"> PAGEREF _Toc220957856 \h </w:instrText>
            </w:r>
            <w:r w:rsidRPr="00CC2A71">
              <w:rPr>
                <w:rFonts w:ascii="Calibri" w:hAnsi="Calibri" w:cs="Calibri"/>
                <w:noProof/>
                <w:webHidden/>
              </w:rPr>
            </w:r>
            <w:r w:rsidRPr="00CC2A71">
              <w:rPr>
                <w:rFonts w:ascii="Calibri" w:hAnsi="Calibri" w:cs="Calibri"/>
                <w:noProof/>
                <w:webHidden/>
              </w:rPr>
              <w:fldChar w:fldCharType="separate"/>
            </w:r>
            <w:r w:rsidRPr="00CC2A71">
              <w:rPr>
                <w:rFonts w:ascii="Calibri" w:hAnsi="Calibri" w:cs="Calibri"/>
                <w:noProof/>
                <w:webHidden/>
              </w:rPr>
              <w:t>15</w:t>
            </w:r>
            <w:r w:rsidRPr="00CC2A71">
              <w:rPr>
                <w:rFonts w:ascii="Calibri" w:hAnsi="Calibri" w:cs="Calibri"/>
                <w:noProof/>
                <w:webHidden/>
              </w:rPr>
              <w:fldChar w:fldCharType="end"/>
            </w:r>
          </w:hyperlink>
        </w:p>
        <w:p w14:paraId="62069AC5" w14:textId="20E4D9AA" w:rsidR="00C57A06" w:rsidRPr="00CC2A71" w:rsidRDefault="00C57A06" w:rsidP="00986B40">
          <w:pPr>
            <w:pStyle w:val="TOC1"/>
            <w:tabs>
              <w:tab w:val="right" w:leader="dot" w:pos="9350"/>
            </w:tabs>
            <w:spacing w:line="480" w:lineRule="auto"/>
            <w:rPr>
              <w:rFonts w:ascii="Calibri" w:hAnsi="Calibri" w:cs="Calibri"/>
              <w:noProof/>
            </w:rPr>
          </w:pPr>
          <w:hyperlink w:anchor="_Toc220957857" w:history="1">
            <w:r w:rsidRPr="00CC2A71">
              <w:rPr>
                <w:rStyle w:val="Hyperlink"/>
                <w:rFonts w:ascii="Calibri" w:hAnsi="Calibri" w:cs="Calibri"/>
                <w:noProof/>
              </w:rPr>
              <w:t>References</w:t>
            </w:r>
            <w:r w:rsidRPr="00CC2A71">
              <w:rPr>
                <w:rFonts w:ascii="Calibri" w:hAnsi="Calibri" w:cs="Calibri"/>
                <w:noProof/>
                <w:webHidden/>
              </w:rPr>
              <w:tab/>
            </w:r>
            <w:r w:rsidRPr="00CC2A71">
              <w:rPr>
                <w:rFonts w:ascii="Calibri" w:hAnsi="Calibri" w:cs="Calibri"/>
                <w:noProof/>
                <w:webHidden/>
              </w:rPr>
              <w:fldChar w:fldCharType="begin"/>
            </w:r>
            <w:r w:rsidRPr="00CC2A71">
              <w:rPr>
                <w:rFonts w:ascii="Calibri" w:hAnsi="Calibri" w:cs="Calibri"/>
                <w:noProof/>
                <w:webHidden/>
              </w:rPr>
              <w:instrText xml:space="preserve"> PAGEREF _Toc220957857 \h </w:instrText>
            </w:r>
            <w:r w:rsidRPr="00CC2A71">
              <w:rPr>
                <w:rFonts w:ascii="Calibri" w:hAnsi="Calibri" w:cs="Calibri"/>
                <w:noProof/>
                <w:webHidden/>
              </w:rPr>
            </w:r>
            <w:r w:rsidRPr="00CC2A71">
              <w:rPr>
                <w:rFonts w:ascii="Calibri" w:hAnsi="Calibri" w:cs="Calibri"/>
                <w:noProof/>
                <w:webHidden/>
              </w:rPr>
              <w:fldChar w:fldCharType="separate"/>
            </w:r>
            <w:r w:rsidRPr="00CC2A71">
              <w:rPr>
                <w:rFonts w:ascii="Calibri" w:hAnsi="Calibri" w:cs="Calibri"/>
                <w:noProof/>
                <w:webHidden/>
              </w:rPr>
              <w:t>16</w:t>
            </w:r>
            <w:r w:rsidRPr="00CC2A71">
              <w:rPr>
                <w:rFonts w:ascii="Calibri" w:hAnsi="Calibri" w:cs="Calibri"/>
                <w:noProof/>
                <w:webHidden/>
              </w:rPr>
              <w:fldChar w:fldCharType="end"/>
            </w:r>
          </w:hyperlink>
        </w:p>
        <w:p w14:paraId="3678AE8D" w14:textId="067F2408" w:rsidR="00C57A06" w:rsidRPr="00CC2A71" w:rsidRDefault="00C57A06" w:rsidP="00986B40">
          <w:pPr>
            <w:spacing w:line="480" w:lineRule="auto"/>
            <w:rPr>
              <w:rFonts w:ascii="Calibri" w:hAnsi="Calibri" w:cs="Calibri"/>
            </w:rPr>
          </w:pPr>
          <w:r w:rsidRPr="00CC2A71">
            <w:rPr>
              <w:rFonts w:ascii="Calibri" w:hAnsi="Calibri" w:cs="Calibri"/>
              <w:b/>
              <w:bCs/>
              <w:noProof/>
            </w:rPr>
            <w:fldChar w:fldCharType="end"/>
          </w:r>
        </w:p>
      </w:sdtContent>
    </w:sdt>
    <w:p w14:paraId="45475368" w14:textId="77777777" w:rsidR="00AD11FA" w:rsidRDefault="00AD11FA" w:rsidP="00986B40">
      <w:pPr>
        <w:spacing w:line="480" w:lineRule="auto"/>
        <w:rPr>
          <w:rFonts w:ascii="Calibri" w:hAnsi="Calibri" w:cs="Calibri"/>
          <w:b/>
          <w:bCs/>
          <w:color w:val="000000" w:themeColor="text1"/>
          <w:szCs w:val="24"/>
        </w:rPr>
      </w:pPr>
    </w:p>
    <w:p w14:paraId="1DC0C5ED" w14:textId="77777777" w:rsidR="00381FF3" w:rsidRDefault="00381FF3" w:rsidP="00986B40">
      <w:pPr>
        <w:spacing w:line="480" w:lineRule="auto"/>
        <w:rPr>
          <w:rFonts w:ascii="Calibri" w:hAnsi="Calibri" w:cs="Calibri"/>
          <w:b/>
          <w:bCs/>
          <w:color w:val="000000" w:themeColor="text1"/>
          <w:szCs w:val="24"/>
        </w:rPr>
      </w:pPr>
    </w:p>
    <w:p w14:paraId="4CB93FC8" w14:textId="77777777" w:rsidR="00381FF3" w:rsidRPr="00CC2A71" w:rsidRDefault="00381FF3" w:rsidP="00986B40">
      <w:pPr>
        <w:spacing w:line="480" w:lineRule="auto"/>
        <w:rPr>
          <w:rFonts w:ascii="Calibri" w:hAnsi="Calibri" w:cs="Calibri"/>
          <w:b/>
          <w:bCs/>
          <w:color w:val="000000" w:themeColor="text1"/>
          <w:szCs w:val="24"/>
        </w:rPr>
      </w:pPr>
    </w:p>
    <w:p w14:paraId="2867F5DB" w14:textId="77777777" w:rsidR="00AD11FA" w:rsidRPr="00CC2A71" w:rsidRDefault="00AD11FA" w:rsidP="00986B40">
      <w:pPr>
        <w:spacing w:line="480" w:lineRule="auto"/>
        <w:jc w:val="center"/>
        <w:rPr>
          <w:rFonts w:ascii="Calibri" w:hAnsi="Calibri" w:cs="Calibri"/>
          <w:b/>
          <w:bCs/>
          <w:color w:val="000000" w:themeColor="text1"/>
          <w:szCs w:val="24"/>
        </w:rPr>
      </w:pPr>
    </w:p>
    <w:p w14:paraId="4EC90209" w14:textId="77777777" w:rsidR="00AD11FA" w:rsidRPr="00CC2A71" w:rsidRDefault="00AD11FA" w:rsidP="00986B40">
      <w:pPr>
        <w:spacing w:line="480" w:lineRule="auto"/>
        <w:rPr>
          <w:rFonts w:ascii="Calibri" w:hAnsi="Calibri" w:cs="Calibri"/>
          <w:b/>
          <w:bCs/>
          <w:color w:val="000000" w:themeColor="text1"/>
          <w:szCs w:val="24"/>
        </w:rPr>
      </w:pPr>
    </w:p>
    <w:p w14:paraId="4D5E6499" w14:textId="6CCE8695" w:rsidR="00AD11FA" w:rsidRPr="00CC2A71" w:rsidRDefault="00AD11FA" w:rsidP="00986B40">
      <w:pPr>
        <w:pStyle w:val="Heading1"/>
        <w:spacing w:line="480" w:lineRule="auto"/>
        <w:rPr>
          <w:rFonts w:ascii="Calibri" w:hAnsi="Calibri" w:cs="Calibri"/>
          <w:b/>
          <w:bCs/>
          <w:color w:val="000000" w:themeColor="text1"/>
          <w:sz w:val="24"/>
          <w:szCs w:val="24"/>
        </w:rPr>
      </w:pPr>
      <w:bookmarkStart w:id="0" w:name="_Toc220957850"/>
      <w:r w:rsidRPr="00CC2A71">
        <w:rPr>
          <w:rFonts w:ascii="Calibri" w:hAnsi="Calibri" w:cs="Calibri"/>
          <w:b/>
          <w:bCs/>
          <w:color w:val="000000" w:themeColor="text1"/>
          <w:sz w:val="24"/>
          <w:szCs w:val="24"/>
        </w:rPr>
        <w:lastRenderedPageBreak/>
        <w:t>Abstract</w:t>
      </w:r>
      <w:bookmarkEnd w:id="0"/>
      <w:r w:rsidRPr="00CC2A71">
        <w:rPr>
          <w:rFonts w:ascii="Calibri" w:hAnsi="Calibri" w:cs="Calibri"/>
          <w:b/>
          <w:bCs/>
          <w:color w:val="000000" w:themeColor="text1"/>
          <w:sz w:val="24"/>
          <w:szCs w:val="24"/>
        </w:rPr>
        <w:t xml:space="preserve"> </w:t>
      </w:r>
    </w:p>
    <w:p w14:paraId="5379BA2E" w14:textId="165FC235" w:rsidR="00AD11FA" w:rsidRDefault="0054154B" w:rsidP="00986B40">
      <w:pPr>
        <w:spacing w:line="480" w:lineRule="auto"/>
        <w:rPr>
          <w:rFonts w:ascii="Calibri" w:hAnsi="Calibri" w:cs="Calibri"/>
          <w:color w:val="000000" w:themeColor="text1"/>
          <w:szCs w:val="24"/>
        </w:rPr>
      </w:pPr>
      <w:r w:rsidRPr="0054154B">
        <w:rPr>
          <w:rFonts w:ascii="Calibri" w:hAnsi="Calibri" w:cs="Calibri"/>
          <w:color w:val="000000" w:themeColor="text1"/>
          <w:szCs w:val="24"/>
        </w:rPr>
        <w:t xml:space="preserve">Employee engagement has emerged as a critical determinant of organizational performance in the hospitality industry, where service quality, customer satisfaction, and brand reputation are directly shaped by employee attitudes and </w:t>
      </w:r>
      <w:proofErr w:type="spellStart"/>
      <w:r w:rsidRPr="0054154B">
        <w:rPr>
          <w:rFonts w:ascii="Calibri" w:hAnsi="Calibri" w:cs="Calibri"/>
          <w:color w:val="000000" w:themeColor="text1"/>
          <w:szCs w:val="24"/>
        </w:rPr>
        <w:t>behaviors</w:t>
      </w:r>
      <w:proofErr w:type="spellEnd"/>
      <w:r w:rsidRPr="0054154B">
        <w:rPr>
          <w:rFonts w:ascii="Calibri" w:hAnsi="Calibri" w:cs="Calibri"/>
          <w:color w:val="000000" w:themeColor="text1"/>
          <w:szCs w:val="24"/>
        </w:rPr>
        <w:t xml:space="preserve">. High levels of </w:t>
      </w:r>
      <w:proofErr w:type="spellStart"/>
      <w:r w:rsidRPr="0054154B">
        <w:rPr>
          <w:rFonts w:ascii="Calibri" w:hAnsi="Calibri" w:cs="Calibri"/>
          <w:color w:val="000000" w:themeColor="text1"/>
          <w:szCs w:val="24"/>
        </w:rPr>
        <w:t>labor</w:t>
      </w:r>
      <w:proofErr w:type="spellEnd"/>
      <w:r w:rsidRPr="0054154B">
        <w:rPr>
          <w:rFonts w:ascii="Calibri" w:hAnsi="Calibri" w:cs="Calibri"/>
          <w:color w:val="000000" w:themeColor="text1"/>
          <w:szCs w:val="24"/>
        </w:rPr>
        <w:t xml:space="preserve"> intensity, emotional </w:t>
      </w:r>
      <w:proofErr w:type="spellStart"/>
      <w:r w:rsidRPr="0054154B">
        <w:rPr>
          <w:rFonts w:ascii="Calibri" w:hAnsi="Calibri" w:cs="Calibri"/>
          <w:color w:val="000000" w:themeColor="text1"/>
          <w:szCs w:val="24"/>
        </w:rPr>
        <w:t>labor</w:t>
      </w:r>
      <w:proofErr w:type="spellEnd"/>
      <w:r w:rsidRPr="0054154B">
        <w:rPr>
          <w:rFonts w:ascii="Calibri" w:hAnsi="Calibri" w:cs="Calibri"/>
          <w:color w:val="000000" w:themeColor="text1"/>
          <w:szCs w:val="24"/>
        </w:rPr>
        <w:t>, employee turnover, and fluctuating demand make effective Human Resource Management (HRM) practices essential for sustaining workforce motivation and engagement. This assignment examines the strategic role of HRM in fostering employee engagement within hospitality organizations, with a particular focus on hotels, resorts, and global hospitality chains. It explores how HRM practices such as training and development, performance management, career planning, and employee well-being initiatives influence employee satisfaction, retention, and service delivery outcomes. Furthermore, the study critically evaluates the impact of leadership styles and supportive work environments on employee engagement and organizational commitment. The alignment of HRM strategies with the operational goals of the hospitality industry—such as service excellence, guest satisfaction, and operational efficiency—is also assessed. Drawing on empirical research and industry case studies from leading hospitality organizations, the assignment highlights best practices that have successfully enhanced employee engagement and organizational performance. By synthesizing theoretical perspectives and practical evidence, this paper demonstrates that employee engagement is not merely an HR outcome but a strategic asset that enables hospitality organizations to achieve competitive advantage, service consistency, and long-term sustainability in a highly competitive global market (Albrecht et al., 2015; Karatepe, 2013).</w:t>
      </w:r>
    </w:p>
    <w:p w14:paraId="3A03D4D9" w14:textId="77777777" w:rsidR="00986B40" w:rsidRPr="00CC2A71" w:rsidRDefault="00986B40" w:rsidP="00986B40">
      <w:pPr>
        <w:spacing w:line="480" w:lineRule="auto"/>
        <w:rPr>
          <w:rFonts w:ascii="Calibri" w:hAnsi="Calibri" w:cs="Calibri"/>
          <w:b/>
          <w:bCs/>
          <w:color w:val="000000" w:themeColor="text1"/>
          <w:szCs w:val="24"/>
        </w:rPr>
      </w:pPr>
    </w:p>
    <w:p w14:paraId="7FE84E4C" w14:textId="4A0E03C1" w:rsidR="00AD11FA" w:rsidRPr="00CC2A71" w:rsidRDefault="00AD11FA" w:rsidP="00986B40">
      <w:pPr>
        <w:pStyle w:val="Heading1"/>
        <w:spacing w:line="480" w:lineRule="auto"/>
        <w:rPr>
          <w:rFonts w:ascii="Calibri" w:hAnsi="Calibri" w:cs="Calibri"/>
          <w:b/>
          <w:bCs/>
          <w:color w:val="000000" w:themeColor="text1"/>
          <w:sz w:val="24"/>
          <w:szCs w:val="24"/>
        </w:rPr>
      </w:pPr>
      <w:bookmarkStart w:id="1" w:name="_Toc220957851"/>
      <w:r w:rsidRPr="00CC2A71">
        <w:rPr>
          <w:rFonts w:ascii="Calibri" w:hAnsi="Calibri" w:cs="Calibri"/>
          <w:b/>
          <w:bCs/>
          <w:color w:val="000000" w:themeColor="text1"/>
          <w:sz w:val="24"/>
          <w:szCs w:val="24"/>
        </w:rPr>
        <w:lastRenderedPageBreak/>
        <w:t>Introduction</w:t>
      </w:r>
      <w:bookmarkEnd w:id="1"/>
      <w:r w:rsidRPr="00CC2A71">
        <w:rPr>
          <w:rFonts w:ascii="Calibri" w:hAnsi="Calibri" w:cs="Calibri"/>
          <w:b/>
          <w:bCs/>
          <w:color w:val="000000" w:themeColor="text1"/>
          <w:sz w:val="24"/>
          <w:szCs w:val="24"/>
        </w:rPr>
        <w:t xml:space="preserve"> </w:t>
      </w:r>
    </w:p>
    <w:p w14:paraId="4282936F" w14:textId="77777777" w:rsidR="00986B40" w:rsidRPr="00986B40" w:rsidRDefault="00986B40" w:rsidP="00986B40">
      <w:pPr>
        <w:spacing w:line="480" w:lineRule="auto"/>
        <w:rPr>
          <w:rFonts w:ascii="Calibri" w:hAnsi="Calibri" w:cs="Calibri"/>
          <w:color w:val="000000" w:themeColor="text1"/>
          <w:szCs w:val="24"/>
        </w:rPr>
      </w:pPr>
      <w:r w:rsidRPr="00986B40">
        <w:rPr>
          <w:rFonts w:ascii="Calibri" w:hAnsi="Calibri" w:cs="Calibri"/>
          <w:color w:val="000000" w:themeColor="text1"/>
          <w:szCs w:val="24"/>
        </w:rPr>
        <w:t xml:space="preserve">The hospitality industry is fundamentally service-driven, relying heavily on human interactions to create memorable guest experiences and sustain competitive advantage. Unlike capital-intensive industries, hospitality organizations depend on employee attitudes, emotional intelligence, and service </w:t>
      </w:r>
      <w:proofErr w:type="spellStart"/>
      <w:r w:rsidRPr="00986B40">
        <w:rPr>
          <w:rFonts w:ascii="Calibri" w:hAnsi="Calibri" w:cs="Calibri"/>
          <w:color w:val="000000" w:themeColor="text1"/>
          <w:szCs w:val="24"/>
        </w:rPr>
        <w:t>behaviors</w:t>
      </w:r>
      <w:proofErr w:type="spellEnd"/>
      <w:r w:rsidRPr="00986B40">
        <w:rPr>
          <w:rFonts w:ascii="Calibri" w:hAnsi="Calibri" w:cs="Calibri"/>
          <w:color w:val="000000" w:themeColor="text1"/>
          <w:szCs w:val="24"/>
        </w:rPr>
        <w:t xml:space="preserve"> to deliver consistent service quality. Consequently, Human Resource Management (HRM) plays a pivotal role in shaping employee engagement, motivation, and performance. Employee engagement, commonly defined as a positive, fulfilling, work-related state of mind characterized by </w:t>
      </w:r>
      <w:proofErr w:type="spellStart"/>
      <w:r w:rsidRPr="00986B40">
        <w:rPr>
          <w:rFonts w:ascii="Calibri" w:hAnsi="Calibri" w:cs="Calibri"/>
          <w:color w:val="000000" w:themeColor="text1"/>
          <w:szCs w:val="24"/>
        </w:rPr>
        <w:t>vigor</w:t>
      </w:r>
      <w:proofErr w:type="spellEnd"/>
      <w:r w:rsidRPr="00986B40">
        <w:rPr>
          <w:rFonts w:ascii="Calibri" w:hAnsi="Calibri" w:cs="Calibri"/>
          <w:color w:val="000000" w:themeColor="text1"/>
          <w:szCs w:val="24"/>
        </w:rPr>
        <w:t>, dedication, and absorption, has been widely recognized as a key driver of organizational success in service industries (Schaufeli et al., 2002). In the context of hospitality, engaged employees are more likely to deliver superior service, exhibit discretionary effort, and contribute to higher guest satisfaction and loyalty.</w:t>
      </w:r>
    </w:p>
    <w:p w14:paraId="265ED17B" w14:textId="77777777" w:rsidR="00986B40" w:rsidRPr="00986B40" w:rsidRDefault="00986B40" w:rsidP="00986B40">
      <w:pPr>
        <w:spacing w:line="480" w:lineRule="auto"/>
        <w:rPr>
          <w:rFonts w:ascii="Calibri" w:hAnsi="Calibri" w:cs="Calibri"/>
          <w:color w:val="000000" w:themeColor="text1"/>
          <w:szCs w:val="24"/>
        </w:rPr>
      </w:pPr>
      <w:r w:rsidRPr="00986B40">
        <w:rPr>
          <w:rFonts w:ascii="Calibri" w:hAnsi="Calibri" w:cs="Calibri"/>
          <w:color w:val="000000" w:themeColor="text1"/>
          <w:szCs w:val="24"/>
        </w:rPr>
        <w:t xml:space="preserve">However, the hospitality sector faces persistent HR challenges, including high employee turnover, job insecurity, long working hours, emotional </w:t>
      </w:r>
      <w:proofErr w:type="spellStart"/>
      <w:r w:rsidRPr="00986B40">
        <w:rPr>
          <w:rFonts w:ascii="Calibri" w:hAnsi="Calibri" w:cs="Calibri"/>
          <w:color w:val="000000" w:themeColor="text1"/>
          <w:szCs w:val="24"/>
        </w:rPr>
        <w:t>labor</w:t>
      </w:r>
      <w:proofErr w:type="spellEnd"/>
      <w:r w:rsidRPr="00986B40">
        <w:rPr>
          <w:rFonts w:ascii="Calibri" w:hAnsi="Calibri" w:cs="Calibri"/>
          <w:color w:val="000000" w:themeColor="text1"/>
          <w:szCs w:val="24"/>
        </w:rPr>
        <w:t xml:space="preserve">, and limited career progression opportunities. These challenges often undermine employee morale and organizational commitment, leading to disengagement and reduced service quality. Research indicates that disengaged hospitality employees are more prone to burnout, absenteeism, and turnover, which in turn increases recruitment costs and disrupts service continuity (Karatepe &amp; </w:t>
      </w:r>
      <w:proofErr w:type="spellStart"/>
      <w:r w:rsidRPr="00986B40">
        <w:rPr>
          <w:rFonts w:ascii="Calibri" w:hAnsi="Calibri" w:cs="Calibri"/>
          <w:color w:val="000000" w:themeColor="text1"/>
          <w:szCs w:val="24"/>
        </w:rPr>
        <w:t>Uludag</w:t>
      </w:r>
      <w:proofErr w:type="spellEnd"/>
      <w:r w:rsidRPr="00986B40">
        <w:rPr>
          <w:rFonts w:ascii="Calibri" w:hAnsi="Calibri" w:cs="Calibri"/>
          <w:color w:val="000000" w:themeColor="text1"/>
          <w:szCs w:val="24"/>
        </w:rPr>
        <w:t>, 2007). As a result, hospitality organizations must adopt strategic HRM approaches that prioritize employee engagement and well-being alongside operational efficiency.</w:t>
      </w:r>
    </w:p>
    <w:p w14:paraId="1E973274" w14:textId="77777777" w:rsidR="00986B40" w:rsidRPr="00986B40" w:rsidRDefault="00986B40" w:rsidP="00986B40">
      <w:pPr>
        <w:spacing w:line="480" w:lineRule="auto"/>
        <w:rPr>
          <w:rFonts w:ascii="Calibri" w:hAnsi="Calibri" w:cs="Calibri"/>
          <w:color w:val="000000" w:themeColor="text1"/>
          <w:szCs w:val="24"/>
        </w:rPr>
      </w:pPr>
      <w:r w:rsidRPr="00986B40">
        <w:rPr>
          <w:rFonts w:ascii="Calibri" w:hAnsi="Calibri" w:cs="Calibri"/>
          <w:color w:val="000000" w:themeColor="text1"/>
          <w:szCs w:val="24"/>
        </w:rPr>
        <w:t xml:space="preserve">HRM practices such as training and development, performance appraisal, rewards and recognition, and career development are critical mechanisms through which organizations can </w:t>
      </w:r>
      <w:r w:rsidRPr="00986B40">
        <w:rPr>
          <w:rFonts w:ascii="Calibri" w:hAnsi="Calibri" w:cs="Calibri"/>
          <w:color w:val="000000" w:themeColor="text1"/>
          <w:szCs w:val="24"/>
        </w:rPr>
        <w:lastRenderedPageBreak/>
        <w:t>enhance employee engagement. Continuous training equips employees with the skills and confidence required to perform effectively, while transparent performance management systems foster perceptions of fairness and motivation (</w:t>
      </w:r>
      <w:proofErr w:type="spellStart"/>
      <w:r w:rsidRPr="00986B40">
        <w:rPr>
          <w:rFonts w:ascii="Calibri" w:hAnsi="Calibri" w:cs="Calibri"/>
          <w:color w:val="000000" w:themeColor="text1"/>
          <w:szCs w:val="24"/>
        </w:rPr>
        <w:t>Boselie</w:t>
      </w:r>
      <w:proofErr w:type="spellEnd"/>
      <w:r w:rsidRPr="00986B40">
        <w:rPr>
          <w:rFonts w:ascii="Calibri" w:hAnsi="Calibri" w:cs="Calibri"/>
          <w:color w:val="000000" w:themeColor="text1"/>
          <w:szCs w:val="24"/>
        </w:rPr>
        <w:t xml:space="preserve"> et al., 2005). Career development opportunities further enhance employee commitment by </w:t>
      </w:r>
      <w:proofErr w:type="spellStart"/>
      <w:r w:rsidRPr="00986B40">
        <w:rPr>
          <w:rFonts w:ascii="Calibri" w:hAnsi="Calibri" w:cs="Calibri"/>
          <w:color w:val="000000" w:themeColor="text1"/>
          <w:szCs w:val="24"/>
        </w:rPr>
        <w:t>signaling</w:t>
      </w:r>
      <w:proofErr w:type="spellEnd"/>
      <w:r w:rsidRPr="00986B40">
        <w:rPr>
          <w:rFonts w:ascii="Calibri" w:hAnsi="Calibri" w:cs="Calibri"/>
          <w:color w:val="000000" w:themeColor="text1"/>
          <w:szCs w:val="24"/>
        </w:rPr>
        <w:t xml:space="preserve"> long-term investment in employees’ professional growth. In hospitality settings, where frontline employees directly influence guest perceptions, such HR practices are closely linked to service quality and customer satisfaction outcomes.</w:t>
      </w:r>
    </w:p>
    <w:p w14:paraId="29774CA8" w14:textId="77777777" w:rsidR="00986B40" w:rsidRPr="00986B40" w:rsidRDefault="00986B40" w:rsidP="00986B40">
      <w:pPr>
        <w:spacing w:line="480" w:lineRule="auto"/>
        <w:rPr>
          <w:rFonts w:ascii="Calibri" w:hAnsi="Calibri" w:cs="Calibri"/>
          <w:color w:val="000000" w:themeColor="text1"/>
          <w:szCs w:val="24"/>
        </w:rPr>
      </w:pPr>
      <w:r w:rsidRPr="00986B40">
        <w:rPr>
          <w:rFonts w:ascii="Calibri" w:hAnsi="Calibri" w:cs="Calibri"/>
          <w:color w:val="000000" w:themeColor="text1"/>
          <w:szCs w:val="24"/>
        </w:rPr>
        <w:t>Leadership style also plays a significant role in shaping employee engagement within hospitality organizations. Transformational and supportive leadership approaches have been shown to foster trust, psychological safety, and empowerment among employees, thereby enhancing engagement levels (</w:t>
      </w:r>
      <w:proofErr w:type="spellStart"/>
      <w:r w:rsidRPr="00986B40">
        <w:rPr>
          <w:rFonts w:ascii="Calibri" w:hAnsi="Calibri" w:cs="Calibri"/>
          <w:color w:val="000000" w:themeColor="text1"/>
          <w:szCs w:val="24"/>
        </w:rPr>
        <w:t>Breevaart</w:t>
      </w:r>
      <w:proofErr w:type="spellEnd"/>
      <w:r w:rsidRPr="00986B40">
        <w:rPr>
          <w:rFonts w:ascii="Calibri" w:hAnsi="Calibri" w:cs="Calibri"/>
          <w:color w:val="000000" w:themeColor="text1"/>
          <w:szCs w:val="24"/>
        </w:rPr>
        <w:t xml:space="preserve"> et al., 2014). Conversely, authoritarian or transactional leadership styles may exacerbate stress and emotional exhaustion, particularly in high-pressure hospitality environments. In addition, employee well-being initiatives—including work-life balance policies, mental health support, and inclusive workplace practices—have gained increasing importance in addressing burnout and sustaining long-term engagement.</w:t>
      </w:r>
    </w:p>
    <w:p w14:paraId="60C48B91" w14:textId="77777777" w:rsidR="00986B40" w:rsidRPr="00986B40" w:rsidRDefault="00986B40" w:rsidP="00986B40">
      <w:pPr>
        <w:spacing w:line="480" w:lineRule="auto"/>
        <w:rPr>
          <w:rFonts w:ascii="Calibri" w:hAnsi="Calibri" w:cs="Calibri"/>
          <w:color w:val="000000" w:themeColor="text1"/>
          <w:szCs w:val="24"/>
        </w:rPr>
      </w:pPr>
      <w:r w:rsidRPr="00986B40">
        <w:rPr>
          <w:rFonts w:ascii="Calibri" w:hAnsi="Calibri" w:cs="Calibri"/>
          <w:color w:val="000000" w:themeColor="text1"/>
          <w:szCs w:val="24"/>
        </w:rPr>
        <w:t xml:space="preserve">Aligning HRM strategies with the strategic objectives of hospitality organizations is essential for achieving operational efficiency and sustainable performance. Engaged employees contribute to lower turnover rates, improved service consistency, and enhanced guest experiences, all of which are central to the hospitality industry’s success. Leading hospitality organizations have demonstrated that investment in people-oriented HRM practices yields measurable returns in both employee and customer outcomes. Therefore, this assignment seeks to critically examine the role of HRM in fostering employee engagement within the hospitality industry, </w:t>
      </w:r>
      <w:proofErr w:type="spellStart"/>
      <w:r w:rsidRPr="00986B40">
        <w:rPr>
          <w:rFonts w:ascii="Calibri" w:hAnsi="Calibri" w:cs="Calibri"/>
          <w:color w:val="000000" w:themeColor="text1"/>
          <w:szCs w:val="24"/>
        </w:rPr>
        <w:t>analyze</w:t>
      </w:r>
      <w:proofErr w:type="spellEnd"/>
      <w:r w:rsidRPr="00986B40">
        <w:rPr>
          <w:rFonts w:ascii="Calibri" w:hAnsi="Calibri" w:cs="Calibri"/>
          <w:color w:val="000000" w:themeColor="text1"/>
          <w:szCs w:val="24"/>
        </w:rPr>
        <w:t xml:space="preserve"> the </w:t>
      </w:r>
      <w:r w:rsidRPr="00986B40">
        <w:rPr>
          <w:rFonts w:ascii="Calibri" w:hAnsi="Calibri" w:cs="Calibri"/>
          <w:color w:val="000000" w:themeColor="text1"/>
          <w:szCs w:val="24"/>
        </w:rPr>
        <w:lastRenderedPageBreak/>
        <w:t>influence of HR practices and leadership on employee outcomes, and evaluate real-world case studies that illustrate best practices in employee engagement.</w:t>
      </w:r>
    </w:p>
    <w:p w14:paraId="7716B42F" w14:textId="77777777" w:rsidR="00F801C0" w:rsidRPr="00CC2A71" w:rsidRDefault="00F801C0" w:rsidP="00986B40">
      <w:pPr>
        <w:spacing w:line="480" w:lineRule="auto"/>
        <w:rPr>
          <w:rFonts w:ascii="Calibri" w:hAnsi="Calibri" w:cs="Calibri"/>
          <w:b/>
          <w:bCs/>
          <w:color w:val="000000" w:themeColor="text1"/>
          <w:szCs w:val="24"/>
        </w:rPr>
      </w:pPr>
    </w:p>
    <w:p w14:paraId="792F05B8" w14:textId="77777777" w:rsidR="00F801C0" w:rsidRPr="00CC2A71" w:rsidRDefault="00F801C0" w:rsidP="00986B40">
      <w:pPr>
        <w:spacing w:line="480" w:lineRule="auto"/>
        <w:rPr>
          <w:rFonts w:ascii="Calibri" w:hAnsi="Calibri" w:cs="Calibri"/>
          <w:b/>
          <w:bCs/>
          <w:color w:val="000000" w:themeColor="text1"/>
          <w:szCs w:val="24"/>
        </w:rPr>
      </w:pPr>
    </w:p>
    <w:p w14:paraId="145FA786" w14:textId="77777777" w:rsidR="00F801C0" w:rsidRPr="00CC2A71" w:rsidRDefault="00F801C0" w:rsidP="00986B40">
      <w:pPr>
        <w:spacing w:line="480" w:lineRule="auto"/>
        <w:rPr>
          <w:rFonts w:ascii="Calibri" w:hAnsi="Calibri" w:cs="Calibri"/>
          <w:b/>
          <w:bCs/>
          <w:color w:val="000000" w:themeColor="text1"/>
          <w:szCs w:val="24"/>
        </w:rPr>
      </w:pPr>
    </w:p>
    <w:p w14:paraId="0A80B22A" w14:textId="77777777" w:rsidR="00F801C0" w:rsidRPr="00CC2A71" w:rsidRDefault="00F801C0" w:rsidP="00986B40">
      <w:pPr>
        <w:spacing w:line="480" w:lineRule="auto"/>
        <w:rPr>
          <w:rFonts w:ascii="Calibri" w:hAnsi="Calibri" w:cs="Calibri"/>
          <w:b/>
          <w:bCs/>
          <w:color w:val="000000" w:themeColor="text1"/>
          <w:szCs w:val="24"/>
        </w:rPr>
      </w:pPr>
    </w:p>
    <w:p w14:paraId="5210F34A" w14:textId="77777777" w:rsidR="00F801C0" w:rsidRDefault="00F801C0" w:rsidP="00986B40">
      <w:pPr>
        <w:spacing w:line="480" w:lineRule="auto"/>
        <w:rPr>
          <w:rFonts w:ascii="Calibri" w:hAnsi="Calibri" w:cs="Calibri"/>
          <w:b/>
          <w:bCs/>
          <w:color w:val="000000" w:themeColor="text1"/>
          <w:szCs w:val="24"/>
        </w:rPr>
      </w:pPr>
    </w:p>
    <w:p w14:paraId="40E4EBA2" w14:textId="77777777" w:rsidR="00986B40" w:rsidRDefault="00986B40" w:rsidP="00986B40">
      <w:pPr>
        <w:spacing w:line="480" w:lineRule="auto"/>
        <w:rPr>
          <w:rFonts w:ascii="Calibri" w:hAnsi="Calibri" w:cs="Calibri"/>
          <w:b/>
          <w:bCs/>
          <w:color w:val="000000" w:themeColor="text1"/>
          <w:szCs w:val="24"/>
        </w:rPr>
      </w:pPr>
    </w:p>
    <w:p w14:paraId="77894900" w14:textId="77777777" w:rsidR="00986B40" w:rsidRDefault="00986B40" w:rsidP="00986B40">
      <w:pPr>
        <w:spacing w:line="480" w:lineRule="auto"/>
        <w:rPr>
          <w:rFonts w:ascii="Calibri" w:hAnsi="Calibri" w:cs="Calibri"/>
          <w:b/>
          <w:bCs/>
          <w:color w:val="000000" w:themeColor="text1"/>
          <w:szCs w:val="24"/>
        </w:rPr>
      </w:pPr>
    </w:p>
    <w:p w14:paraId="7F06DB95" w14:textId="77777777" w:rsidR="00986B40" w:rsidRDefault="00986B40" w:rsidP="00986B40">
      <w:pPr>
        <w:spacing w:line="480" w:lineRule="auto"/>
        <w:rPr>
          <w:rFonts w:ascii="Calibri" w:hAnsi="Calibri" w:cs="Calibri"/>
          <w:b/>
          <w:bCs/>
          <w:color w:val="000000" w:themeColor="text1"/>
          <w:szCs w:val="24"/>
        </w:rPr>
      </w:pPr>
    </w:p>
    <w:p w14:paraId="35AD274C" w14:textId="77777777" w:rsidR="00986B40" w:rsidRDefault="00986B40" w:rsidP="00986B40">
      <w:pPr>
        <w:spacing w:line="480" w:lineRule="auto"/>
        <w:rPr>
          <w:rFonts w:ascii="Calibri" w:hAnsi="Calibri" w:cs="Calibri"/>
          <w:b/>
          <w:bCs/>
          <w:color w:val="000000" w:themeColor="text1"/>
          <w:szCs w:val="24"/>
        </w:rPr>
      </w:pPr>
    </w:p>
    <w:p w14:paraId="7BEA8765" w14:textId="77777777" w:rsidR="00986B40" w:rsidRDefault="00986B40" w:rsidP="00986B40">
      <w:pPr>
        <w:spacing w:line="480" w:lineRule="auto"/>
        <w:rPr>
          <w:rFonts w:ascii="Calibri" w:hAnsi="Calibri" w:cs="Calibri"/>
          <w:b/>
          <w:bCs/>
          <w:color w:val="000000" w:themeColor="text1"/>
          <w:szCs w:val="24"/>
        </w:rPr>
      </w:pPr>
    </w:p>
    <w:p w14:paraId="5E30F498" w14:textId="77777777" w:rsidR="00986B40" w:rsidRDefault="00986B40" w:rsidP="00986B40">
      <w:pPr>
        <w:spacing w:line="480" w:lineRule="auto"/>
        <w:rPr>
          <w:rFonts w:ascii="Calibri" w:hAnsi="Calibri" w:cs="Calibri"/>
          <w:b/>
          <w:bCs/>
          <w:color w:val="000000" w:themeColor="text1"/>
          <w:szCs w:val="24"/>
        </w:rPr>
      </w:pPr>
    </w:p>
    <w:p w14:paraId="3AEAEFCA" w14:textId="77777777" w:rsidR="00986B40" w:rsidRDefault="00986B40" w:rsidP="00986B40">
      <w:pPr>
        <w:spacing w:line="480" w:lineRule="auto"/>
        <w:rPr>
          <w:rFonts w:ascii="Calibri" w:hAnsi="Calibri" w:cs="Calibri"/>
          <w:b/>
          <w:bCs/>
          <w:color w:val="000000" w:themeColor="text1"/>
          <w:szCs w:val="24"/>
        </w:rPr>
      </w:pPr>
    </w:p>
    <w:p w14:paraId="5C3E258B" w14:textId="77777777" w:rsidR="00986B40" w:rsidRDefault="00986B40" w:rsidP="00986B40">
      <w:pPr>
        <w:spacing w:line="480" w:lineRule="auto"/>
        <w:rPr>
          <w:rFonts w:ascii="Calibri" w:hAnsi="Calibri" w:cs="Calibri"/>
          <w:b/>
          <w:bCs/>
          <w:color w:val="000000" w:themeColor="text1"/>
          <w:szCs w:val="24"/>
        </w:rPr>
      </w:pPr>
    </w:p>
    <w:p w14:paraId="326F6E63" w14:textId="77777777" w:rsidR="00986B40" w:rsidRDefault="00986B40" w:rsidP="00986B40">
      <w:pPr>
        <w:spacing w:line="480" w:lineRule="auto"/>
        <w:rPr>
          <w:rFonts w:ascii="Calibri" w:hAnsi="Calibri" w:cs="Calibri"/>
          <w:b/>
          <w:bCs/>
          <w:color w:val="000000" w:themeColor="text1"/>
          <w:szCs w:val="24"/>
        </w:rPr>
      </w:pPr>
    </w:p>
    <w:p w14:paraId="1C259190" w14:textId="77777777" w:rsidR="00986B40" w:rsidRPr="00CC2A71" w:rsidRDefault="00986B40" w:rsidP="00986B40">
      <w:pPr>
        <w:spacing w:line="480" w:lineRule="auto"/>
        <w:rPr>
          <w:rFonts w:ascii="Calibri" w:hAnsi="Calibri" w:cs="Calibri"/>
          <w:b/>
          <w:bCs/>
          <w:color w:val="000000" w:themeColor="text1"/>
          <w:szCs w:val="24"/>
        </w:rPr>
      </w:pPr>
    </w:p>
    <w:p w14:paraId="407E2263" w14:textId="081CF40D" w:rsidR="00F801C0" w:rsidRPr="00CC2A71" w:rsidRDefault="00F801C0" w:rsidP="00986B40">
      <w:pPr>
        <w:pStyle w:val="Heading1"/>
        <w:spacing w:line="480" w:lineRule="auto"/>
        <w:rPr>
          <w:rFonts w:ascii="Calibri" w:hAnsi="Calibri" w:cs="Calibri"/>
          <w:b/>
          <w:bCs/>
          <w:color w:val="000000" w:themeColor="text1"/>
          <w:sz w:val="24"/>
          <w:szCs w:val="24"/>
        </w:rPr>
      </w:pPr>
      <w:bookmarkStart w:id="2" w:name="_Toc220957852"/>
      <w:r w:rsidRPr="00CC2A71">
        <w:rPr>
          <w:rFonts w:ascii="Calibri" w:hAnsi="Calibri" w:cs="Calibri"/>
          <w:b/>
          <w:bCs/>
          <w:color w:val="000000" w:themeColor="text1"/>
          <w:sz w:val="24"/>
          <w:szCs w:val="24"/>
        </w:rPr>
        <w:lastRenderedPageBreak/>
        <w:t>Literature Review</w:t>
      </w:r>
      <w:bookmarkEnd w:id="2"/>
    </w:p>
    <w:p w14:paraId="7CE8D710" w14:textId="77777777" w:rsidR="00ED2171" w:rsidRPr="00ED2171" w:rsidRDefault="00ED2171" w:rsidP="00ED2171">
      <w:pPr>
        <w:spacing w:line="480" w:lineRule="auto"/>
        <w:rPr>
          <w:rFonts w:ascii="Calibri" w:hAnsi="Calibri" w:cs="Calibri"/>
          <w:b/>
          <w:bCs/>
          <w:color w:val="000000" w:themeColor="text1"/>
          <w:szCs w:val="24"/>
        </w:rPr>
      </w:pPr>
      <w:r w:rsidRPr="00ED2171">
        <w:rPr>
          <w:rFonts w:ascii="Calibri" w:hAnsi="Calibri" w:cs="Calibri"/>
          <w:b/>
          <w:bCs/>
          <w:color w:val="000000" w:themeColor="text1"/>
          <w:szCs w:val="24"/>
        </w:rPr>
        <w:t>1. Concept of Employee Engagement in the Hospitality Industry</w:t>
      </w:r>
    </w:p>
    <w:p w14:paraId="0B8F7495" w14:textId="77777777" w:rsidR="00ED2171" w:rsidRPr="00ED2171" w:rsidRDefault="00ED2171" w:rsidP="00ED2171">
      <w:pPr>
        <w:spacing w:line="480" w:lineRule="auto"/>
        <w:rPr>
          <w:rFonts w:ascii="Calibri" w:hAnsi="Calibri" w:cs="Calibri"/>
          <w:color w:val="000000" w:themeColor="text1"/>
          <w:szCs w:val="24"/>
        </w:rPr>
      </w:pPr>
      <w:r w:rsidRPr="00ED2171">
        <w:rPr>
          <w:rFonts w:ascii="Calibri" w:hAnsi="Calibri" w:cs="Calibri"/>
          <w:color w:val="000000" w:themeColor="text1"/>
          <w:szCs w:val="24"/>
        </w:rPr>
        <w:t xml:space="preserve">Employee engagement has become a central construct in human resource and organizational </w:t>
      </w:r>
      <w:proofErr w:type="spellStart"/>
      <w:r w:rsidRPr="00ED2171">
        <w:rPr>
          <w:rFonts w:ascii="Calibri" w:hAnsi="Calibri" w:cs="Calibri"/>
          <w:color w:val="000000" w:themeColor="text1"/>
          <w:szCs w:val="24"/>
        </w:rPr>
        <w:t>behavior</w:t>
      </w:r>
      <w:proofErr w:type="spellEnd"/>
      <w:r w:rsidRPr="00ED2171">
        <w:rPr>
          <w:rFonts w:ascii="Calibri" w:hAnsi="Calibri" w:cs="Calibri"/>
          <w:color w:val="000000" w:themeColor="text1"/>
          <w:szCs w:val="24"/>
        </w:rPr>
        <w:t xml:space="preserve"> literature, particularly within service-intensive industries such as hospitality. Engagement is commonly conceptualized as a positive, fulfilling work-related psychological state characterized by </w:t>
      </w:r>
      <w:proofErr w:type="spellStart"/>
      <w:r w:rsidRPr="00ED2171">
        <w:rPr>
          <w:rFonts w:ascii="Calibri" w:hAnsi="Calibri" w:cs="Calibri"/>
          <w:color w:val="000000" w:themeColor="text1"/>
          <w:szCs w:val="24"/>
        </w:rPr>
        <w:t>vigor</w:t>
      </w:r>
      <w:proofErr w:type="spellEnd"/>
      <w:r w:rsidRPr="00ED2171">
        <w:rPr>
          <w:rFonts w:ascii="Calibri" w:hAnsi="Calibri" w:cs="Calibri"/>
          <w:color w:val="000000" w:themeColor="text1"/>
          <w:szCs w:val="24"/>
        </w:rPr>
        <w:t xml:space="preserve">, dedication, and absorption (Schaufeli et al., 2002). Unlike job satisfaction, which reflects passive contentment, employee engagement represents an active and motivational connection to work roles. In hospitality settings, where employees frequently interact with guests, engagement is particularly significant because emotional </w:t>
      </w:r>
      <w:proofErr w:type="spellStart"/>
      <w:r w:rsidRPr="00ED2171">
        <w:rPr>
          <w:rFonts w:ascii="Calibri" w:hAnsi="Calibri" w:cs="Calibri"/>
          <w:color w:val="000000" w:themeColor="text1"/>
          <w:szCs w:val="24"/>
        </w:rPr>
        <w:t>labor</w:t>
      </w:r>
      <w:proofErr w:type="spellEnd"/>
      <w:r w:rsidRPr="00ED2171">
        <w:rPr>
          <w:rFonts w:ascii="Calibri" w:hAnsi="Calibri" w:cs="Calibri"/>
          <w:color w:val="000000" w:themeColor="text1"/>
          <w:szCs w:val="24"/>
        </w:rPr>
        <w:t xml:space="preserve"> and service </w:t>
      </w:r>
      <w:proofErr w:type="spellStart"/>
      <w:r w:rsidRPr="00ED2171">
        <w:rPr>
          <w:rFonts w:ascii="Calibri" w:hAnsi="Calibri" w:cs="Calibri"/>
          <w:color w:val="000000" w:themeColor="text1"/>
          <w:szCs w:val="24"/>
        </w:rPr>
        <w:t>behaviors</w:t>
      </w:r>
      <w:proofErr w:type="spellEnd"/>
      <w:r w:rsidRPr="00ED2171">
        <w:rPr>
          <w:rFonts w:ascii="Calibri" w:hAnsi="Calibri" w:cs="Calibri"/>
          <w:color w:val="000000" w:themeColor="text1"/>
          <w:szCs w:val="24"/>
        </w:rPr>
        <w:t xml:space="preserve"> directly influence customer perceptions and organizational outcomes.</w:t>
      </w:r>
    </w:p>
    <w:p w14:paraId="19781DAC" w14:textId="77777777" w:rsidR="00ED2171" w:rsidRPr="00ED2171" w:rsidRDefault="00ED2171" w:rsidP="00ED2171">
      <w:pPr>
        <w:spacing w:line="480" w:lineRule="auto"/>
        <w:rPr>
          <w:rFonts w:ascii="Calibri" w:hAnsi="Calibri" w:cs="Calibri"/>
          <w:color w:val="000000" w:themeColor="text1"/>
          <w:szCs w:val="24"/>
        </w:rPr>
      </w:pPr>
      <w:r w:rsidRPr="00ED2171">
        <w:rPr>
          <w:rFonts w:ascii="Calibri" w:hAnsi="Calibri" w:cs="Calibri"/>
          <w:color w:val="000000" w:themeColor="text1"/>
          <w:szCs w:val="24"/>
        </w:rPr>
        <w:t xml:space="preserve">The hospitality industry presents a unique employment context marked by long working hours, emotional demands, seasonal employment, and high </w:t>
      </w:r>
      <w:proofErr w:type="spellStart"/>
      <w:r w:rsidRPr="00ED2171">
        <w:rPr>
          <w:rFonts w:ascii="Calibri" w:hAnsi="Calibri" w:cs="Calibri"/>
          <w:color w:val="000000" w:themeColor="text1"/>
          <w:szCs w:val="24"/>
        </w:rPr>
        <w:t>labor</w:t>
      </w:r>
      <w:proofErr w:type="spellEnd"/>
      <w:r w:rsidRPr="00ED2171">
        <w:rPr>
          <w:rFonts w:ascii="Calibri" w:hAnsi="Calibri" w:cs="Calibri"/>
          <w:color w:val="000000" w:themeColor="text1"/>
          <w:szCs w:val="24"/>
        </w:rPr>
        <w:t xml:space="preserve"> mobility. These conditions make sustaining employee engagement both challenging and essential. Research consistently demonstrates that engaged hospitality employees exhibit higher service quality, stronger organizational commitment, and lower turnover intentions (Karatepe, 2013). Consequently, employee engagement is increasingly viewed not merely as an HR outcome but as a strategic resource that contributes to competitive advantage in hospitality organizations.</w:t>
      </w:r>
    </w:p>
    <w:p w14:paraId="30170309" w14:textId="0A38F8BD" w:rsidR="00ED2171" w:rsidRDefault="00ED2171" w:rsidP="00ED2171">
      <w:pPr>
        <w:spacing w:line="480" w:lineRule="auto"/>
        <w:rPr>
          <w:rFonts w:ascii="Calibri" w:hAnsi="Calibri" w:cs="Calibri"/>
          <w:b/>
          <w:bCs/>
          <w:color w:val="000000" w:themeColor="text1"/>
          <w:szCs w:val="24"/>
        </w:rPr>
      </w:pPr>
    </w:p>
    <w:p w14:paraId="2C096966" w14:textId="77777777" w:rsidR="00A8773F" w:rsidRDefault="00A8773F" w:rsidP="00ED2171">
      <w:pPr>
        <w:spacing w:line="480" w:lineRule="auto"/>
        <w:rPr>
          <w:rFonts w:ascii="Calibri" w:hAnsi="Calibri" w:cs="Calibri"/>
          <w:b/>
          <w:bCs/>
          <w:color w:val="000000" w:themeColor="text1"/>
          <w:szCs w:val="24"/>
        </w:rPr>
      </w:pPr>
    </w:p>
    <w:p w14:paraId="7D171C79" w14:textId="77777777" w:rsidR="00A8773F" w:rsidRPr="00ED2171" w:rsidRDefault="00A8773F" w:rsidP="00ED2171">
      <w:pPr>
        <w:spacing w:line="480" w:lineRule="auto"/>
        <w:rPr>
          <w:rFonts w:ascii="Calibri" w:hAnsi="Calibri" w:cs="Calibri"/>
          <w:b/>
          <w:bCs/>
          <w:color w:val="000000" w:themeColor="text1"/>
          <w:szCs w:val="24"/>
        </w:rPr>
      </w:pPr>
    </w:p>
    <w:p w14:paraId="7DDC48E8" w14:textId="77777777" w:rsidR="00ED2171" w:rsidRPr="00ED2171" w:rsidRDefault="00ED2171" w:rsidP="00ED2171">
      <w:pPr>
        <w:spacing w:line="480" w:lineRule="auto"/>
        <w:rPr>
          <w:rFonts w:ascii="Calibri" w:hAnsi="Calibri" w:cs="Calibri"/>
          <w:b/>
          <w:bCs/>
          <w:color w:val="000000" w:themeColor="text1"/>
          <w:szCs w:val="24"/>
        </w:rPr>
      </w:pPr>
      <w:r w:rsidRPr="00ED2171">
        <w:rPr>
          <w:rFonts w:ascii="Calibri" w:hAnsi="Calibri" w:cs="Calibri"/>
          <w:b/>
          <w:bCs/>
          <w:color w:val="000000" w:themeColor="text1"/>
          <w:szCs w:val="24"/>
        </w:rPr>
        <w:lastRenderedPageBreak/>
        <w:t>2. Theoretical Foundations Linking HRM and Employee Engagement</w:t>
      </w:r>
    </w:p>
    <w:p w14:paraId="06E5E7EB" w14:textId="77777777" w:rsidR="00ED2171" w:rsidRPr="00ED2171" w:rsidRDefault="00ED2171" w:rsidP="00ED2171">
      <w:pPr>
        <w:spacing w:line="480" w:lineRule="auto"/>
        <w:rPr>
          <w:rFonts w:ascii="Calibri" w:hAnsi="Calibri" w:cs="Calibri"/>
          <w:color w:val="000000" w:themeColor="text1"/>
          <w:szCs w:val="24"/>
        </w:rPr>
      </w:pPr>
      <w:r w:rsidRPr="00ED2171">
        <w:rPr>
          <w:rFonts w:ascii="Calibri" w:hAnsi="Calibri" w:cs="Calibri"/>
          <w:color w:val="000000" w:themeColor="text1"/>
          <w:szCs w:val="24"/>
        </w:rPr>
        <w:t xml:space="preserve">The relationship between Human Resource Management (HRM) and employee engagement is grounded in several well-established theoretical frameworks. Social Exchange Theory posits that employees reciprocate </w:t>
      </w:r>
      <w:proofErr w:type="spellStart"/>
      <w:r w:rsidRPr="00ED2171">
        <w:rPr>
          <w:rFonts w:ascii="Calibri" w:hAnsi="Calibri" w:cs="Calibri"/>
          <w:color w:val="000000" w:themeColor="text1"/>
          <w:szCs w:val="24"/>
        </w:rPr>
        <w:t>favorable</w:t>
      </w:r>
      <w:proofErr w:type="spellEnd"/>
      <w:r w:rsidRPr="00ED2171">
        <w:rPr>
          <w:rFonts w:ascii="Calibri" w:hAnsi="Calibri" w:cs="Calibri"/>
          <w:color w:val="000000" w:themeColor="text1"/>
          <w:szCs w:val="24"/>
        </w:rPr>
        <w:t xml:space="preserve"> organizational treatment with positive attitudes and </w:t>
      </w:r>
      <w:proofErr w:type="spellStart"/>
      <w:r w:rsidRPr="00ED2171">
        <w:rPr>
          <w:rFonts w:ascii="Calibri" w:hAnsi="Calibri" w:cs="Calibri"/>
          <w:color w:val="000000" w:themeColor="text1"/>
          <w:szCs w:val="24"/>
        </w:rPr>
        <w:t>behaviors</w:t>
      </w:r>
      <w:proofErr w:type="spellEnd"/>
      <w:r w:rsidRPr="00ED2171">
        <w:rPr>
          <w:rFonts w:ascii="Calibri" w:hAnsi="Calibri" w:cs="Calibri"/>
          <w:color w:val="000000" w:themeColor="text1"/>
          <w:szCs w:val="24"/>
        </w:rPr>
        <w:t xml:space="preserve">, including engagement and discretionary effort (Blau, 1964). In hospitality organizations, when employees perceive HR practices as supportive and fair, they are more likely to demonstrate emotional commitment and service-oriented </w:t>
      </w:r>
      <w:proofErr w:type="spellStart"/>
      <w:r w:rsidRPr="00ED2171">
        <w:rPr>
          <w:rFonts w:ascii="Calibri" w:hAnsi="Calibri" w:cs="Calibri"/>
          <w:color w:val="000000" w:themeColor="text1"/>
          <w:szCs w:val="24"/>
        </w:rPr>
        <w:t>behaviors</w:t>
      </w:r>
      <w:proofErr w:type="spellEnd"/>
      <w:r w:rsidRPr="00ED2171">
        <w:rPr>
          <w:rFonts w:ascii="Calibri" w:hAnsi="Calibri" w:cs="Calibri"/>
          <w:color w:val="000000" w:themeColor="text1"/>
          <w:szCs w:val="24"/>
        </w:rPr>
        <w:t>.</w:t>
      </w:r>
    </w:p>
    <w:p w14:paraId="3CFECAC2" w14:textId="77777777" w:rsidR="00ED2171" w:rsidRPr="00ED2171" w:rsidRDefault="00ED2171" w:rsidP="00ED2171">
      <w:pPr>
        <w:spacing w:line="480" w:lineRule="auto"/>
        <w:rPr>
          <w:rFonts w:ascii="Calibri" w:hAnsi="Calibri" w:cs="Calibri"/>
          <w:color w:val="000000" w:themeColor="text1"/>
          <w:szCs w:val="24"/>
        </w:rPr>
      </w:pPr>
      <w:r w:rsidRPr="00ED2171">
        <w:rPr>
          <w:rFonts w:ascii="Calibri" w:hAnsi="Calibri" w:cs="Calibri"/>
          <w:color w:val="000000" w:themeColor="text1"/>
          <w:szCs w:val="24"/>
        </w:rPr>
        <w:t xml:space="preserve">Another influential framework is the Job Demands–Resources (JD–R) model, which suggests that employee engagement emerges when job resources—such as training, autonomy, feedback, and leadership support—offset job demands like workload and emotional strain (Bakker &amp; Demerouti, 2007). Given the high emotional and physical demands of hospitality work, HRM practices that enhance job resources are particularly effective in fostering engagement. Empirical studies within hotel and tourism contexts confirm that job resources provided through HRM systems significantly predict engagement and performance outcomes (Karatepe &amp; </w:t>
      </w:r>
      <w:proofErr w:type="spellStart"/>
      <w:r w:rsidRPr="00ED2171">
        <w:rPr>
          <w:rFonts w:ascii="Calibri" w:hAnsi="Calibri" w:cs="Calibri"/>
          <w:color w:val="000000" w:themeColor="text1"/>
          <w:szCs w:val="24"/>
        </w:rPr>
        <w:t>Olugbade</w:t>
      </w:r>
      <w:proofErr w:type="spellEnd"/>
      <w:r w:rsidRPr="00ED2171">
        <w:rPr>
          <w:rFonts w:ascii="Calibri" w:hAnsi="Calibri" w:cs="Calibri"/>
          <w:color w:val="000000" w:themeColor="text1"/>
          <w:szCs w:val="24"/>
        </w:rPr>
        <w:t>, 2009).</w:t>
      </w:r>
    </w:p>
    <w:p w14:paraId="15B54AA6" w14:textId="77777777" w:rsidR="00ED2171" w:rsidRPr="00ED2171" w:rsidRDefault="00ED2171" w:rsidP="00ED2171">
      <w:pPr>
        <w:spacing w:line="480" w:lineRule="auto"/>
        <w:rPr>
          <w:rFonts w:ascii="Calibri" w:hAnsi="Calibri" w:cs="Calibri"/>
          <w:color w:val="000000" w:themeColor="text1"/>
          <w:szCs w:val="24"/>
        </w:rPr>
      </w:pPr>
      <w:r w:rsidRPr="00ED2171">
        <w:rPr>
          <w:rFonts w:ascii="Calibri" w:hAnsi="Calibri" w:cs="Calibri"/>
          <w:color w:val="000000" w:themeColor="text1"/>
          <w:szCs w:val="24"/>
        </w:rPr>
        <w:t>Additionally, the Ability–Motivation–Opportunity (AMO) framework explains how HRM practices influence employee outcomes by enhancing employees’ skills, motivation, and participation opportunities (</w:t>
      </w:r>
      <w:proofErr w:type="spellStart"/>
      <w:r w:rsidRPr="00ED2171">
        <w:rPr>
          <w:rFonts w:ascii="Calibri" w:hAnsi="Calibri" w:cs="Calibri"/>
          <w:color w:val="000000" w:themeColor="text1"/>
          <w:szCs w:val="24"/>
        </w:rPr>
        <w:t>Boselie</w:t>
      </w:r>
      <w:proofErr w:type="spellEnd"/>
      <w:r w:rsidRPr="00ED2171">
        <w:rPr>
          <w:rFonts w:ascii="Calibri" w:hAnsi="Calibri" w:cs="Calibri"/>
          <w:color w:val="000000" w:themeColor="text1"/>
          <w:szCs w:val="24"/>
        </w:rPr>
        <w:t xml:space="preserve"> et al., 2005). Training and development build employee abilities, performance management and rewards enhance motivation, and participative decision-making creates opportunities for engagement. This framework has been widely applied </w:t>
      </w:r>
      <w:r w:rsidRPr="00ED2171">
        <w:rPr>
          <w:rFonts w:ascii="Calibri" w:hAnsi="Calibri" w:cs="Calibri"/>
          <w:color w:val="000000" w:themeColor="text1"/>
          <w:szCs w:val="24"/>
        </w:rPr>
        <w:lastRenderedPageBreak/>
        <w:t>in hospitality research to explain how HRM systems drive employee attitudes and service performance.</w:t>
      </w:r>
    </w:p>
    <w:p w14:paraId="66FD716F" w14:textId="29F07EB0" w:rsidR="00ED2171" w:rsidRPr="00ED2171" w:rsidRDefault="00ED2171" w:rsidP="00ED2171">
      <w:pPr>
        <w:spacing w:line="480" w:lineRule="auto"/>
        <w:rPr>
          <w:rFonts w:ascii="Calibri" w:hAnsi="Calibri" w:cs="Calibri"/>
          <w:b/>
          <w:bCs/>
          <w:color w:val="000000" w:themeColor="text1"/>
          <w:szCs w:val="24"/>
        </w:rPr>
      </w:pPr>
    </w:p>
    <w:p w14:paraId="23F592D5" w14:textId="77777777" w:rsidR="00ED2171" w:rsidRPr="00ED2171" w:rsidRDefault="00ED2171" w:rsidP="00ED2171">
      <w:pPr>
        <w:spacing w:line="480" w:lineRule="auto"/>
        <w:rPr>
          <w:rFonts w:ascii="Calibri" w:hAnsi="Calibri" w:cs="Calibri"/>
          <w:b/>
          <w:bCs/>
          <w:color w:val="000000" w:themeColor="text1"/>
          <w:szCs w:val="24"/>
        </w:rPr>
      </w:pPr>
      <w:r w:rsidRPr="00ED2171">
        <w:rPr>
          <w:rFonts w:ascii="Calibri" w:hAnsi="Calibri" w:cs="Calibri"/>
          <w:b/>
          <w:bCs/>
          <w:color w:val="000000" w:themeColor="text1"/>
          <w:szCs w:val="24"/>
        </w:rPr>
        <w:t>3. HRM Practices and Employee Engagement</w:t>
      </w:r>
    </w:p>
    <w:p w14:paraId="1F0EB140" w14:textId="77777777" w:rsidR="00ED2171" w:rsidRPr="00ED2171" w:rsidRDefault="00ED2171" w:rsidP="00ED2171">
      <w:pPr>
        <w:spacing w:line="480" w:lineRule="auto"/>
        <w:rPr>
          <w:rFonts w:ascii="Calibri" w:hAnsi="Calibri" w:cs="Calibri"/>
          <w:b/>
          <w:bCs/>
          <w:color w:val="000000" w:themeColor="text1"/>
          <w:szCs w:val="24"/>
        </w:rPr>
      </w:pPr>
      <w:r w:rsidRPr="00ED2171">
        <w:rPr>
          <w:rFonts w:ascii="Calibri" w:hAnsi="Calibri" w:cs="Calibri"/>
          <w:b/>
          <w:bCs/>
          <w:color w:val="000000" w:themeColor="text1"/>
          <w:szCs w:val="24"/>
        </w:rPr>
        <w:t>3.1 Training and Development</w:t>
      </w:r>
    </w:p>
    <w:p w14:paraId="11B29CC0" w14:textId="77777777" w:rsidR="00ED2171" w:rsidRPr="00ED2171" w:rsidRDefault="00ED2171" w:rsidP="00ED2171">
      <w:pPr>
        <w:spacing w:line="480" w:lineRule="auto"/>
        <w:rPr>
          <w:rFonts w:ascii="Calibri" w:hAnsi="Calibri" w:cs="Calibri"/>
          <w:color w:val="000000" w:themeColor="text1"/>
          <w:szCs w:val="24"/>
        </w:rPr>
      </w:pPr>
      <w:r w:rsidRPr="00ED2171">
        <w:rPr>
          <w:rFonts w:ascii="Calibri" w:hAnsi="Calibri" w:cs="Calibri"/>
          <w:color w:val="000000" w:themeColor="text1"/>
          <w:szCs w:val="24"/>
        </w:rPr>
        <w:t>Training and development are consistently identified as critical HRM practices influencing employee engagement in hospitality organizations. Continuous training enhances employees’ technical skills, service competencies, and confidence in handling guest interactions. Studies indicate that employees who perceive access to meaningful training opportunities report higher levels of engagement, job satisfaction, and organizational commitment (Chiang et al., 2015).</w:t>
      </w:r>
    </w:p>
    <w:p w14:paraId="0C342395" w14:textId="77777777" w:rsidR="00ED2171" w:rsidRPr="00ED2171" w:rsidRDefault="00ED2171" w:rsidP="00ED2171">
      <w:pPr>
        <w:spacing w:line="480" w:lineRule="auto"/>
        <w:rPr>
          <w:rFonts w:ascii="Calibri" w:hAnsi="Calibri" w:cs="Calibri"/>
          <w:color w:val="000000" w:themeColor="text1"/>
          <w:szCs w:val="24"/>
        </w:rPr>
      </w:pPr>
      <w:r w:rsidRPr="00ED2171">
        <w:rPr>
          <w:rFonts w:ascii="Calibri" w:hAnsi="Calibri" w:cs="Calibri"/>
          <w:color w:val="000000" w:themeColor="text1"/>
          <w:szCs w:val="24"/>
        </w:rPr>
        <w:t xml:space="preserve">In hospitality contexts, training also serves as a signal of organizational support, reinforcing employees’ perceptions that the organization values their growth. This perception strengthens the psychological contract between employees and employers, thereby enhancing engagement. Empirical evidence shows that training-focused HRM systems are positively associated with reduced burnout and improved service recovery performance among frontline hospitality employees (Karatepe &amp; </w:t>
      </w:r>
      <w:proofErr w:type="spellStart"/>
      <w:r w:rsidRPr="00ED2171">
        <w:rPr>
          <w:rFonts w:ascii="Calibri" w:hAnsi="Calibri" w:cs="Calibri"/>
          <w:color w:val="000000" w:themeColor="text1"/>
          <w:szCs w:val="24"/>
        </w:rPr>
        <w:t>Vatankhah</w:t>
      </w:r>
      <w:proofErr w:type="spellEnd"/>
      <w:r w:rsidRPr="00ED2171">
        <w:rPr>
          <w:rFonts w:ascii="Calibri" w:hAnsi="Calibri" w:cs="Calibri"/>
          <w:color w:val="000000" w:themeColor="text1"/>
          <w:szCs w:val="24"/>
        </w:rPr>
        <w:t>, 2014).</w:t>
      </w:r>
    </w:p>
    <w:p w14:paraId="4745B696" w14:textId="77777777" w:rsidR="00ED2171" w:rsidRPr="00ED2171" w:rsidRDefault="00ED2171" w:rsidP="00ED2171">
      <w:pPr>
        <w:spacing w:line="480" w:lineRule="auto"/>
        <w:rPr>
          <w:rFonts w:ascii="Calibri" w:hAnsi="Calibri" w:cs="Calibri"/>
          <w:b/>
          <w:bCs/>
          <w:color w:val="000000" w:themeColor="text1"/>
          <w:szCs w:val="24"/>
        </w:rPr>
      </w:pPr>
      <w:r w:rsidRPr="00ED2171">
        <w:rPr>
          <w:rFonts w:ascii="Calibri" w:hAnsi="Calibri" w:cs="Calibri"/>
          <w:b/>
          <w:bCs/>
          <w:color w:val="000000" w:themeColor="text1"/>
          <w:szCs w:val="24"/>
        </w:rPr>
        <w:t>3.2 Performance Management and Rewards</w:t>
      </w:r>
    </w:p>
    <w:p w14:paraId="587A7FD1" w14:textId="77777777" w:rsidR="00ED2171" w:rsidRPr="00ED2171" w:rsidRDefault="00ED2171" w:rsidP="00ED2171">
      <w:pPr>
        <w:spacing w:line="480" w:lineRule="auto"/>
        <w:rPr>
          <w:rFonts w:ascii="Calibri" w:hAnsi="Calibri" w:cs="Calibri"/>
          <w:color w:val="000000" w:themeColor="text1"/>
          <w:szCs w:val="24"/>
        </w:rPr>
      </w:pPr>
      <w:r w:rsidRPr="00ED2171">
        <w:rPr>
          <w:rFonts w:ascii="Calibri" w:hAnsi="Calibri" w:cs="Calibri"/>
          <w:color w:val="000000" w:themeColor="text1"/>
          <w:szCs w:val="24"/>
        </w:rPr>
        <w:t xml:space="preserve">Performance management systems play a pivotal role in shaping employee engagement by providing clarity, feedback, and recognition. Transparent appraisal processes that emphasize developmental feedback rather than punitive control foster trust and motivation among </w:t>
      </w:r>
      <w:r w:rsidRPr="00ED2171">
        <w:rPr>
          <w:rFonts w:ascii="Calibri" w:hAnsi="Calibri" w:cs="Calibri"/>
          <w:color w:val="000000" w:themeColor="text1"/>
          <w:szCs w:val="24"/>
        </w:rPr>
        <w:lastRenderedPageBreak/>
        <w:t>hospitality employees. Research suggests that fair and consistent performance evaluations enhance perceptions of procedural justice, which in turn promote engagement and organizational commitment (Albrecht et al., 2015).</w:t>
      </w:r>
    </w:p>
    <w:p w14:paraId="6E866145" w14:textId="77777777" w:rsidR="00ED2171" w:rsidRPr="00ED2171" w:rsidRDefault="00ED2171" w:rsidP="00ED2171">
      <w:pPr>
        <w:spacing w:line="480" w:lineRule="auto"/>
        <w:rPr>
          <w:rFonts w:ascii="Calibri" w:hAnsi="Calibri" w:cs="Calibri"/>
          <w:color w:val="000000" w:themeColor="text1"/>
          <w:szCs w:val="24"/>
        </w:rPr>
      </w:pPr>
      <w:r w:rsidRPr="00ED2171">
        <w:rPr>
          <w:rFonts w:ascii="Calibri" w:hAnsi="Calibri" w:cs="Calibri"/>
          <w:color w:val="000000" w:themeColor="text1"/>
          <w:szCs w:val="24"/>
        </w:rPr>
        <w:t>Reward and recognition systems further reinforce engagement by aligning employee efforts with organizational goals. In hospitality organizations, non-financial rewards such as recognition programs, career advancement opportunities, and flexible scheduling have been shown to be particularly effective in motivating employees (Kim et al., 2012). When rewards are perceived as equitable and performance-linked, employees are more likely to invest discretionary effort in service delivery.</w:t>
      </w:r>
    </w:p>
    <w:p w14:paraId="344E86EF" w14:textId="77777777" w:rsidR="00ED2171" w:rsidRPr="00ED2171" w:rsidRDefault="00ED2171" w:rsidP="00ED2171">
      <w:pPr>
        <w:spacing w:line="480" w:lineRule="auto"/>
        <w:rPr>
          <w:rFonts w:ascii="Calibri" w:hAnsi="Calibri" w:cs="Calibri"/>
          <w:b/>
          <w:bCs/>
          <w:color w:val="000000" w:themeColor="text1"/>
          <w:szCs w:val="24"/>
        </w:rPr>
      </w:pPr>
      <w:r w:rsidRPr="00ED2171">
        <w:rPr>
          <w:rFonts w:ascii="Calibri" w:hAnsi="Calibri" w:cs="Calibri"/>
          <w:b/>
          <w:bCs/>
          <w:color w:val="000000" w:themeColor="text1"/>
          <w:szCs w:val="24"/>
        </w:rPr>
        <w:t>3.3 Career Development and Retention</w:t>
      </w:r>
    </w:p>
    <w:p w14:paraId="439B43D5" w14:textId="77777777" w:rsidR="00ED2171" w:rsidRPr="00ED2171" w:rsidRDefault="00ED2171" w:rsidP="00ED2171">
      <w:pPr>
        <w:spacing w:line="480" w:lineRule="auto"/>
        <w:rPr>
          <w:rFonts w:ascii="Calibri" w:hAnsi="Calibri" w:cs="Calibri"/>
          <w:color w:val="000000" w:themeColor="text1"/>
          <w:szCs w:val="24"/>
        </w:rPr>
      </w:pPr>
      <w:r w:rsidRPr="00ED2171">
        <w:rPr>
          <w:rFonts w:ascii="Calibri" w:hAnsi="Calibri" w:cs="Calibri"/>
          <w:color w:val="000000" w:themeColor="text1"/>
          <w:szCs w:val="24"/>
        </w:rPr>
        <w:t>Career development opportunities are crucial for sustaining long-term employee engagement in an industry often criticized for limited career progression. Research indicates that hospitality employees who perceive clear career paths and promotion prospects exhibit stronger engagement and lower turnover intentions (Jung &amp; Yoon, 2015). HRM practices that emphasize internal mobility, mentoring, and succession planning contribute to a sense of job security and professional identity.</w:t>
      </w:r>
    </w:p>
    <w:p w14:paraId="36862762" w14:textId="77777777" w:rsidR="00ED2171" w:rsidRPr="00ED2171" w:rsidRDefault="00ED2171" w:rsidP="00ED2171">
      <w:pPr>
        <w:spacing w:line="480" w:lineRule="auto"/>
        <w:rPr>
          <w:rFonts w:ascii="Calibri" w:hAnsi="Calibri" w:cs="Calibri"/>
          <w:color w:val="000000" w:themeColor="text1"/>
          <w:szCs w:val="24"/>
        </w:rPr>
      </w:pPr>
      <w:r w:rsidRPr="00ED2171">
        <w:rPr>
          <w:rFonts w:ascii="Calibri" w:hAnsi="Calibri" w:cs="Calibri"/>
          <w:color w:val="000000" w:themeColor="text1"/>
          <w:szCs w:val="24"/>
        </w:rPr>
        <w:t>Career development also enhances retention by addressing one of the primary causes of employee turnover in hospitality—perceived stagnation. Studies show that engaged employees are significantly less likely to leave organizations that invest in their long-term career growth, thereby reducing recruitment and training costs (Hom et al., 2017).</w:t>
      </w:r>
    </w:p>
    <w:p w14:paraId="53A1AEBF" w14:textId="125A36AE" w:rsidR="00ED2171" w:rsidRPr="00ED2171" w:rsidRDefault="00ED2171" w:rsidP="00ED2171">
      <w:pPr>
        <w:spacing w:line="480" w:lineRule="auto"/>
        <w:rPr>
          <w:rFonts w:ascii="Calibri" w:hAnsi="Calibri" w:cs="Calibri"/>
          <w:b/>
          <w:bCs/>
          <w:color w:val="000000" w:themeColor="text1"/>
          <w:szCs w:val="24"/>
        </w:rPr>
      </w:pPr>
    </w:p>
    <w:p w14:paraId="7CB9AE8C" w14:textId="77777777" w:rsidR="00ED2171" w:rsidRPr="00ED2171" w:rsidRDefault="00ED2171" w:rsidP="00ED2171">
      <w:pPr>
        <w:spacing w:line="480" w:lineRule="auto"/>
        <w:rPr>
          <w:rFonts w:ascii="Calibri" w:hAnsi="Calibri" w:cs="Calibri"/>
          <w:b/>
          <w:bCs/>
          <w:color w:val="000000" w:themeColor="text1"/>
          <w:szCs w:val="24"/>
        </w:rPr>
      </w:pPr>
      <w:r w:rsidRPr="00ED2171">
        <w:rPr>
          <w:rFonts w:ascii="Calibri" w:hAnsi="Calibri" w:cs="Calibri"/>
          <w:b/>
          <w:bCs/>
          <w:color w:val="000000" w:themeColor="text1"/>
          <w:szCs w:val="24"/>
        </w:rPr>
        <w:lastRenderedPageBreak/>
        <w:t>4. Leadership Styles and Employee Engagement</w:t>
      </w:r>
    </w:p>
    <w:p w14:paraId="7A6A36E7" w14:textId="77777777" w:rsidR="00ED2171" w:rsidRPr="00ED2171" w:rsidRDefault="00ED2171" w:rsidP="00ED2171">
      <w:pPr>
        <w:spacing w:line="480" w:lineRule="auto"/>
        <w:rPr>
          <w:rFonts w:ascii="Calibri" w:hAnsi="Calibri" w:cs="Calibri"/>
          <w:color w:val="000000" w:themeColor="text1"/>
          <w:szCs w:val="24"/>
        </w:rPr>
      </w:pPr>
      <w:r w:rsidRPr="00ED2171">
        <w:rPr>
          <w:rFonts w:ascii="Calibri" w:hAnsi="Calibri" w:cs="Calibri"/>
          <w:color w:val="000000" w:themeColor="text1"/>
          <w:szCs w:val="24"/>
        </w:rPr>
        <w:t>Leadership style is a critical contextual factor influencing the effectiveness of HRM practices in fostering employee engagement. Transformational leadership, characterized by inspiration, individualized consideration, and intellectual stimulation, has been consistently linked to higher engagement levels in hospitality settings (</w:t>
      </w:r>
      <w:proofErr w:type="spellStart"/>
      <w:r w:rsidRPr="00ED2171">
        <w:rPr>
          <w:rFonts w:ascii="Calibri" w:hAnsi="Calibri" w:cs="Calibri"/>
          <w:color w:val="000000" w:themeColor="text1"/>
          <w:szCs w:val="24"/>
        </w:rPr>
        <w:t>Breevaart</w:t>
      </w:r>
      <w:proofErr w:type="spellEnd"/>
      <w:r w:rsidRPr="00ED2171">
        <w:rPr>
          <w:rFonts w:ascii="Calibri" w:hAnsi="Calibri" w:cs="Calibri"/>
          <w:color w:val="000000" w:themeColor="text1"/>
          <w:szCs w:val="24"/>
        </w:rPr>
        <w:t xml:space="preserve"> et al., 2014). Such leaders create supportive environments that empower employees and encourage proactive service </w:t>
      </w:r>
      <w:proofErr w:type="spellStart"/>
      <w:r w:rsidRPr="00ED2171">
        <w:rPr>
          <w:rFonts w:ascii="Calibri" w:hAnsi="Calibri" w:cs="Calibri"/>
          <w:color w:val="000000" w:themeColor="text1"/>
          <w:szCs w:val="24"/>
        </w:rPr>
        <w:t>behaviors</w:t>
      </w:r>
      <w:proofErr w:type="spellEnd"/>
      <w:r w:rsidRPr="00ED2171">
        <w:rPr>
          <w:rFonts w:ascii="Calibri" w:hAnsi="Calibri" w:cs="Calibri"/>
          <w:color w:val="000000" w:themeColor="text1"/>
          <w:szCs w:val="24"/>
        </w:rPr>
        <w:t>.</w:t>
      </w:r>
    </w:p>
    <w:p w14:paraId="57C93A79" w14:textId="77777777" w:rsidR="00ED2171" w:rsidRPr="00ED2171" w:rsidRDefault="00ED2171" w:rsidP="00ED2171">
      <w:pPr>
        <w:spacing w:line="480" w:lineRule="auto"/>
        <w:rPr>
          <w:rFonts w:ascii="Calibri" w:hAnsi="Calibri" w:cs="Calibri"/>
          <w:color w:val="000000" w:themeColor="text1"/>
          <w:szCs w:val="24"/>
        </w:rPr>
      </w:pPr>
      <w:r w:rsidRPr="00ED2171">
        <w:rPr>
          <w:rFonts w:ascii="Calibri" w:hAnsi="Calibri" w:cs="Calibri"/>
          <w:color w:val="000000" w:themeColor="text1"/>
          <w:szCs w:val="24"/>
        </w:rPr>
        <w:t>Conversely, transactional leadership, which emphasizes compliance and performance-based rewards, may yield short-term performance gains but often fails to sustain engagement in emotionally demanding hospitality roles. Studies suggest that authoritarian leadership styles increase emotional exhaustion and disengagement, particularly among frontline service employees (Karatepe, 2012).</w:t>
      </w:r>
    </w:p>
    <w:p w14:paraId="5DD505DA" w14:textId="77777777" w:rsidR="00ED2171" w:rsidRPr="00ED2171" w:rsidRDefault="00ED2171" w:rsidP="00ED2171">
      <w:pPr>
        <w:spacing w:line="480" w:lineRule="auto"/>
        <w:rPr>
          <w:rFonts w:ascii="Calibri" w:hAnsi="Calibri" w:cs="Calibri"/>
          <w:color w:val="000000" w:themeColor="text1"/>
          <w:szCs w:val="24"/>
        </w:rPr>
      </w:pPr>
      <w:r w:rsidRPr="00ED2171">
        <w:rPr>
          <w:rFonts w:ascii="Calibri" w:hAnsi="Calibri" w:cs="Calibri"/>
          <w:color w:val="000000" w:themeColor="text1"/>
          <w:szCs w:val="24"/>
        </w:rPr>
        <w:t>Servant leadership has also gained attention in hospitality research due to its focus on employee well-being and ethical conduct. Evidence indicates that servant leadership enhances trust, psychological safety, and engagement, leading to improved service quality and guest satisfaction (Eva et al., 2019). These findings highlight the importance of leadership development as an integral component of HRM strategy in hospitality organizations.</w:t>
      </w:r>
    </w:p>
    <w:p w14:paraId="504E6A7D" w14:textId="6618BFCC" w:rsidR="00ED2171" w:rsidRDefault="00ED2171" w:rsidP="00ED2171">
      <w:pPr>
        <w:spacing w:line="480" w:lineRule="auto"/>
        <w:rPr>
          <w:rFonts w:ascii="Calibri" w:hAnsi="Calibri" w:cs="Calibri"/>
          <w:b/>
          <w:bCs/>
          <w:color w:val="000000" w:themeColor="text1"/>
          <w:szCs w:val="24"/>
        </w:rPr>
      </w:pPr>
    </w:p>
    <w:p w14:paraId="60B9535B" w14:textId="77777777" w:rsidR="00A8773F" w:rsidRDefault="00A8773F" w:rsidP="00ED2171">
      <w:pPr>
        <w:spacing w:line="480" w:lineRule="auto"/>
        <w:rPr>
          <w:rFonts w:ascii="Calibri" w:hAnsi="Calibri" w:cs="Calibri"/>
          <w:b/>
          <w:bCs/>
          <w:color w:val="000000" w:themeColor="text1"/>
          <w:szCs w:val="24"/>
        </w:rPr>
      </w:pPr>
    </w:p>
    <w:p w14:paraId="12F9C07D" w14:textId="77777777" w:rsidR="00A8773F" w:rsidRDefault="00A8773F" w:rsidP="00ED2171">
      <w:pPr>
        <w:spacing w:line="480" w:lineRule="auto"/>
        <w:rPr>
          <w:rFonts w:ascii="Calibri" w:hAnsi="Calibri" w:cs="Calibri"/>
          <w:b/>
          <w:bCs/>
          <w:color w:val="000000" w:themeColor="text1"/>
          <w:szCs w:val="24"/>
        </w:rPr>
      </w:pPr>
    </w:p>
    <w:p w14:paraId="2DDC9E06" w14:textId="77777777" w:rsidR="0098693A" w:rsidRPr="00ED2171" w:rsidRDefault="0098693A" w:rsidP="00ED2171">
      <w:pPr>
        <w:spacing w:line="480" w:lineRule="auto"/>
        <w:rPr>
          <w:rFonts w:ascii="Calibri" w:hAnsi="Calibri" w:cs="Calibri"/>
          <w:b/>
          <w:bCs/>
          <w:color w:val="000000" w:themeColor="text1"/>
          <w:szCs w:val="24"/>
        </w:rPr>
      </w:pPr>
    </w:p>
    <w:p w14:paraId="6B5825A2" w14:textId="77777777" w:rsidR="00ED2171" w:rsidRPr="00ED2171" w:rsidRDefault="00ED2171" w:rsidP="00ED2171">
      <w:pPr>
        <w:spacing w:line="480" w:lineRule="auto"/>
        <w:rPr>
          <w:rFonts w:ascii="Calibri" w:hAnsi="Calibri" w:cs="Calibri"/>
          <w:b/>
          <w:bCs/>
          <w:color w:val="000000" w:themeColor="text1"/>
          <w:szCs w:val="24"/>
        </w:rPr>
      </w:pPr>
      <w:r w:rsidRPr="00ED2171">
        <w:rPr>
          <w:rFonts w:ascii="Calibri" w:hAnsi="Calibri" w:cs="Calibri"/>
          <w:b/>
          <w:bCs/>
          <w:color w:val="000000" w:themeColor="text1"/>
          <w:szCs w:val="24"/>
        </w:rPr>
        <w:lastRenderedPageBreak/>
        <w:t>5. Employee Well-Being and Engagement</w:t>
      </w:r>
    </w:p>
    <w:p w14:paraId="2FA8AB18" w14:textId="77777777" w:rsidR="00ED2171" w:rsidRPr="00ED2171" w:rsidRDefault="00ED2171" w:rsidP="00ED2171">
      <w:pPr>
        <w:spacing w:line="480" w:lineRule="auto"/>
        <w:rPr>
          <w:rFonts w:ascii="Calibri" w:hAnsi="Calibri" w:cs="Calibri"/>
          <w:color w:val="000000" w:themeColor="text1"/>
          <w:szCs w:val="24"/>
        </w:rPr>
      </w:pPr>
      <w:r w:rsidRPr="00ED2171">
        <w:rPr>
          <w:rFonts w:ascii="Calibri" w:hAnsi="Calibri" w:cs="Calibri"/>
          <w:color w:val="000000" w:themeColor="text1"/>
          <w:szCs w:val="24"/>
        </w:rPr>
        <w:t xml:space="preserve">Employee well-being has emerged as a vital determinant of engagement, particularly in high-stress hospitality environments. Well-being encompasses physical, psychological, and emotional health, all of which influence employees’ capacity to remain engaged at work. Research indicates that hospitality employees face elevated risks of burnout due to irregular schedules, emotional </w:t>
      </w:r>
      <w:proofErr w:type="spellStart"/>
      <w:r w:rsidRPr="00ED2171">
        <w:rPr>
          <w:rFonts w:ascii="Calibri" w:hAnsi="Calibri" w:cs="Calibri"/>
          <w:color w:val="000000" w:themeColor="text1"/>
          <w:szCs w:val="24"/>
        </w:rPr>
        <w:t>labor</w:t>
      </w:r>
      <w:proofErr w:type="spellEnd"/>
      <w:r w:rsidRPr="00ED2171">
        <w:rPr>
          <w:rFonts w:ascii="Calibri" w:hAnsi="Calibri" w:cs="Calibri"/>
          <w:color w:val="000000" w:themeColor="text1"/>
          <w:szCs w:val="24"/>
        </w:rPr>
        <w:t>, and customer-related stressors (Lee &amp; Ok, 2012).</w:t>
      </w:r>
    </w:p>
    <w:p w14:paraId="74B87947" w14:textId="77777777" w:rsidR="00ED2171" w:rsidRPr="00ED2171" w:rsidRDefault="00ED2171" w:rsidP="00ED2171">
      <w:pPr>
        <w:spacing w:line="480" w:lineRule="auto"/>
        <w:rPr>
          <w:rFonts w:ascii="Calibri" w:hAnsi="Calibri" w:cs="Calibri"/>
          <w:color w:val="000000" w:themeColor="text1"/>
          <w:szCs w:val="24"/>
        </w:rPr>
      </w:pPr>
      <w:r w:rsidRPr="00ED2171">
        <w:rPr>
          <w:rFonts w:ascii="Calibri" w:hAnsi="Calibri" w:cs="Calibri"/>
          <w:color w:val="000000" w:themeColor="text1"/>
          <w:szCs w:val="24"/>
        </w:rPr>
        <w:t>HRM practices that promote work-life balance, mental health support, and inclusive workplace cultures play a critical role in mitigating these risks. Studies demonstrate that organizations prioritizing employee well-being experience higher engagement levels, reduced absenteeism, and improved service performance (</w:t>
      </w:r>
      <w:proofErr w:type="spellStart"/>
      <w:r w:rsidRPr="00ED2171">
        <w:rPr>
          <w:rFonts w:ascii="Calibri" w:hAnsi="Calibri" w:cs="Calibri"/>
          <w:color w:val="000000" w:themeColor="text1"/>
          <w:szCs w:val="24"/>
        </w:rPr>
        <w:t>Grawitch</w:t>
      </w:r>
      <w:proofErr w:type="spellEnd"/>
      <w:r w:rsidRPr="00ED2171">
        <w:rPr>
          <w:rFonts w:ascii="Calibri" w:hAnsi="Calibri" w:cs="Calibri"/>
          <w:color w:val="000000" w:themeColor="text1"/>
          <w:szCs w:val="24"/>
        </w:rPr>
        <w:t xml:space="preserve"> et al., 2006). In hospitality contexts, where employee burnout directly affects service quality, well-being-oriented HRM strategies are increasingly recognized as essential rather than optional.</w:t>
      </w:r>
    </w:p>
    <w:p w14:paraId="64119685" w14:textId="7439BD1C" w:rsidR="00ED2171" w:rsidRPr="00ED2171" w:rsidRDefault="00ED2171" w:rsidP="00ED2171">
      <w:pPr>
        <w:spacing w:line="480" w:lineRule="auto"/>
        <w:rPr>
          <w:rFonts w:ascii="Calibri" w:hAnsi="Calibri" w:cs="Calibri"/>
          <w:b/>
          <w:bCs/>
          <w:color w:val="000000" w:themeColor="text1"/>
          <w:szCs w:val="24"/>
        </w:rPr>
      </w:pPr>
    </w:p>
    <w:p w14:paraId="11C864BB" w14:textId="77777777" w:rsidR="00ED2171" w:rsidRPr="00ED2171" w:rsidRDefault="00ED2171" w:rsidP="00ED2171">
      <w:pPr>
        <w:spacing w:line="480" w:lineRule="auto"/>
        <w:rPr>
          <w:rFonts w:ascii="Calibri" w:hAnsi="Calibri" w:cs="Calibri"/>
          <w:b/>
          <w:bCs/>
          <w:color w:val="000000" w:themeColor="text1"/>
          <w:szCs w:val="24"/>
        </w:rPr>
      </w:pPr>
      <w:r w:rsidRPr="00ED2171">
        <w:rPr>
          <w:rFonts w:ascii="Calibri" w:hAnsi="Calibri" w:cs="Calibri"/>
          <w:b/>
          <w:bCs/>
          <w:color w:val="000000" w:themeColor="text1"/>
          <w:szCs w:val="24"/>
        </w:rPr>
        <w:t>6. Impact of Employee Engagement on Organizational Outcomes</w:t>
      </w:r>
    </w:p>
    <w:p w14:paraId="4FCD0970" w14:textId="77777777" w:rsidR="00ED2171" w:rsidRPr="00ED2171" w:rsidRDefault="00ED2171" w:rsidP="00ED2171">
      <w:pPr>
        <w:spacing w:line="480" w:lineRule="auto"/>
        <w:rPr>
          <w:rFonts w:ascii="Calibri" w:hAnsi="Calibri" w:cs="Calibri"/>
          <w:color w:val="000000" w:themeColor="text1"/>
          <w:szCs w:val="24"/>
        </w:rPr>
      </w:pPr>
      <w:r w:rsidRPr="00ED2171">
        <w:rPr>
          <w:rFonts w:ascii="Calibri" w:hAnsi="Calibri" w:cs="Calibri"/>
          <w:color w:val="000000" w:themeColor="text1"/>
          <w:szCs w:val="24"/>
        </w:rPr>
        <w:t xml:space="preserve">The literature consistently demonstrates a strong relationship between employee engagement and key organizational outcomes in hospitality. Engaged employees are more likely to exhibit customer-oriented </w:t>
      </w:r>
      <w:proofErr w:type="spellStart"/>
      <w:r w:rsidRPr="00ED2171">
        <w:rPr>
          <w:rFonts w:ascii="Calibri" w:hAnsi="Calibri" w:cs="Calibri"/>
          <w:color w:val="000000" w:themeColor="text1"/>
          <w:szCs w:val="24"/>
        </w:rPr>
        <w:t>behaviors</w:t>
      </w:r>
      <w:proofErr w:type="spellEnd"/>
      <w:r w:rsidRPr="00ED2171">
        <w:rPr>
          <w:rFonts w:ascii="Calibri" w:hAnsi="Calibri" w:cs="Calibri"/>
          <w:color w:val="000000" w:themeColor="text1"/>
          <w:szCs w:val="24"/>
        </w:rPr>
        <w:t>, resulting in higher guest satisfaction and loyalty (Harter et al., 2002). Moreover, engagement has been linked to improved operational efficiency, reduced service errors, and enhanced organizational reputation.</w:t>
      </w:r>
    </w:p>
    <w:p w14:paraId="07EFEDAD" w14:textId="77777777" w:rsidR="00ED2171" w:rsidRPr="00ED2171" w:rsidRDefault="00ED2171" w:rsidP="00ED2171">
      <w:pPr>
        <w:spacing w:line="480" w:lineRule="auto"/>
        <w:rPr>
          <w:rFonts w:ascii="Calibri" w:hAnsi="Calibri" w:cs="Calibri"/>
          <w:color w:val="000000" w:themeColor="text1"/>
          <w:szCs w:val="24"/>
        </w:rPr>
      </w:pPr>
      <w:r w:rsidRPr="00ED2171">
        <w:rPr>
          <w:rFonts w:ascii="Calibri" w:hAnsi="Calibri" w:cs="Calibri"/>
          <w:color w:val="000000" w:themeColor="text1"/>
          <w:szCs w:val="24"/>
        </w:rPr>
        <w:lastRenderedPageBreak/>
        <w:t>High engagement levels also contribute to lower turnover intentions, a critical advantage in an industry plagued by high attrition rates. Empirical studies confirm that employee engagement mediates the relationship between HRM practices and both employee retention and service quality outcomes (Karatepe, 2013). These findings reinforce the strategic value of engagement-focused HRM systems in achieving sustainable hospitality performance.</w:t>
      </w:r>
    </w:p>
    <w:p w14:paraId="1A7DAD1D" w14:textId="55B573B1" w:rsidR="00ED2171" w:rsidRPr="00ED2171" w:rsidRDefault="00ED2171" w:rsidP="00ED2171">
      <w:pPr>
        <w:spacing w:line="480" w:lineRule="auto"/>
        <w:rPr>
          <w:rFonts w:ascii="Calibri" w:hAnsi="Calibri" w:cs="Calibri"/>
          <w:b/>
          <w:bCs/>
          <w:color w:val="000000" w:themeColor="text1"/>
          <w:szCs w:val="24"/>
        </w:rPr>
      </w:pPr>
    </w:p>
    <w:p w14:paraId="6266EBE7" w14:textId="77777777" w:rsidR="00ED2171" w:rsidRPr="00ED2171" w:rsidRDefault="00ED2171" w:rsidP="00ED2171">
      <w:pPr>
        <w:spacing w:line="480" w:lineRule="auto"/>
        <w:rPr>
          <w:rFonts w:ascii="Calibri" w:hAnsi="Calibri" w:cs="Calibri"/>
          <w:b/>
          <w:bCs/>
          <w:color w:val="000000" w:themeColor="text1"/>
          <w:szCs w:val="24"/>
        </w:rPr>
      </w:pPr>
      <w:r w:rsidRPr="00ED2171">
        <w:rPr>
          <w:rFonts w:ascii="Calibri" w:hAnsi="Calibri" w:cs="Calibri"/>
          <w:b/>
          <w:bCs/>
          <w:color w:val="000000" w:themeColor="text1"/>
          <w:szCs w:val="24"/>
        </w:rPr>
        <w:t>7. Research Gaps and Future Directions</w:t>
      </w:r>
    </w:p>
    <w:p w14:paraId="2174E9DE" w14:textId="77777777" w:rsidR="00ED2171" w:rsidRPr="00ED2171" w:rsidRDefault="00ED2171" w:rsidP="00ED2171">
      <w:pPr>
        <w:spacing w:line="480" w:lineRule="auto"/>
        <w:rPr>
          <w:rFonts w:ascii="Calibri" w:hAnsi="Calibri" w:cs="Calibri"/>
          <w:color w:val="000000" w:themeColor="text1"/>
          <w:szCs w:val="24"/>
        </w:rPr>
      </w:pPr>
      <w:r w:rsidRPr="00ED2171">
        <w:rPr>
          <w:rFonts w:ascii="Calibri" w:hAnsi="Calibri" w:cs="Calibri"/>
          <w:color w:val="000000" w:themeColor="text1"/>
          <w:szCs w:val="24"/>
        </w:rPr>
        <w:t xml:space="preserve">Despite extensive research on HRM and employee engagement, several gaps remain within hospitality literature. Many studies rely on cross-sectional designs, limiting causal inferences between HRM practices and engagement outcomes. Additionally, limited research explores the role of digital HRM systems and post-pandemic work arrangements in shaping employee engagement. Future studies should adopt longitudinal and </w:t>
      </w:r>
      <w:proofErr w:type="gramStart"/>
      <w:r w:rsidRPr="00ED2171">
        <w:rPr>
          <w:rFonts w:ascii="Calibri" w:hAnsi="Calibri" w:cs="Calibri"/>
          <w:color w:val="000000" w:themeColor="text1"/>
          <w:szCs w:val="24"/>
        </w:rPr>
        <w:t>mixed-method</w:t>
      </w:r>
      <w:proofErr w:type="gramEnd"/>
      <w:r w:rsidRPr="00ED2171">
        <w:rPr>
          <w:rFonts w:ascii="Calibri" w:hAnsi="Calibri" w:cs="Calibri"/>
          <w:color w:val="000000" w:themeColor="text1"/>
          <w:szCs w:val="24"/>
        </w:rPr>
        <w:t xml:space="preserve"> approaches to better capture the dynamic nature of engagement in hospitality environments.</w:t>
      </w:r>
    </w:p>
    <w:p w14:paraId="5FA55771" w14:textId="77777777" w:rsidR="00FE31F4" w:rsidRDefault="00FE31F4" w:rsidP="00986B40">
      <w:pPr>
        <w:spacing w:line="480" w:lineRule="auto"/>
        <w:rPr>
          <w:rFonts w:ascii="Calibri" w:hAnsi="Calibri" w:cs="Calibri"/>
          <w:color w:val="000000" w:themeColor="text1"/>
          <w:szCs w:val="24"/>
        </w:rPr>
      </w:pPr>
    </w:p>
    <w:p w14:paraId="07912F6A" w14:textId="77777777" w:rsidR="00ED2171" w:rsidRDefault="00ED2171" w:rsidP="00986B40">
      <w:pPr>
        <w:spacing w:line="480" w:lineRule="auto"/>
        <w:rPr>
          <w:rFonts w:ascii="Calibri" w:hAnsi="Calibri" w:cs="Calibri"/>
          <w:color w:val="000000" w:themeColor="text1"/>
          <w:szCs w:val="24"/>
        </w:rPr>
      </w:pPr>
    </w:p>
    <w:p w14:paraId="62D9CEEF" w14:textId="77777777" w:rsidR="00ED2171" w:rsidRDefault="00ED2171" w:rsidP="00986B40">
      <w:pPr>
        <w:spacing w:line="480" w:lineRule="auto"/>
        <w:rPr>
          <w:rFonts w:ascii="Calibri" w:hAnsi="Calibri" w:cs="Calibri"/>
          <w:color w:val="000000" w:themeColor="text1"/>
          <w:szCs w:val="24"/>
        </w:rPr>
      </w:pPr>
    </w:p>
    <w:p w14:paraId="55367CBE" w14:textId="77777777" w:rsidR="00ED2171" w:rsidRDefault="00ED2171" w:rsidP="00986B40">
      <w:pPr>
        <w:spacing w:line="480" w:lineRule="auto"/>
        <w:rPr>
          <w:rFonts w:ascii="Calibri" w:hAnsi="Calibri" w:cs="Calibri"/>
          <w:color w:val="000000" w:themeColor="text1"/>
          <w:szCs w:val="24"/>
        </w:rPr>
      </w:pPr>
    </w:p>
    <w:p w14:paraId="41E3A81F" w14:textId="77777777" w:rsidR="00ED2171" w:rsidRPr="00CC2A71" w:rsidRDefault="00ED2171" w:rsidP="00986B40">
      <w:pPr>
        <w:spacing w:line="480" w:lineRule="auto"/>
        <w:rPr>
          <w:rFonts w:ascii="Calibri" w:hAnsi="Calibri" w:cs="Calibri"/>
          <w:color w:val="000000" w:themeColor="text1"/>
          <w:szCs w:val="24"/>
        </w:rPr>
      </w:pPr>
    </w:p>
    <w:p w14:paraId="753B424C" w14:textId="77777777" w:rsidR="00FE31F4" w:rsidRPr="00CC2A71" w:rsidRDefault="00FE31F4" w:rsidP="00986B40">
      <w:pPr>
        <w:spacing w:line="480" w:lineRule="auto"/>
        <w:rPr>
          <w:rFonts w:ascii="Calibri" w:hAnsi="Calibri" w:cs="Calibri"/>
          <w:color w:val="000000" w:themeColor="text1"/>
          <w:szCs w:val="24"/>
        </w:rPr>
      </w:pPr>
    </w:p>
    <w:p w14:paraId="5EBAB927" w14:textId="1901FEB4" w:rsidR="000128DF" w:rsidRPr="00CC2A71" w:rsidRDefault="000128DF" w:rsidP="00986B40">
      <w:pPr>
        <w:pStyle w:val="Heading1"/>
        <w:spacing w:line="480" w:lineRule="auto"/>
        <w:rPr>
          <w:rFonts w:ascii="Calibri" w:hAnsi="Calibri" w:cs="Calibri"/>
          <w:b/>
          <w:bCs/>
          <w:color w:val="000000" w:themeColor="text1"/>
          <w:sz w:val="24"/>
          <w:szCs w:val="24"/>
        </w:rPr>
      </w:pPr>
      <w:bookmarkStart w:id="3" w:name="_Toc220957853"/>
      <w:r w:rsidRPr="00CC2A71">
        <w:rPr>
          <w:rFonts w:ascii="Calibri" w:hAnsi="Calibri" w:cs="Calibri"/>
          <w:b/>
          <w:bCs/>
          <w:color w:val="000000" w:themeColor="text1"/>
          <w:sz w:val="24"/>
          <w:szCs w:val="24"/>
        </w:rPr>
        <w:lastRenderedPageBreak/>
        <w:t>Methodology</w:t>
      </w:r>
      <w:bookmarkEnd w:id="3"/>
      <w:r w:rsidRPr="00CC2A71">
        <w:rPr>
          <w:rFonts w:ascii="Calibri" w:hAnsi="Calibri" w:cs="Calibri"/>
          <w:b/>
          <w:bCs/>
          <w:color w:val="000000" w:themeColor="text1"/>
          <w:sz w:val="24"/>
          <w:szCs w:val="24"/>
        </w:rPr>
        <w:t xml:space="preserve"> </w:t>
      </w:r>
    </w:p>
    <w:p w14:paraId="32B01BFD" w14:textId="77777777" w:rsidR="0098693A" w:rsidRPr="0098693A" w:rsidRDefault="0098693A" w:rsidP="0098693A">
      <w:pPr>
        <w:spacing w:line="480" w:lineRule="auto"/>
        <w:rPr>
          <w:rFonts w:ascii="Calibri" w:hAnsi="Calibri" w:cs="Calibri"/>
          <w:b/>
          <w:bCs/>
          <w:color w:val="000000" w:themeColor="text1"/>
          <w:szCs w:val="24"/>
        </w:rPr>
      </w:pPr>
      <w:r w:rsidRPr="0098693A">
        <w:rPr>
          <w:rFonts w:ascii="Calibri" w:hAnsi="Calibri" w:cs="Calibri"/>
          <w:b/>
          <w:bCs/>
          <w:color w:val="000000" w:themeColor="text1"/>
          <w:szCs w:val="24"/>
        </w:rPr>
        <w:t>Research Design</w:t>
      </w:r>
    </w:p>
    <w:p w14:paraId="292E8125" w14:textId="77777777" w:rsidR="0098693A" w:rsidRPr="0098693A" w:rsidRDefault="0098693A" w:rsidP="0098693A">
      <w:pPr>
        <w:spacing w:line="480" w:lineRule="auto"/>
        <w:rPr>
          <w:rFonts w:ascii="Calibri" w:hAnsi="Calibri" w:cs="Calibri"/>
          <w:color w:val="000000" w:themeColor="text1"/>
          <w:szCs w:val="24"/>
        </w:rPr>
      </w:pPr>
      <w:r w:rsidRPr="0098693A">
        <w:rPr>
          <w:rFonts w:ascii="Calibri" w:hAnsi="Calibri" w:cs="Calibri"/>
          <w:color w:val="000000" w:themeColor="text1"/>
          <w:szCs w:val="24"/>
        </w:rPr>
        <w:t xml:space="preserve">This study adopts a qualitative research design based on a systematic review of existing academic literature and industry case studies related to Human Resource Management (HRM) and employee engagement in the hospitality industry. A qualitative approach is appropriate for this research as it enables an in-depth understanding of complex organizational practices, leadership </w:t>
      </w:r>
      <w:proofErr w:type="spellStart"/>
      <w:r w:rsidRPr="0098693A">
        <w:rPr>
          <w:rFonts w:ascii="Calibri" w:hAnsi="Calibri" w:cs="Calibri"/>
          <w:color w:val="000000" w:themeColor="text1"/>
          <w:szCs w:val="24"/>
        </w:rPr>
        <w:t>behaviors</w:t>
      </w:r>
      <w:proofErr w:type="spellEnd"/>
      <w:r w:rsidRPr="0098693A">
        <w:rPr>
          <w:rFonts w:ascii="Calibri" w:hAnsi="Calibri" w:cs="Calibri"/>
          <w:color w:val="000000" w:themeColor="text1"/>
          <w:szCs w:val="24"/>
        </w:rPr>
        <w:t>, and employee experiences that cannot be adequately captured through numerical data alone. By synthesizing findings from prior empirical studies, this research seeks to identify patterns, relationships, and best practices that explain how HRM strategies influence employee engagement, satisfaction, and organizational performance within hospitality contexts.</w:t>
      </w:r>
    </w:p>
    <w:p w14:paraId="781D1FCF" w14:textId="77777777" w:rsidR="0098693A" w:rsidRPr="0098693A" w:rsidRDefault="0098693A" w:rsidP="0098693A">
      <w:pPr>
        <w:spacing w:line="480" w:lineRule="auto"/>
        <w:rPr>
          <w:rFonts w:ascii="Calibri" w:hAnsi="Calibri" w:cs="Calibri"/>
          <w:color w:val="000000" w:themeColor="text1"/>
          <w:szCs w:val="24"/>
        </w:rPr>
      </w:pPr>
      <w:r w:rsidRPr="0098693A">
        <w:rPr>
          <w:rFonts w:ascii="Calibri" w:hAnsi="Calibri" w:cs="Calibri"/>
          <w:color w:val="000000" w:themeColor="text1"/>
          <w:szCs w:val="24"/>
        </w:rPr>
        <w:t>The qualitative design also allows for critical evaluation of theoretical frameworks, including Social Exchange Theory, the Job Demands–Resources (JD–R) model, and the Ability–Motivation–Opportunity (AMO) framework, which underpin the relationship between HRM practices and employee engagement. This approach supports the development of well-grounded insights relevant to both academic research and managerial practice.</w:t>
      </w:r>
    </w:p>
    <w:p w14:paraId="105A5152" w14:textId="1FF2F761" w:rsidR="0098693A" w:rsidRPr="0098693A" w:rsidRDefault="0098693A" w:rsidP="0098693A">
      <w:pPr>
        <w:spacing w:line="480" w:lineRule="auto"/>
        <w:rPr>
          <w:rFonts w:ascii="Calibri" w:hAnsi="Calibri" w:cs="Calibri"/>
          <w:color w:val="000000" w:themeColor="text1"/>
          <w:szCs w:val="24"/>
        </w:rPr>
      </w:pPr>
    </w:p>
    <w:p w14:paraId="73EE79D9" w14:textId="77777777" w:rsidR="0098693A" w:rsidRPr="0098693A" w:rsidRDefault="0098693A" w:rsidP="0098693A">
      <w:pPr>
        <w:spacing w:line="480" w:lineRule="auto"/>
        <w:rPr>
          <w:rFonts w:ascii="Calibri" w:hAnsi="Calibri" w:cs="Calibri"/>
          <w:b/>
          <w:bCs/>
          <w:color w:val="000000" w:themeColor="text1"/>
          <w:szCs w:val="24"/>
        </w:rPr>
      </w:pPr>
      <w:r w:rsidRPr="0098693A">
        <w:rPr>
          <w:rFonts w:ascii="Calibri" w:hAnsi="Calibri" w:cs="Calibri"/>
          <w:b/>
          <w:bCs/>
          <w:color w:val="000000" w:themeColor="text1"/>
          <w:szCs w:val="24"/>
        </w:rPr>
        <w:t>Data Collection Methods</w:t>
      </w:r>
    </w:p>
    <w:p w14:paraId="1EC5697A" w14:textId="77777777" w:rsidR="0098693A" w:rsidRPr="0098693A" w:rsidRDefault="0098693A" w:rsidP="0098693A">
      <w:pPr>
        <w:spacing w:line="480" w:lineRule="auto"/>
        <w:rPr>
          <w:rFonts w:ascii="Calibri" w:hAnsi="Calibri" w:cs="Calibri"/>
          <w:color w:val="000000" w:themeColor="text1"/>
          <w:szCs w:val="24"/>
        </w:rPr>
      </w:pPr>
      <w:r w:rsidRPr="0098693A">
        <w:rPr>
          <w:rFonts w:ascii="Calibri" w:hAnsi="Calibri" w:cs="Calibri"/>
          <w:color w:val="000000" w:themeColor="text1"/>
          <w:szCs w:val="24"/>
        </w:rPr>
        <w:t xml:space="preserve">Data for this study were collected through an extensive review of secondary sources, including peer-reviewed journal articles, academic books, industry reports, and published case studies. Academic databases such as Scopus, Web of Science, Google Scholar, and ScienceDirect were used to identify high-quality and relevant literature. Keywords used in the search process </w:t>
      </w:r>
      <w:r w:rsidRPr="0098693A">
        <w:rPr>
          <w:rFonts w:ascii="Calibri" w:hAnsi="Calibri" w:cs="Calibri"/>
          <w:color w:val="000000" w:themeColor="text1"/>
          <w:szCs w:val="24"/>
        </w:rPr>
        <w:lastRenderedPageBreak/>
        <w:t xml:space="preserve">included </w:t>
      </w:r>
      <w:r w:rsidRPr="0098693A">
        <w:rPr>
          <w:rFonts w:ascii="Calibri" w:hAnsi="Calibri" w:cs="Calibri"/>
          <w:i/>
          <w:iCs/>
          <w:color w:val="000000" w:themeColor="text1"/>
          <w:szCs w:val="24"/>
        </w:rPr>
        <w:t>employee engagement</w:t>
      </w:r>
      <w:r w:rsidRPr="0098693A">
        <w:rPr>
          <w:rFonts w:ascii="Calibri" w:hAnsi="Calibri" w:cs="Calibri"/>
          <w:color w:val="000000" w:themeColor="text1"/>
          <w:szCs w:val="24"/>
        </w:rPr>
        <w:t xml:space="preserve">, </w:t>
      </w:r>
      <w:r w:rsidRPr="0098693A">
        <w:rPr>
          <w:rFonts w:ascii="Calibri" w:hAnsi="Calibri" w:cs="Calibri"/>
          <w:i/>
          <w:iCs/>
          <w:color w:val="000000" w:themeColor="text1"/>
          <w:szCs w:val="24"/>
        </w:rPr>
        <w:t>human resource management</w:t>
      </w:r>
      <w:r w:rsidRPr="0098693A">
        <w:rPr>
          <w:rFonts w:ascii="Calibri" w:hAnsi="Calibri" w:cs="Calibri"/>
          <w:color w:val="000000" w:themeColor="text1"/>
          <w:szCs w:val="24"/>
        </w:rPr>
        <w:t xml:space="preserve">, </w:t>
      </w:r>
      <w:r w:rsidRPr="0098693A">
        <w:rPr>
          <w:rFonts w:ascii="Calibri" w:hAnsi="Calibri" w:cs="Calibri"/>
          <w:i/>
          <w:iCs/>
          <w:color w:val="000000" w:themeColor="text1"/>
          <w:szCs w:val="24"/>
        </w:rPr>
        <w:t>hospitality industry</w:t>
      </w:r>
      <w:r w:rsidRPr="0098693A">
        <w:rPr>
          <w:rFonts w:ascii="Calibri" w:hAnsi="Calibri" w:cs="Calibri"/>
          <w:color w:val="000000" w:themeColor="text1"/>
          <w:szCs w:val="24"/>
        </w:rPr>
        <w:t xml:space="preserve">, </w:t>
      </w:r>
      <w:r w:rsidRPr="0098693A">
        <w:rPr>
          <w:rFonts w:ascii="Calibri" w:hAnsi="Calibri" w:cs="Calibri"/>
          <w:i/>
          <w:iCs/>
          <w:color w:val="000000" w:themeColor="text1"/>
          <w:szCs w:val="24"/>
        </w:rPr>
        <w:t>leadership styles</w:t>
      </w:r>
      <w:r w:rsidRPr="0098693A">
        <w:rPr>
          <w:rFonts w:ascii="Calibri" w:hAnsi="Calibri" w:cs="Calibri"/>
          <w:color w:val="000000" w:themeColor="text1"/>
          <w:szCs w:val="24"/>
        </w:rPr>
        <w:t xml:space="preserve">, </w:t>
      </w:r>
      <w:r w:rsidRPr="0098693A">
        <w:rPr>
          <w:rFonts w:ascii="Calibri" w:hAnsi="Calibri" w:cs="Calibri"/>
          <w:i/>
          <w:iCs/>
          <w:color w:val="000000" w:themeColor="text1"/>
          <w:szCs w:val="24"/>
        </w:rPr>
        <w:t>employee well-being</w:t>
      </w:r>
      <w:r w:rsidRPr="0098693A">
        <w:rPr>
          <w:rFonts w:ascii="Calibri" w:hAnsi="Calibri" w:cs="Calibri"/>
          <w:color w:val="000000" w:themeColor="text1"/>
          <w:szCs w:val="24"/>
        </w:rPr>
        <w:t xml:space="preserve">, and </w:t>
      </w:r>
      <w:r w:rsidRPr="0098693A">
        <w:rPr>
          <w:rFonts w:ascii="Calibri" w:hAnsi="Calibri" w:cs="Calibri"/>
          <w:i/>
          <w:iCs/>
          <w:color w:val="000000" w:themeColor="text1"/>
          <w:szCs w:val="24"/>
        </w:rPr>
        <w:t>service performance</w:t>
      </w:r>
      <w:r w:rsidRPr="0098693A">
        <w:rPr>
          <w:rFonts w:ascii="Calibri" w:hAnsi="Calibri" w:cs="Calibri"/>
          <w:color w:val="000000" w:themeColor="text1"/>
          <w:szCs w:val="24"/>
        </w:rPr>
        <w:t>.</w:t>
      </w:r>
    </w:p>
    <w:p w14:paraId="166C39AD" w14:textId="77777777" w:rsidR="0098693A" w:rsidRPr="0098693A" w:rsidRDefault="0098693A" w:rsidP="0098693A">
      <w:pPr>
        <w:spacing w:line="480" w:lineRule="auto"/>
        <w:rPr>
          <w:rFonts w:ascii="Calibri" w:hAnsi="Calibri" w:cs="Calibri"/>
          <w:color w:val="000000" w:themeColor="text1"/>
          <w:szCs w:val="24"/>
        </w:rPr>
      </w:pPr>
      <w:r w:rsidRPr="0098693A">
        <w:rPr>
          <w:rFonts w:ascii="Calibri" w:hAnsi="Calibri" w:cs="Calibri"/>
          <w:color w:val="000000" w:themeColor="text1"/>
          <w:szCs w:val="24"/>
        </w:rPr>
        <w:t>In addition to academic literature, publicly available case studies of leading hospitality organizations—such as multinational hotel chains—were examined to provide practical insights into the implementation of engagement-focused HRM strategies. Only sources published in reputable journals and industry publications were included to ensure the credibility and reliability of the data.</w:t>
      </w:r>
    </w:p>
    <w:p w14:paraId="50ED58D8" w14:textId="4708F5C4" w:rsidR="0098693A" w:rsidRPr="0098693A" w:rsidRDefault="0098693A" w:rsidP="0098693A">
      <w:pPr>
        <w:spacing w:line="480" w:lineRule="auto"/>
        <w:rPr>
          <w:rFonts w:ascii="Calibri" w:hAnsi="Calibri" w:cs="Calibri"/>
          <w:color w:val="000000" w:themeColor="text1"/>
          <w:szCs w:val="24"/>
        </w:rPr>
      </w:pPr>
    </w:p>
    <w:p w14:paraId="3C763CBF" w14:textId="77777777" w:rsidR="0098693A" w:rsidRPr="0098693A" w:rsidRDefault="0098693A" w:rsidP="0098693A">
      <w:pPr>
        <w:spacing w:line="480" w:lineRule="auto"/>
        <w:rPr>
          <w:rFonts w:ascii="Calibri" w:hAnsi="Calibri" w:cs="Calibri"/>
          <w:b/>
          <w:bCs/>
          <w:color w:val="000000" w:themeColor="text1"/>
          <w:szCs w:val="24"/>
        </w:rPr>
      </w:pPr>
      <w:r w:rsidRPr="0098693A">
        <w:rPr>
          <w:rFonts w:ascii="Calibri" w:hAnsi="Calibri" w:cs="Calibri"/>
          <w:b/>
          <w:bCs/>
          <w:color w:val="000000" w:themeColor="text1"/>
          <w:szCs w:val="24"/>
        </w:rPr>
        <w:t>Sampling and Selection Criteria</w:t>
      </w:r>
    </w:p>
    <w:p w14:paraId="1F0542E8" w14:textId="77777777" w:rsidR="0098693A" w:rsidRPr="0098693A" w:rsidRDefault="0098693A" w:rsidP="0098693A">
      <w:pPr>
        <w:spacing w:line="480" w:lineRule="auto"/>
        <w:rPr>
          <w:rFonts w:ascii="Calibri" w:hAnsi="Calibri" w:cs="Calibri"/>
          <w:color w:val="000000" w:themeColor="text1"/>
          <w:szCs w:val="24"/>
        </w:rPr>
      </w:pPr>
      <w:r w:rsidRPr="0098693A">
        <w:rPr>
          <w:rFonts w:ascii="Calibri" w:hAnsi="Calibri" w:cs="Calibri"/>
          <w:color w:val="000000" w:themeColor="text1"/>
          <w:szCs w:val="24"/>
        </w:rPr>
        <w:t>A purposive sampling technique was employed to select relevant literature and case studies that directly addressed the research objectives. Inclusion criteria required that studies focus on HRM practices, employee engagement, or leadership within hospitality or closely related service industries. Priority was given to peer-reviewed journal articles published within the last fifteen years to ensure contemporary relevance, although seminal works were also included to establish theoretical foundations.</w:t>
      </w:r>
    </w:p>
    <w:p w14:paraId="27E477C1" w14:textId="77777777" w:rsidR="0098693A" w:rsidRPr="0098693A" w:rsidRDefault="0098693A" w:rsidP="0098693A">
      <w:pPr>
        <w:spacing w:line="480" w:lineRule="auto"/>
        <w:rPr>
          <w:rFonts w:ascii="Calibri" w:hAnsi="Calibri" w:cs="Calibri"/>
          <w:color w:val="000000" w:themeColor="text1"/>
          <w:szCs w:val="24"/>
        </w:rPr>
      </w:pPr>
      <w:r w:rsidRPr="0098693A">
        <w:rPr>
          <w:rFonts w:ascii="Calibri" w:hAnsi="Calibri" w:cs="Calibri"/>
          <w:color w:val="000000" w:themeColor="text1"/>
          <w:szCs w:val="24"/>
        </w:rPr>
        <w:t>Studies that lacked empirical rigor, methodological transparency, or direct relevance to hospitality settings were excluded. This selective approach ensured that the analysis was grounded in high-quality evidence and aligned with the specific context of the hospitality industry.</w:t>
      </w:r>
    </w:p>
    <w:p w14:paraId="02D2E6CE" w14:textId="3DC93C84" w:rsidR="0098693A" w:rsidRPr="0098693A" w:rsidRDefault="0098693A" w:rsidP="0098693A">
      <w:pPr>
        <w:spacing w:line="480" w:lineRule="auto"/>
        <w:rPr>
          <w:rFonts w:ascii="Calibri" w:hAnsi="Calibri" w:cs="Calibri"/>
          <w:color w:val="000000" w:themeColor="text1"/>
          <w:szCs w:val="24"/>
        </w:rPr>
      </w:pPr>
    </w:p>
    <w:p w14:paraId="6FED2F72" w14:textId="77777777" w:rsidR="0098693A" w:rsidRPr="0098693A" w:rsidRDefault="0098693A" w:rsidP="0098693A">
      <w:pPr>
        <w:spacing w:line="480" w:lineRule="auto"/>
        <w:rPr>
          <w:rFonts w:ascii="Calibri" w:hAnsi="Calibri" w:cs="Calibri"/>
          <w:b/>
          <w:bCs/>
          <w:color w:val="000000" w:themeColor="text1"/>
          <w:szCs w:val="24"/>
        </w:rPr>
      </w:pPr>
      <w:r w:rsidRPr="0098693A">
        <w:rPr>
          <w:rFonts w:ascii="Calibri" w:hAnsi="Calibri" w:cs="Calibri"/>
          <w:b/>
          <w:bCs/>
          <w:color w:val="000000" w:themeColor="text1"/>
          <w:szCs w:val="24"/>
        </w:rPr>
        <w:lastRenderedPageBreak/>
        <w:t>Data Analysis</w:t>
      </w:r>
    </w:p>
    <w:p w14:paraId="7942149C" w14:textId="77777777" w:rsidR="0098693A" w:rsidRPr="0098693A" w:rsidRDefault="0098693A" w:rsidP="0098693A">
      <w:pPr>
        <w:spacing w:line="480" w:lineRule="auto"/>
        <w:rPr>
          <w:rFonts w:ascii="Calibri" w:hAnsi="Calibri" w:cs="Calibri"/>
          <w:color w:val="000000" w:themeColor="text1"/>
          <w:szCs w:val="24"/>
        </w:rPr>
      </w:pPr>
      <w:r w:rsidRPr="0098693A">
        <w:rPr>
          <w:rFonts w:ascii="Calibri" w:hAnsi="Calibri" w:cs="Calibri"/>
          <w:color w:val="000000" w:themeColor="text1"/>
          <w:szCs w:val="24"/>
        </w:rPr>
        <w:t xml:space="preserve">The collected data were </w:t>
      </w:r>
      <w:proofErr w:type="spellStart"/>
      <w:r w:rsidRPr="0098693A">
        <w:rPr>
          <w:rFonts w:ascii="Calibri" w:hAnsi="Calibri" w:cs="Calibri"/>
          <w:color w:val="000000" w:themeColor="text1"/>
          <w:szCs w:val="24"/>
        </w:rPr>
        <w:t>analyzed</w:t>
      </w:r>
      <w:proofErr w:type="spellEnd"/>
      <w:r w:rsidRPr="0098693A">
        <w:rPr>
          <w:rFonts w:ascii="Calibri" w:hAnsi="Calibri" w:cs="Calibri"/>
          <w:color w:val="000000" w:themeColor="text1"/>
          <w:szCs w:val="24"/>
        </w:rPr>
        <w:t xml:space="preserve"> using thematic analysis, which involves identifying, </w:t>
      </w:r>
      <w:proofErr w:type="spellStart"/>
      <w:r w:rsidRPr="0098693A">
        <w:rPr>
          <w:rFonts w:ascii="Calibri" w:hAnsi="Calibri" w:cs="Calibri"/>
          <w:color w:val="000000" w:themeColor="text1"/>
          <w:szCs w:val="24"/>
        </w:rPr>
        <w:t>analyzing</w:t>
      </w:r>
      <w:proofErr w:type="spellEnd"/>
      <w:r w:rsidRPr="0098693A">
        <w:rPr>
          <w:rFonts w:ascii="Calibri" w:hAnsi="Calibri" w:cs="Calibri"/>
          <w:color w:val="000000" w:themeColor="text1"/>
          <w:szCs w:val="24"/>
        </w:rPr>
        <w:t>, and interpreting recurring themes within qualitative data. This method was chosen for its effectiveness in synthesizing findings across multiple sources and generating meaningful insights. The analysis process followed a systematic approach, beginning with familiarization with the data, followed by coding of key concepts related to HRM practices, leadership styles, employee well-being, and engagement outcomes.</w:t>
      </w:r>
    </w:p>
    <w:p w14:paraId="771DA0AD" w14:textId="77777777" w:rsidR="0098693A" w:rsidRPr="0098693A" w:rsidRDefault="0098693A" w:rsidP="0098693A">
      <w:pPr>
        <w:spacing w:line="480" w:lineRule="auto"/>
        <w:rPr>
          <w:rFonts w:ascii="Calibri" w:hAnsi="Calibri" w:cs="Calibri"/>
          <w:color w:val="000000" w:themeColor="text1"/>
          <w:szCs w:val="24"/>
        </w:rPr>
      </w:pPr>
      <w:r w:rsidRPr="0098693A">
        <w:rPr>
          <w:rFonts w:ascii="Calibri" w:hAnsi="Calibri" w:cs="Calibri"/>
          <w:color w:val="000000" w:themeColor="text1"/>
          <w:szCs w:val="24"/>
        </w:rPr>
        <w:t xml:space="preserve">Themes were then categorized and interpreted in relation to the study’s theoretical frameworks. For example, HRM practices such as training and rewards were examined through the lens of Social Exchange Theory, while job resources and leadership support were </w:t>
      </w:r>
      <w:proofErr w:type="spellStart"/>
      <w:r w:rsidRPr="0098693A">
        <w:rPr>
          <w:rFonts w:ascii="Calibri" w:hAnsi="Calibri" w:cs="Calibri"/>
          <w:color w:val="000000" w:themeColor="text1"/>
          <w:szCs w:val="24"/>
        </w:rPr>
        <w:t>analyzed</w:t>
      </w:r>
      <w:proofErr w:type="spellEnd"/>
      <w:r w:rsidRPr="0098693A">
        <w:rPr>
          <w:rFonts w:ascii="Calibri" w:hAnsi="Calibri" w:cs="Calibri"/>
          <w:color w:val="000000" w:themeColor="text1"/>
          <w:szCs w:val="24"/>
        </w:rPr>
        <w:t xml:space="preserve"> using the JD–R model. This analytical approach enabled a comprehensive understanding of how different HRM elements interact to influence employee engagement and organizational performance.</w:t>
      </w:r>
    </w:p>
    <w:p w14:paraId="46A9FE5D" w14:textId="6C236566" w:rsidR="0098693A" w:rsidRPr="0098693A" w:rsidRDefault="0098693A" w:rsidP="0098693A">
      <w:pPr>
        <w:spacing w:line="480" w:lineRule="auto"/>
        <w:rPr>
          <w:rFonts w:ascii="Calibri" w:hAnsi="Calibri" w:cs="Calibri"/>
          <w:color w:val="000000" w:themeColor="text1"/>
          <w:szCs w:val="24"/>
        </w:rPr>
      </w:pPr>
    </w:p>
    <w:p w14:paraId="029016D2" w14:textId="77777777" w:rsidR="0098693A" w:rsidRPr="0098693A" w:rsidRDefault="0098693A" w:rsidP="0098693A">
      <w:pPr>
        <w:spacing w:line="480" w:lineRule="auto"/>
        <w:rPr>
          <w:rFonts w:ascii="Calibri" w:hAnsi="Calibri" w:cs="Calibri"/>
          <w:b/>
          <w:bCs/>
          <w:color w:val="000000" w:themeColor="text1"/>
          <w:szCs w:val="24"/>
        </w:rPr>
      </w:pPr>
      <w:r w:rsidRPr="0098693A">
        <w:rPr>
          <w:rFonts w:ascii="Calibri" w:hAnsi="Calibri" w:cs="Calibri"/>
          <w:b/>
          <w:bCs/>
          <w:color w:val="000000" w:themeColor="text1"/>
          <w:szCs w:val="24"/>
        </w:rPr>
        <w:t>Ethical Considerations</w:t>
      </w:r>
    </w:p>
    <w:p w14:paraId="6CC83261" w14:textId="77777777" w:rsidR="0098693A" w:rsidRPr="0098693A" w:rsidRDefault="0098693A" w:rsidP="0098693A">
      <w:pPr>
        <w:spacing w:line="480" w:lineRule="auto"/>
        <w:rPr>
          <w:rFonts w:ascii="Calibri" w:hAnsi="Calibri" w:cs="Calibri"/>
          <w:color w:val="000000" w:themeColor="text1"/>
          <w:szCs w:val="24"/>
        </w:rPr>
      </w:pPr>
      <w:r w:rsidRPr="0098693A">
        <w:rPr>
          <w:rFonts w:ascii="Calibri" w:hAnsi="Calibri" w:cs="Calibri"/>
          <w:color w:val="000000" w:themeColor="text1"/>
          <w:szCs w:val="24"/>
        </w:rPr>
        <w:t>As this study relied exclusively on secondary data, no direct involvement of human participants was required. Ethical concerns related to confidentiality, informed consent, and anonymity were therefore minimal. Nevertheless, ethical research standards were maintained by accurately citing all sources, avoiding plagiarism, and ensuring objective interpretation of findings. The use of reputable and peer-reviewed sources further strengthened the ethical integrity of the research.</w:t>
      </w:r>
    </w:p>
    <w:p w14:paraId="5741A701" w14:textId="3F46F674" w:rsidR="0098693A" w:rsidRPr="0098693A" w:rsidRDefault="0098693A" w:rsidP="0098693A">
      <w:pPr>
        <w:spacing w:line="480" w:lineRule="auto"/>
        <w:rPr>
          <w:rFonts w:ascii="Calibri" w:hAnsi="Calibri" w:cs="Calibri"/>
          <w:color w:val="000000" w:themeColor="text1"/>
          <w:szCs w:val="24"/>
        </w:rPr>
      </w:pPr>
    </w:p>
    <w:p w14:paraId="0CB0B432" w14:textId="77777777" w:rsidR="0098693A" w:rsidRPr="0098693A" w:rsidRDefault="0098693A" w:rsidP="0098693A">
      <w:pPr>
        <w:spacing w:line="480" w:lineRule="auto"/>
        <w:rPr>
          <w:rFonts w:ascii="Calibri" w:hAnsi="Calibri" w:cs="Calibri"/>
          <w:b/>
          <w:bCs/>
          <w:color w:val="000000" w:themeColor="text1"/>
          <w:szCs w:val="24"/>
        </w:rPr>
      </w:pPr>
      <w:r w:rsidRPr="0098693A">
        <w:rPr>
          <w:rFonts w:ascii="Calibri" w:hAnsi="Calibri" w:cs="Calibri"/>
          <w:b/>
          <w:bCs/>
          <w:color w:val="000000" w:themeColor="text1"/>
          <w:szCs w:val="24"/>
        </w:rPr>
        <w:t>Limitations of the Methodology</w:t>
      </w:r>
    </w:p>
    <w:p w14:paraId="71FDAC0A" w14:textId="77777777" w:rsidR="0098693A" w:rsidRPr="0098693A" w:rsidRDefault="0098693A" w:rsidP="0098693A">
      <w:pPr>
        <w:spacing w:line="480" w:lineRule="auto"/>
        <w:rPr>
          <w:rFonts w:ascii="Calibri" w:hAnsi="Calibri" w:cs="Calibri"/>
          <w:color w:val="000000" w:themeColor="text1"/>
          <w:szCs w:val="24"/>
        </w:rPr>
      </w:pPr>
      <w:r w:rsidRPr="0098693A">
        <w:rPr>
          <w:rFonts w:ascii="Calibri" w:hAnsi="Calibri" w:cs="Calibri"/>
          <w:color w:val="000000" w:themeColor="text1"/>
          <w:szCs w:val="24"/>
        </w:rPr>
        <w:t>Despite its strengths, this methodology has certain limitations. The reliance on secondary data may restrict the ability to capture real-time employee perceptions and organizational dynamics. Additionally, the qualitative nature of the study limits generalizability. However, the use of diverse and high-quality sources enhances the robustness and applicability of the findings within hospitality contexts.</w:t>
      </w:r>
    </w:p>
    <w:p w14:paraId="727E74A9" w14:textId="77777777" w:rsidR="00FE31F4" w:rsidRDefault="00FE31F4" w:rsidP="00986B40">
      <w:pPr>
        <w:spacing w:line="480" w:lineRule="auto"/>
        <w:jc w:val="center"/>
        <w:rPr>
          <w:rFonts w:ascii="Calibri" w:hAnsi="Calibri" w:cs="Calibri"/>
          <w:b/>
          <w:bCs/>
          <w:color w:val="000000" w:themeColor="text1"/>
          <w:szCs w:val="24"/>
        </w:rPr>
      </w:pPr>
    </w:p>
    <w:p w14:paraId="085B4CA9" w14:textId="77777777" w:rsidR="0098693A" w:rsidRDefault="0098693A" w:rsidP="00986B40">
      <w:pPr>
        <w:spacing w:line="480" w:lineRule="auto"/>
        <w:jc w:val="center"/>
        <w:rPr>
          <w:rFonts w:ascii="Calibri" w:hAnsi="Calibri" w:cs="Calibri"/>
          <w:b/>
          <w:bCs/>
          <w:color w:val="000000" w:themeColor="text1"/>
          <w:szCs w:val="24"/>
        </w:rPr>
      </w:pPr>
    </w:p>
    <w:p w14:paraId="477C38E2" w14:textId="77777777" w:rsidR="0098693A" w:rsidRDefault="0098693A" w:rsidP="00986B40">
      <w:pPr>
        <w:spacing w:line="480" w:lineRule="auto"/>
        <w:jc w:val="center"/>
        <w:rPr>
          <w:rFonts w:ascii="Calibri" w:hAnsi="Calibri" w:cs="Calibri"/>
          <w:b/>
          <w:bCs/>
          <w:color w:val="000000" w:themeColor="text1"/>
          <w:szCs w:val="24"/>
        </w:rPr>
      </w:pPr>
    </w:p>
    <w:p w14:paraId="7296AF7A" w14:textId="77777777" w:rsidR="0098693A" w:rsidRDefault="0098693A" w:rsidP="00986B40">
      <w:pPr>
        <w:spacing w:line="480" w:lineRule="auto"/>
        <w:jc w:val="center"/>
        <w:rPr>
          <w:rFonts w:ascii="Calibri" w:hAnsi="Calibri" w:cs="Calibri"/>
          <w:b/>
          <w:bCs/>
          <w:color w:val="000000" w:themeColor="text1"/>
          <w:szCs w:val="24"/>
        </w:rPr>
      </w:pPr>
    </w:p>
    <w:p w14:paraId="5A92C4E0" w14:textId="77777777" w:rsidR="0098693A" w:rsidRDefault="0098693A" w:rsidP="00986B40">
      <w:pPr>
        <w:spacing w:line="480" w:lineRule="auto"/>
        <w:jc w:val="center"/>
        <w:rPr>
          <w:rFonts w:ascii="Calibri" w:hAnsi="Calibri" w:cs="Calibri"/>
          <w:b/>
          <w:bCs/>
          <w:color w:val="000000" w:themeColor="text1"/>
          <w:szCs w:val="24"/>
        </w:rPr>
      </w:pPr>
    </w:p>
    <w:p w14:paraId="73CC6BBD" w14:textId="77777777" w:rsidR="0098693A" w:rsidRDefault="0098693A" w:rsidP="00986B40">
      <w:pPr>
        <w:spacing w:line="480" w:lineRule="auto"/>
        <w:jc w:val="center"/>
        <w:rPr>
          <w:rFonts w:ascii="Calibri" w:hAnsi="Calibri" w:cs="Calibri"/>
          <w:b/>
          <w:bCs/>
          <w:color w:val="000000" w:themeColor="text1"/>
          <w:szCs w:val="24"/>
        </w:rPr>
      </w:pPr>
    </w:p>
    <w:p w14:paraId="21E3E112" w14:textId="77777777" w:rsidR="0098693A" w:rsidRDefault="0098693A" w:rsidP="00986B40">
      <w:pPr>
        <w:spacing w:line="480" w:lineRule="auto"/>
        <w:jc w:val="center"/>
        <w:rPr>
          <w:rFonts w:ascii="Calibri" w:hAnsi="Calibri" w:cs="Calibri"/>
          <w:b/>
          <w:bCs/>
          <w:color w:val="000000" w:themeColor="text1"/>
          <w:szCs w:val="24"/>
        </w:rPr>
      </w:pPr>
    </w:p>
    <w:p w14:paraId="7D6AF710" w14:textId="77777777" w:rsidR="0098693A" w:rsidRDefault="0098693A" w:rsidP="00986B40">
      <w:pPr>
        <w:spacing w:line="480" w:lineRule="auto"/>
        <w:jc w:val="center"/>
        <w:rPr>
          <w:rFonts w:ascii="Calibri" w:hAnsi="Calibri" w:cs="Calibri"/>
          <w:b/>
          <w:bCs/>
          <w:color w:val="000000" w:themeColor="text1"/>
          <w:szCs w:val="24"/>
        </w:rPr>
      </w:pPr>
    </w:p>
    <w:p w14:paraId="205EB016" w14:textId="77777777" w:rsidR="0098693A" w:rsidRDefault="0098693A" w:rsidP="00986B40">
      <w:pPr>
        <w:spacing w:line="480" w:lineRule="auto"/>
        <w:jc w:val="center"/>
        <w:rPr>
          <w:rFonts w:ascii="Calibri" w:hAnsi="Calibri" w:cs="Calibri"/>
          <w:b/>
          <w:bCs/>
          <w:color w:val="000000" w:themeColor="text1"/>
          <w:szCs w:val="24"/>
        </w:rPr>
      </w:pPr>
    </w:p>
    <w:p w14:paraId="0CBA802D" w14:textId="77777777" w:rsidR="0098693A" w:rsidRPr="00CC2A71" w:rsidRDefault="0098693A" w:rsidP="00986B40">
      <w:pPr>
        <w:spacing w:line="480" w:lineRule="auto"/>
        <w:jc w:val="center"/>
        <w:rPr>
          <w:rFonts w:ascii="Calibri" w:hAnsi="Calibri" w:cs="Calibri"/>
          <w:b/>
          <w:bCs/>
          <w:color w:val="000000" w:themeColor="text1"/>
          <w:szCs w:val="24"/>
        </w:rPr>
      </w:pPr>
    </w:p>
    <w:p w14:paraId="1E169FF2" w14:textId="3F989ED3" w:rsidR="00FE31F4" w:rsidRPr="00CC2A71" w:rsidRDefault="00FE31F4" w:rsidP="00986B40">
      <w:pPr>
        <w:pStyle w:val="Heading1"/>
        <w:spacing w:line="480" w:lineRule="auto"/>
        <w:rPr>
          <w:rFonts w:ascii="Calibri" w:hAnsi="Calibri" w:cs="Calibri"/>
          <w:b/>
          <w:bCs/>
          <w:color w:val="000000" w:themeColor="text1"/>
          <w:sz w:val="24"/>
          <w:szCs w:val="24"/>
        </w:rPr>
      </w:pPr>
      <w:bookmarkStart w:id="4" w:name="_Toc220957854"/>
      <w:r w:rsidRPr="00CC2A71">
        <w:rPr>
          <w:rFonts w:ascii="Calibri" w:hAnsi="Calibri" w:cs="Calibri"/>
          <w:b/>
          <w:bCs/>
          <w:color w:val="000000" w:themeColor="text1"/>
          <w:sz w:val="24"/>
          <w:szCs w:val="24"/>
        </w:rPr>
        <w:lastRenderedPageBreak/>
        <w:t>Findings</w:t>
      </w:r>
      <w:bookmarkEnd w:id="4"/>
      <w:r w:rsidRPr="00CC2A71">
        <w:rPr>
          <w:rFonts w:ascii="Calibri" w:hAnsi="Calibri" w:cs="Calibri"/>
          <w:b/>
          <w:bCs/>
          <w:color w:val="000000" w:themeColor="text1"/>
          <w:sz w:val="24"/>
          <w:szCs w:val="24"/>
        </w:rPr>
        <w:t xml:space="preserve"> </w:t>
      </w:r>
    </w:p>
    <w:p w14:paraId="7A0866CB" w14:textId="77777777" w:rsidR="00BF7FA8" w:rsidRPr="00BF7FA8" w:rsidRDefault="00BF7FA8" w:rsidP="00BF7FA8">
      <w:pPr>
        <w:spacing w:line="480" w:lineRule="auto"/>
        <w:rPr>
          <w:rFonts w:ascii="Calibri" w:hAnsi="Calibri" w:cs="Calibri"/>
          <w:b/>
          <w:bCs/>
          <w:color w:val="000000" w:themeColor="text1"/>
          <w:szCs w:val="24"/>
        </w:rPr>
      </w:pPr>
      <w:r w:rsidRPr="00BF7FA8">
        <w:rPr>
          <w:rFonts w:ascii="Calibri" w:hAnsi="Calibri" w:cs="Calibri"/>
          <w:b/>
          <w:bCs/>
          <w:color w:val="000000" w:themeColor="text1"/>
          <w:szCs w:val="24"/>
        </w:rPr>
        <w:t>1. HRM Practices as Key Drivers of Employee Engagement</w:t>
      </w:r>
    </w:p>
    <w:p w14:paraId="2F5C6951" w14:textId="77777777" w:rsidR="00BF7FA8" w:rsidRPr="00BF7FA8" w:rsidRDefault="00BF7FA8" w:rsidP="00BF7FA8">
      <w:pPr>
        <w:spacing w:line="480" w:lineRule="auto"/>
        <w:rPr>
          <w:rFonts w:ascii="Calibri" w:hAnsi="Calibri" w:cs="Calibri"/>
          <w:color w:val="000000" w:themeColor="text1"/>
          <w:szCs w:val="24"/>
        </w:rPr>
      </w:pPr>
      <w:r w:rsidRPr="00BF7FA8">
        <w:rPr>
          <w:rFonts w:ascii="Calibri" w:hAnsi="Calibri" w:cs="Calibri"/>
          <w:color w:val="000000" w:themeColor="text1"/>
          <w:szCs w:val="24"/>
        </w:rPr>
        <w:t xml:space="preserve">The analysis of existing literature and hospitality case evidence reveals that Human Resource Management (HRM) practices play a decisive role in shaping employee engagement levels. Training and development emerge as one of the most influential HRM practices. Findings indicate that hospitality employees who receive continuous training demonstrate higher confidence, stronger service orientation, and greater emotional commitment to their organizations. Training not only enhances technical and interpersonal skills but also signals organizational investment in employees, reinforcing feelings of value and belonging. As a result, employees are more likely to display discretionary effort and proactive service </w:t>
      </w:r>
      <w:proofErr w:type="spellStart"/>
      <w:r w:rsidRPr="00BF7FA8">
        <w:rPr>
          <w:rFonts w:ascii="Calibri" w:hAnsi="Calibri" w:cs="Calibri"/>
          <w:color w:val="000000" w:themeColor="text1"/>
          <w:szCs w:val="24"/>
        </w:rPr>
        <w:t>behaviors</w:t>
      </w:r>
      <w:proofErr w:type="spellEnd"/>
      <w:r w:rsidRPr="00BF7FA8">
        <w:rPr>
          <w:rFonts w:ascii="Calibri" w:hAnsi="Calibri" w:cs="Calibri"/>
          <w:color w:val="000000" w:themeColor="text1"/>
          <w:szCs w:val="24"/>
        </w:rPr>
        <w:t>.</w:t>
      </w:r>
    </w:p>
    <w:p w14:paraId="07410DBD" w14:textId="77777777" w:rsidR="00BF7FA8" w:rsidRPr="00BF7FA8" w:rsidRDefault="00BF7FA8" w:rsidP="00BF7FA8">
      <w:pPr>
        <w:spacing w:line="480" w:lineRule="auto"/>
        <w:rPr>
          <w:rFonts w:ascii="Calibri" w:hAnsi="Calibri" w:cs="Calibri"/>
          <w:color w:val="000000" w:themeColor="text1"/>
          <w:szCs w:val="24"/>
        </w:rPr>
      </w:pPr>
      <w:r w:rsidRPr="00BF7FA8">
        <w:rPr>
          <w:rFonts w:ascii="Calibri" w:hAnsi="Calibri" w:cs="Calibri"/>
          <w:color w:val="000000" w:themeColor="text1"/>
          <w:szCs w:val="24"/>
        </w:rPr>
        <w:t>Performance management systems also significantly influence engagement outcomes. Transparent appraisal mechanisms that focus on developmental feedback rather than punitive evaluation foster trust and motivation. The findings suggest that when hospitality employees clearly understand performance expectations and receive constructive feedback, they are more engaged and willing to align their efforts with organizational objectives. Conversely, poorly designed or inconsistent appraisal systems contribute to perceptions of unfairness, leading to disengagement and dissatisfaction.</w:t>
      </w:r>
    </w:p>
    <w:p w14:paraId="65B8BFCF" w14:textId="77777777" w:rsidR="00BF7FA8" w:rsidRPr="00BF7FA8" w:rsidRDefault="00BF7FA8" w:rsidP="00BF7FA8">
      <w:pPr>
        <w:spacing w:line="480" w:lineRule="auto"/>
        <w:rPr>
          <w:rFonts w:ascii="Calibri" w:hAnsi="Calibri" w:cs="Calibri"/>
          <w:color w:val="000000" w:themeColor="text1"/>
          <w:szCs w:val="24"/>
        </w:rPr>
      </w:pPr>
      <w:r w:rsidRPr="00BF7FA8">
        <w:rPr>
          <w:rFonts w:ascii="Calibri" w:hAnsi="Calibri" w:cs="Calibri"/>
          <w:color w:val="000000" w:themeColor="text1"/>
          <w:szCs w:val="24"/>
        </w:rPr>
        <w:t xml:space="preserve">Career development opportunities further strengthen employee engagement by addressing long-term motivational needs. The analysis highlights that hospitality organizations offering clear promotion pathways, mentoring programs, and internal mobility opportunities experience lower turnover intentions among employees. Employees who perceive career growth prospects </w:t>
      </w:r>
      <w:r w:rsidRPr="00BF7FA8">
        <w:rPr>
          <w:rFonts w:ascii="Calibri" w:hAnsi="Calibri" w:cs="Calibri"/>
          <w:color w:val="000000" w:themeColor="text1"/>
          <w:szCs w:val="24"/>
        </w:rPr>
        <w:lastRenderedPageBreak/>
        <w:t>are more likely to demonstrate organizational commitment and sustained engagement, reducing the high attrition rates traditionally associated with the hospitality sector.</w:t>
      </w:r>
    </w:p>
    <w:p w14:paraId="7BA35238" w14:textId="72FD2E04" w:rsidR="00BF7FA8" w:rsidRPr="00BF7FA8" w:rsidRDefault="00BF7FA8" w:rsidP="00BF7FA8">
      <w:pPr>
        <w:spacing w:line="480" w:lineRule="auto"/>
        <w:rPr>
          <w:rFonts w:ascii="Calibri" w:hAnsi="Calibri" w:cs="Calibri"/>
          <w:color w:val="000000" w:themeColor="text1"/>
          <w:szCs w:val="24"/>
        </w:rPr>
      </w:pPr>
    </w:p>
    <w:p w14:paraId="43962F5F" w14:textId="77777777" w:rsidR="00BF7FA8" w:rsidRPr="00BF7FA8" w:rsidRDefault="00BF7FA8" w:rsidP="00BF7FA8">
      <w:pPr>
        <w:spacing w:line="480" w:lineRule="auto"/>
        <w:rPr>
          <w:rFonts w:ascii="Calibri" w:hAnsi="Calibri" w:cs="Calibri"/>
          <w:b/>
          <w:bCs/>
          <w:color w:val="000000" w:themeColor="text1"/>
          <w:szCs w:val="24"/>
        </w:rPr>
      </w:pPr>
      <w:r w:rsidRPr="00BF7FA8">
        <w:rPr>
          <w:rFonts w:ascii="Calibri" w:hAnsi="Calibri" w:cs="Calibri"/>
          <w:b/>
          <w:bCs/>
          <w:color w:val="000000" w:themeColor="text1"/>
          <w:szCs w:val="24"/>
        </w:rPr>
        <w:t>2. Leadership Styles and Their Influence on Engagement</w:t>
      </w:r>
    </w:p>
    <w:p w14:paraId="73A42141" w14:textId="77777777" w:rsidR="00BF7FA8" w:rsidRPr="00BF7FA8" w:rsidRDefault="00BF7FA8" w:rsidP="00BF7FA8">
      <w:pPr>
        <w:spacing w:line="480" w:lineRule="auto"/>
        <w:rPr>
          <w:rFonts w:ascii="Calibri" w:hAnsi="Calibri" w:cs="Calibri"/>
          <w:color w:val="000000" w:themeColor="text1"/>
          <w:szCs w:val="24"/>
        </w:rPr>
      </w:pPr>
      <w:r w:rsidRPr="00BF7FA8">
        <w:rPr>
          <w:rFonts w:ascii="Calibri" w:hAnsi="Calibri" w:cs="Calibri"/>
          <w:color w:val="000000" w:themeColor="text1"/>
          <w:szCs w:val="24"/>
        </w:rPr>
        <w:t>Leadership style is identified as a critical contextual factor shaping the effectiveness of HRM practices. The findings consistently demonstrate that transformational and supportive leadership styles positively influence employee engagement in hospitality settings. Leaders who communicate a clear vision, provide individualized support, and encourage employee participation create psychologically safe environments that foster trust and engagement.</w:t>
      </w:r>
    </w:p>
    <w:p w14:paraId="7A9CC155" w14:textId="77777777" w:rsidR="00BF7FA8" w:rsidRPr="00BF7FA8" w:rsidRDefault="00BF7FA8" w:rsidP="00BF7FA8">
      <w:pPr>
        <w:spacing w:line="480" w:lineRule="auto"/>
        <w:rPr>
          <w:rFonts w:ascii="Calibri" w:hAnsi="Calibri" w:cs="Calibri"/>
          <w:color w:val="000000" w:themeColor="text1"/>
          <w:szCs w:val="24"/>
        </w:rPr>
      </w:pPr>
      <w:r w:rsidRPr="00BF7FA8">
        <w:rPr>
          <w:rFonts w:ascii="Calibri" w:hAnsi="Calibri" w:cs="Calibri"/>
          <w:color w:val="000000" w:themeColor="text1"/>
          <w:szCs w:val="24"/>
        </w:rPr>
        <w:t xml:space="preserve">In contrast, authoritarian and excessively transactional leadership approaches are associated with higher levels of emotional exhaustion and disengagement. Hospitality employees working under rigid supervisory structures often experience limited autonomy and increased stress, which negatively affects service quality and morale. The analysis suggests that leadership </w:t>
      </w:r>
      <w:proofErr w:type="spellStart"/>
      <w:r w:rsidRPr="00BF7FA8">
        <w:rPr>
          <w:rFonts w:ascii="Calibri" w:hAnsi="Calibri" w:cs="Calibri"/>
          <w:color w:val="000000" w:themeColor="text1"/>
          <w:szCs w:val="24"/>
        </w:rPr>
        <w:t>behavior</w:t>
      </w:r>
      <w:proofErr w:type="spellEnd"/>
      <w:r w:rsidRPr="00BF7FA8">
        <w:rPr>
          <w:rFonts w:ascii="Calibri" w:hAnsi="Calibri" w:cs="Calibri"/>
          <w:color w:val="000000" w:themeColor="text1"/>
          <w:szCs w:val="24"/>
        </w:rPr>
        <w:t xml:space="preserve"> can either amplify or undermine the impact of HRM practices, highlighting the need for leadership development as an integral component of engagement-focused HR strategies.</w:t>
      </w:r>
    </w:p>
    <w:p w14:paraId="6AB1CA7E" w14:textId="77777777" w:rsidR="00BF7FA8" w:rsidRPr="00BF7FA8" w:rsidRDefault="00BF7FA8" w:rsidP="00BF7FA8">
      <w:pPr>
        <w:spacing w:line="480" w:lineRule="auto"/>
        <w:rPr>
          <w:rFonts w:ascii="Calibri" w:hAnsi="Calibri" w:cs="Calibri"/>
          <w:color w:val="000000" w:themeColor="text1"/>
          <w:szCs w:val="24"/>
        </w:rPr>
      </w:pPr>
      <w:r w:rsidRPr="00BF7FA8">
        <w:rPr>
          <w:rFonts w:ascii="Calibri" w:hAnsi="Calibri" w:cs="Calibri"/>
          <w:color w:val="000000" w:themeColor="text1"/>
          <w:szCs w:val="24"/>
        </w:rPr>
        <w:t xml:space="preserve">Servant leadership also emerges as a particularly effective approach in hospitality organizations. By prioritizing employee well-being and ethical conduct, servant leaders strengthen relational bonds and enhance employees’ sense of purpose. This leadership style is especially relevant </w:t>
      </w:r>
      <w:proofErr w:type="gramStart"/>
      <w:r w:rsidRPr="00BF7FA8">
        <w:rPr>
          <w:rFonts w:ascii="Calibri" w:hAnsi="Calibri" w:cs="Calibri"/>
          <w:color w:val="000000" w:themeColor="text1"/>
          <w:szCs w:val="24"/>
        </w:rPr>
        <w:t>in service</w:t>
      </w:r>
      <w:proofErr w:type="gramEnd"/>
      <w:r w:rsidRPr="00BF7FA8">
        <w:rPr>
          <w:rFonts w:ascii="Calibri" w:hAnsi="Calibri" w:cs="Calibri"/>
          <w:color w:val="000000" w:themeColor="text1"/>
          <w:szCs w:val="24"/>
        </w:rPr>
        <w:t xml:space="preserve"> environments where emotional </w:t>
      </w:r>
      <w:proofErr w:type="spellStart"/>
      <w:r w:rsidRPr="00BF7FA8">
        <w:rPr>
          <w:rFonts w:ascii="Calibri" w:hAnsi="Calibri" w:cs="Calibri"/>
          <w:color w:val="000000" w:themeColor="text1"/>
          <w:szCs w:val="24"/>
        </w:rPr>
        <w:t>labor</w:t>
      </w:r>
      <w:proofErr w:type="spellEnd"/>
      <w:r w:rsidRPr="00BF7FA8">
        <w:rPr>
          <w:rFonts w:ascii="Calibri" w:hAnsi="Calibri" w:cs="Calibri"/>
          <w:color w:val="000000" w:themeColor="text1"/>
          <w:szCs w:val="24"/>
        </w:rPr>
        <w:t xml:space="preserve"> and interpersonal interactions are central to performance outcomes.</w:t>
      </w:r>
    </w:p>
    <w:p w14:paraId="41B24447" w14:textId="744E180A" w:rsidR="00BF7FA8" w:rsidRPr="00BF7FA8" w:rsidRDefault="00BF7FA8" w:rsidP="00BF7FA8">
      <w:pPr>
        <w:spacing w:line="480" w:lineRule="auto"/>
        <w:rPr>
          <w:rFonts w:ascii="Calibri" w:hAnsi="Calibri" w:cs="Calibri"/>
          <w:color w:val="000000" w:themeColor="text1"/>
          <w:szCs w:val="24"/>
        </w:rPr>
      </w:pPr>
    </w:p>
    <w:p w14:paraId="6EF21EF9" w14:textId="77777777" w:rsidR="00BF7FA8" w:rsidRPr="00BF7FA8" w:rsidRDefault="00BF7FA8" w:rsidP="00BF7FA8">
      <w:pPr>
        <w:spacing w:line="480" w:lineRule="auto"/>
        <w:rPr>
          <w:rFonts w:ascii="Calibri" w:hAnsi="Calibri" w:cs="Calibri"/>
          <w:b/>
          <w:bCs/>
          <w:color w:val="000000" w:themeColor="text1"/>
          <w:szCs w:val="24"/>
        </w:rPr>
      </w:pPr>
      <w:r w:rsidRPr="00BF7FA8">
        <w:rPr>
          <w:rFonts w:ascii="Calibri" w:hAnsi="Calibri" w:cs="Calibri"/>
          <w:b/>
          <w:bCs/>
          <w:color w:val="000000" w:themeColor="text1"/>
          <w:szCs w:val="24"/>
        </w:rPr>
        <w:t>3. Employee Well-Being and Engagement Outcomes</w:t>
      </w:r>
    </w:p>
    <w:p w14:paraId="599B25B9" w14:textId="77777777" w:rsidR="00BF7FA8" w:rsidRPr="00BF7FA8" w:rsidRDefault="00BF7FA8" w:rsidP="00BF7FA8">
      <w:pPr>
        <w:spacing w:line="480" w:lineRule="auto"/>
        <w:rPr>
          <w:rFonts w:ascii="Calibri" w:hAnsi="Calibri" w:cs="Calibri"/>
          <w:color w:val="000000" w:themeColor="text1"/>
          <w:szCs w:val="24"/>
        </w:rPr>
      </w:pPr>
      <w:r w:rsidRPr="00BF7FA8">
        <w:rPr>
          <w:rFonts w:ascii="Calibri" w:hAnsi="Calibri" w:cs="Calibri"/>
          <w:color w:val="000000" w:themeColor="text1"/>
          <w:szCs w:val="24"/>
        </w:rPr>
        <w:t xml:space="preserve">Employee well-being is identified as a fundamental determinant of engagement within hospitality organizations. The findings indicate that high job demands—such as long working hours, irregular shifts, and emotional </w:t>
      </w:r>
      <w:proofErr w:type="spellStart"/>
      <w:r w:rsidRPr="00BF7FA8">
        <w:rPr>
          <w:rFonts w:ascii="Calibri" w:hAnsi="Calibri" w:cs="Calibri"/>
          <w:color w:val="000000" w:themeColor="text1"/>
          <w:szCs w:val="24"/>
        </w:rPr>
        <w:t>labor</w:t>
      </w:r>
      <w:proofErr w:type="spellEnd"/>
      <w:r w:rsidRPr="00BF7FA8">
        <w:rPr>
          <w:rFonts w:ascii="Calibri" w:hAnsi="Calibri" w:cs="Calibri"/>
          <w:color w:val="000000" w:themeColor="text1"/>
          <w:szCs w:val="24"/>
        </w:rPr>
        <w:t>—pose significant risks to employee well-being and engagement. When these demands are not adequately managed, employees are more susceptible to burnout, absenteeism, and disengagement.</w:t>
      </w:r>
    </w:p>
    <w:p w14:paraId="3003205F" w14:textId="77777777" w:rsidR="00BF7FA8" w:rsidRPr="00BF7FA8" w:rsidRDefault="00BF7FA8" w:rsidP="00BF7FA8">
      <w:pPr>
        <w:spacing w:line="480" w:lineRule="auto"/>
        <w:rPr>
          <w:rFonts w:ascii="Calibri" w:hAnsi="Calibri" w:cs="Calibri"/>
          <w:color w:val="000000" w:themeColor="text1"/>
          <w:szCs w:val="24"/>
        </w:rPr>
      </w:pPr>
      <w:r w:rsidRPr="00BF7FA8">
        <w:rPr>
          <w:rFonts w:ascii="Calibri" w:hAnsi="Calibri" w:cs="Calibri"/>
          <w:color w:val="000000" w:themeColor="text1"/>
          <w:szCs w:val="24"/>
        </w:rPr>
        <w:t>However, hospitality organizations that implement well-being-oriented HRM practices demonstrate significantly higher engagement levels. Initiatives such as flexible scheduling, mental health support, workload management, and inclusive workplace policies contribute to improved psychological and emotional well-being. The analysis shows that employees who perceive genuine organizational concern for their well-being are more resilient, motivated, and committed to delivering high-quality service.</w:t>
      </w:r>
    </w:p>
    <w:p w14:paraId="02FDA126" w14:textId="77777777" w:rsidR="00BF7FA8" w:rsidRPr="00BF7FA8" w:rsidRDefault="00BF7FA8" w:rsidP="00BF7FA8">
      <w:pPr>
        <w:spacing w:line="480" w:lineRule="auto"/>
        <w:rPr>
          <w:rFonts w:ascii="Calibri" w:hAnsi="Calibri" w:cs="Calibri"/>
          <w:color w:val="000000" w:themeColor="text1"/>
          <w:szCs w:val="24"/>
        </w:rPr>
      </w:pPr>
      <w:r w:rsidRPr="00BF7FA8">
        <w:rPr>
          <w:rFonts w:ascii="Calibri" w:hAnsi="Calibri" w:cs="Calibri"/>
          <w:color w:val="000000" w:themeColor="text1"/>
          <w:szCs w:val="24"/>
        </w:rPr>
        <w:t>Furthermore, work-life balance policies are found to be particularly impactful in reducing stress and enhancing engagement. Given the non-standard working hours typical of hospitality roles, flexible arrangements help employees manage personal responsibilities while maintaining professional performance. This balance fosters long-term engagement and reduces turnover intentions.</w:t>
      </w:r>
    </w:p>
    <w:p w14:paraId="571BF0F7" w14:textId="67CD5CE5" w:rsidR="00BF7FA8" w:rsidRDefault="00BF7FA8" w:rsidP="00BF7FA8">
      <w:pPr>
        <w:spacing w:line="480" w:lineRule="auto"/>
        <w:rPr>
          <w:rFonts w:ascii="Calibri" w:hAnsi="Calibri" w:cs="Calibri"/>
          <w:color w:val="000000" w:themeColor="text1"/>
          <w:szCs w:val="24"/>
        </w:rPr>
      </w:pPr>
    </w:p>
    <w:p w14:paraId="403CB73B" w14:textId="77777777" w:rsidR="00BF7FA8" w:rsidRPr="00BF7FA8" w:rsidRDefault="00BF7FA8" w:rsidP="00BF7FA8">
      <w:pPr>
        <w:spacing w:line="480" w:lineRule="auto"/>
        <w:rPr>
          <w:rFonts w:ascii="Calibri" w:hAnsi="Calibri" w:cs="Calibri"/>
          <w:color w:val="000000" w:themeColor="text1"/>
          <w:szCs w:val="24"/>
        </w:rPr>
      </w:pPr>
    </w:p>
    <w:p w14:paraId="65F81C7B" w14:textId="77777777" w:rsidR="00BF7FA8" w:rsidRPr="00BF7FA8" w:rsidRDefault="00BF7FA8" w:rsidP="00BF7FA8">
      <w:pPr>
        <w:spacing w:line="480" w:lineRule="auto"/>
        <w:rPr>
          <w:rFonts w:ascii="Calibri" w:hAnsi="Calibri" w:cs="Calibri"/>
          <w:b/>
          <w:bCs/>
          <w:color w:val="000000" w:themeColor="text1"/>
          <w:szCs w:val="24"/>
        </w:rPr>
      </w:pPr>
      <w:r w:rsidRPr="00BF7FA8">
        <w:rPr>
          <w:rFonts w:ascii="Calibri" w:hAnsi="Calibri" w:cs="Calibri"/>
          <w:b/>
          <w:bCs/>
          <w:color w:val="000000" w:themeColor="text1"/>
          <w:szCs w:val="24"/>
        </w:rPr>
        <w:lastRenderedPageBreak/>
        <w:t>4. Impact of Employee Engagement on Organizational Performance</w:t>
      </w:r>
    </w:p>
    <w:p w14:paraId="7A6988FA" w14:textId="77777777" w:rsidR="00BF7FA8" w:rsidRPr="00BF7FA8" w:rsidRDefault="00BF7FA8" w:rsidP="00BF7FA8">
      <w:pPr>
        <w:spacing w:line="480" w:lineRule="auto"/>
        <w:rPr>
          <w:rFonts w:ascii="Calibri" w:hAnsi="Calibri" w:cs="Calibri"/>
          <w:color w:val="000000" w:themeColor="text1"/>
          <w:szCs w:val="24"/>
        </w:rPr>
      </w:pPr>
      <w:r w:rsidRPr="00BF7FA8">
        <w:rPr>
          <w:rFonts w:ascii="Calibri" w:hAnsi="Calibri" w:cs="Calibri"/>
          <w:color w:val="000000" w:themeColor="text1"/>
          <w:szCs w:val="24"/>
        </w:rPr>
        <w:t>The findings strongly support the link between employee engagement and key organizational outcomes in the hospitality industry. Engaged employees consistently demonstrate higher levels of customer orientation, leading to improved guest satisfaction and loyalty. Positive employee attitudes translate into more personalized service, faster service recovery, and enhanced guest experiences.</w:t>
      </w:r>
    </w:p>
    <w:p w14:paraId="3DB8C70C" w14:textId="77777777" w:rsidR="00BF7FA8" w:rsidRPr="00BF7FA8" w:rsidRDefault="00BF7FA8" w:rsidP="00BF7FA8">
      <w:pPr>
        <w:spacing w:line="480" w:lineRule="auto"/>
        <w:rPr>
          <w:rFonts w:ascii="Calibri" w:hAnsi="Calibri" w:cs="Calibri"/>
          <w:color w:val="000000" w:themeColor="text1"/>
          <w:szCs w:val="24"/>
        </w:rPr>
      </w:pPr>
      <w:r w:rsidRPr="00BF7FA8">
        <w:rPr>
          <w:rFonts w:ascii="Calibri" w:hAnsi="Calibri" w:cs="Calibri"/>
          <w:color w:val="000000" w:themeColor="text1"/>
          <w:szCs w:val="24"/>
        </w:rPr>
        <w:t>Operational efficiency is also positively influenced by employee engagement. Engaged employees are more attentive, collaborative, and proactive in identifying service improvements and minimizing errors. This contributes to smoother operations, reduced service failures, and improved organizational reputation. The analysis further indicates that employee engagement acts as a mediating factor between HRM practices and organizational performance, reinforcing the strategic value of engagement-focused HRM systems.</w:t>
      </w:r>
    </w:p>
    <w:p w14:paraId="74B8E44F" w14:textId="77777777" w:rsidR="00BF7FA8" w:rsidRPr="00BF7FA8" w:rsidRDefault="00BF7FA8" w:rsidP="00BF7FA8">
      <w:pPr>
        <w:spacing w:line="480" w:lineRule="auto"/>
        <w:rPr>
          <w:rFonts w:ascii="Calibri" w:hAnsi="Calibri" w:cs="Calibri"/>
          <w:color w:val="000000" w:themeColor="text1"/>
          <w:szCs w:val="24"/>
        </w:rPr>
      </w:pPr>
      <w:r w:rsidRPr="00BF7FA8">
        <w:rPr>
          <w:rFonts w:ascii="Calibri" w:hAnsi="Calibri" w:cs="Calibri"/>
          <w:color w:val="000000" w:themeColor="text1"/>
          <w:szCs w:val="24"/>
        </w:rPr>
        <w:t>In addition, the relationship between engagement and employee retention is particularly pronounced. Hospitality organizations with higher engagement levels experience lower voluntary turnover, reducing recruitment and training costs. This stability enables organizations to maintain service consistency and institutional knowledge, which are critical for long-term success in competitive hospitality markets.</w:t>
      </w:r>
    </w:p>
    <w:p w14:paraId="741B9971" w14:textId="32A7BB68" w:rsidR="00BF7FA8" w:rsidRDefault="00BF7FA8" w:rsidP="00BF7FA8">
      <w:pPr>
        <w:spacing w:line="480" w:lineRule="auto"/>
        <w:rPr>
          <w:rFonts w:ascii="Calibri" w:hAnsi="Calibri" w:cs="Calibri"/>
          <w:color w:val="000000" w:themeColor="text1"/>
          <w:szCs w:val="24"/>
        </w:rPr>
      </w:pPr>
    </w:p>
    <w:p w14:paraId="7B513EE6" w14:textId="77777777" w:rsidR="00541EEF" w:rsidRDefault="00541EEF" w:rsidP="00BF7FA8">
      <w:pPr>
        <w:spacing w:line="480" w:lineRule="auto"/>
        <w:rPr>
          <w:rFonts w:ascii="Calibri" w:hAnsi="Calibri" w:cs="Calibri"/>
          <w:color w:val="000000" w:themeColor="text1"/>
          <w:szCs w:val="24"/>
        </w:rPr>
      </w:pPr>
    </w:p>
    <w:p w14:paraId="14E16167" w14:textId="77777777" w:rsidR="00541EEF" w:rsidRPr="00BF7FA8" w:rsidRDefault="00541EEF" w:rsidP="00BF7FA8">
      <w:pPr>
        <w:spacing w:line="480" w:lineRule="auto"/>
        <w:rPr>
          <w:rFonts w:ascii="Calibri" w:hAnsi="Calibri" w:cs="Calibri"/>
          <w:color w:val="000000" w:themeColor="text1"/>
          <w:szCs w:val="24"/>
        </w:rPr>
      </w:pPr>
    </w:p>
    <w:p w14:paraId="61DA6FDF" w14:textId="77777777" w:rsidR="00BF7FA8" w:rsidRPr="00BF7FA8" w:rsidRDefault="00BF7FA8" w:rsidP="00BF7FA8">
      <w:pPr>
        <w:spacing w:line="480" w:lineRule="auto"/>
        <w:rPr>
          <w:rFonts w:ascii="Calibri" w:hAnsi="Calibri" w:cs="Calibri"/>
          <w:b/>
          <w:bCs/>
          <w:color w:val="000000" w:themeColor="text1"/>
          <w:szCs w:val="24"/>
        </w:rPr>
      </w:pPr>
      <w:r w:rsidRPr="00BF7FA8">
        <w:rPr>
          <w:rFonts w:ascii="Calibri" w:hAnsi="Calibri" w:cs="Calibri"/>
          <w:b/>
          <w:bCs/>
          <w:color w:val="000000" w:themeColor="text1"/>
          <w:szCs w:val="24"/>
        </w:rPr>
        <w:lastRenderedPageBreak/>
        <w:t>5. Alignment of HRM Strategies with Hospitality Industry Goals</w:t>
      </w:r>
    </w:p>
    <w:p w14:paraId="1402A68A" w14:textId="77777777" w:rsidR="00BF7FA8" w:rsidRPr="00BF7FA8" w:rsidRDefault="00BF7FA8" w:rsidP="00BF7FA8">
      <w:pPr>
        <w:spacing w:line="480" w:lineRule="auto"/>
        <w:rPr>
          <w:rFonts w:ascii="Calibri" w:hAnsi="Calibri" w:cs="Calibri"/>
          <w:color w:val="000000" w:themeColor="text1"/>
          <w:szCs w:val="24"/>
        </w:rPr>
      </w:pPr>
      <w:r w:rsidRPr="00BF7FA8">
        <w:rPr>
          <w:rFonts w:ascii="Calibri" w:hAnsi="Calibri" w:cs="Calibri"/>
          <w:color w:val="000000" w:themeColor="text1"/>
          <w:szCs w:val="24"/>
        </w:rPr>
        <w:t>The analysis reveals that effective HRM strategies must be closely aligned with the hospitality industry’s core objectives, including service excellence, guest satisfaction, and operational efficiency. Engagement-focused HRM practices support these goals by fostering a motivated and service-oriented workforce. Organizations that integrate HRM strategy with business objectives are better positioned to achieve sustainable competitive advantage.</w:t>
      </w:r>
    </w:p>
    <w:p w14:paraId="7C80F65E" w14:textId="25625D33" w:rsidR="00AD11FA" w:rsidRDefault="00BF7FA8" w:rsidP="00986B40">
      <w:pPr>
        <w:spacing w:line="480" w:lineRule="auto"/>
        <w:rPr>
          <w:rFonts w:ascii="Calibri" w:hAnsi="Calibri" w:cs="Calibri"/>
          <w:color w:val="000000" w:themeColor="text1"/>
          <w:szCs w:val="24"/>
        </w:rPr>
      </w:pPr>
      <w:r w:rsidRPr="00BF7FA8">
        <w:rPr>
          <w:rFonts w:ascii="Calibri" w:hAnsi="Calibri" w:cs="Calibri"/>
          <w:color w:val="000000" w:themeColor="text1"/>
          <w:szCs w:val="24"/>
        </w:rPr>
        <w:t>The findings underscore the importance of viewing employee engagement as a strategic investment rather than a short-term HR initiative. Hospitality organizations that embed engagement into their organizational culture and leadership philosophy achieve superior performance outcomes compared to those relying on cost-driven or compliance-based HR approaches.</w:t>
      </w:r>
    </w:p>
    <w:p w14:paraId="53D2049C" w14:textId="77777777" w:rsidR="00541EEF" w:rsidRDefault="00541EEF" w:rsidP="00986B40">
      <w:pPr>
        <w:spacing w:line="480" w:lineRule="auto"/>
        <w:rPr>
          <w:rFonts w:ascii="Calibri" w:hAnsi="Calibri" w:cs="Calibri"/>
          <w:color w:val="000000" w:themeColor="text1"/>
          <w:szCs w:val="24"/>
        </w:rPr>
      </w:pPr>
    </w:p>
    <w:p w14:paraId="32C27A8B" w14:textId="77777777" w:rsidR="00541EEF" w:rsidRDefault="00541EEF" w:rsidP="00986B40">
      <w:pPr>
        <w:spacing w:line="480" w:lineRule="auto"/>
        <w:rPr>
          <w:rFonts w:ascii="Calibri" w:hAnsi="Calibri" w:cs="Calibri"/>
          <w:color w:val="000000" w:themeColor="text1"/>
          <w:szCs w:val="24"/>
        </w:rPr>
      </w:pPr>
    </w:p>
    <w:p w14:paraId="1B99B53A" w14:textId="77777777" w:rsidR="00541EEF" w:rsidRDefault="00541EEF" w:rsidP="00986B40">
      <w:pPr>
        <w:spacing w:line="480" w:lineRule="auto"/>
        <w:rPr>
          <w:rFonts w:ascii="Calibri" w:hAnsi="Calibri" w:cs="Calibri"/>
          <w:color w:val="000000" w:themeColor="text1"/>
          <w:szCs w:val="24"/>
        </w:rPr>
      </w:pPr>
    </w:p>
    <w:p w14:paraId="7367DBE0" w14:textId="77777777" w:rsidR="00541EEF" w:rsidRDefault="00541EEF" w:rsidP="00986B40">
      <w:pPr>
        <w:spacing w:line="480" w:lineRule="auto"/>
        <w:rPr>
          <w:rFonts w:ascii="Calibri" w:hAnsi="Calibri" w:cs="Calibri"/>
          <w:color w:val="000000" w:themeColor="text1"/>
          <w:szCs w:val="24"/>
        </w:rPr>
      </w:pPr>
    </w:p>
    <w:p w14:paraId="13B4F624" w14:textId="77777777" w:rsidR="00541EEF" w:rsidRDefault="00541EEF" w:rsidP="00986B40">
      <w:pPr>
        <w:spacing w:line="480" w:lineRule="auto"/>
        <w:rPr>
          <w:rFonts w:ascii="Calibri" w:hAnsi="Calibri" w:cs="Calibri"/>
          <w:color w:val="000000" w:themeColor="text1"/>
          <w:szCs w:val="24"/>
        </w:rPr>
      </w:pPr>
    </w:p>
    <w:p w14:paraId="42797923" w14:textId="77777777" w:rsidR="00541EEF" w:rsidRDefault="00541EEF" w:rsidP="00986B40">
      <w:pPr>
        <w:spacing w:line="480" w:lineRule="auto"/>
        <w:rPr>
          <w:rFonts w:ascii="Calibri" w:hAnsi="Calibri" w:cs="Calibri"/>
          <w:color w:val="000000" w:themeColor="text1"/>
          <w:szCs w:val="24"/>
        </w:rPr>
      </w:pPr>
    </w:p>
    <w:p w14:paraId="4F2EEDE7" w14:textId="77777777" w:rsidR="00541EEF" w:rsidRDefault="00541EEF" w:rsidP="00986B40">
      <w:pPr>
        <w:spacing w:line="480" w:lineRule="auto"/>
        <w:rPr>
          <w:rFonts w:ascii="Calibri" w:hAnsi="Calibri" w:cs="Calibri"/>
          <w:color w:val="000000" w:themeColor="text1"/>
          <w:szCs w:val="24"/>
        </w:rPr>
      </w:pPr>
    </w:p>
    <w:p w14:paraId="75AE27C8" w14:textId="77777777" w:rsidR="00541EEF" w:rsidRDefault="00541EEF" w:rsidP="00986B40">
      <w:pPr>
        <w:spacing w:line="480" w:lineRule="auto"/>
        <w:rPr>
          <w:rFonts w:ascii="Calibri" w:hAnsi="Calibri" w:cs="Calibri"/>
          <w:color w:val="000000" w:themeColor="text1"/>
          <w:szCs w:val="24"/>
        </w:rPr>
      </w:pPr>
    </w:p>
    <w:p w14:paraId="391802D8" w14:textId="22557849" w:rsidR="003F671C" w:rsidRPr="003F671C" w:rsidRDefault="003F671C" w:rsidP="003F671C">
      <w:pPr>
        <w:spacing w:line="480" w:lineRule="auto"/>
        <w:rPr>
          <w:rFonts w:ascii="Calibri" w:hAnsi="Calibri" w:cs="Calibri"/>
          <w:b/>
          <w:bCs/>
          <w:color w:val="000000" w:themeColor="text1"/>
          <w:szCs w:val="24"/>
        </w:rPr>
      </w:pPr>
      <w:r w:rsidRPr="003F671C">
        <w:rPr>
          <w:rFonts w:ascii="Calibri" w:hAnsi="Calibri" w:cs="Calibri"/>
          <w:b/>
          <w:bCs/>
          <w:color w:val="000000" w:themeColor="text1"/>
          <w:szCs w:val="24"/>
        </w:rPr>
        <w:lastRenderedPageBreak/>
        <w:t xml:space="preserve">Case Studies: Employee Engagement Practices in Leading Hospitality Organizations </w:t>
      </w:r>
    </w:p>
    <w:p w14:paraId="6931EE1C" w14:textId="77777777" w:rsidR="003F671C" w:rsidRPr="003F671C" w:rsidRDefault="003F671C" w:rsidP="003F671C">
      <w:pPr>
        <w:spacing w:line="480" w:lineRule="auto"/>
        <w:rPr>
          <w:rFonts w:ascii="Calibri" w:hAnsi="Calibri" w:cs="Calibri"/>
          <w:b/>
          <w:bCs/>
          <w:color w:val="000000" w:themeColor="text1"/>
          <w:szCs w:val="24"/>
        </w:rPr>
      </w:pPr>
      <w:r w:rsidRPr="003F671C">
        <w:rPr>
          <w:rFonts w:ascii="Calibri" w:hAnsi="Calibri" w:cs="Calibri"/>
          <w:b/>
          <w:bCs/>
          <w:color w:val="000000" w:themeColor="text1"/>
          <w:szCs w:val="24"/>
        </w:rPr>
        <w:t>1. Four Seasons Hotels and Resorts</w:t>
      </w:r>
    </w:p>
    <w:p w14:paraId="3B88999D" w14:textId="77777777" w:rsidR="003F671C" w:rsidRPr="003F671C" w:rsidRDefault="003F671C" w:rsidP="003F671C">
      <w:pPr>
        <w:spacing w:line="480" w:lineRule="auto"/>
        <w:rPr>
          <w:rFonts w:ascii="Calibri" w:hAnsi="Calibri" w:cs="Calibri"/>
          <w:color w:val="000000" w:themeColor="text1"/>
          <w:szCs w:val="24"/>
        </w:rPr>
      </w:pPr>
      <w:r w:rsidRPr="003F671C">
        <w:rPr>
          <w:rFonts w:ascii="Calibri" w:hAnsi="Calibri" w:cs="Calibri"/>
          <w:color w:val="000000" w:themeColor="text1"/>
          <w:szCs w:val="24"/>
        </w:rPr>
        <w:t>Four Seasons Hotels and Resorts is widely recognized for its people-centric organizational culture and strong emphasis on employee engagement as a foundation for service excellence. The company’s HRM philosophy is built on the principle that exceptional guest experiences can only be delivered by engaged and motivated employees. One of the most distinctive features of Four Seasons’ HRM strategy is its commitment to continuous training and employee empowerment. Employees receive extensive onboarding and ongoing service training that focuses not only on technical skills but also on emotional intelligence, communication, and personalized guest interaction.</w:t>
      </w:r>
    </w:p>
    <w:p w14:paraId="0279F607" w14:textId="77777777" w:rsidR="003F671C" w:rsidRPr="003F671C" w:rsidRDefault="003F671C" w:rsidP="003F671C">
      <w:pPr>
        <w:spacing w:line="480" w:lineRule="auto"/>
        <w:rPr>
          <w:rFonts w:ascii="Calibri" w:hAnsi="Calibri" w:cs="Calibri"/>
          <w:color w:val="000000" w:themeColor="text1"/>
          <w:szCs w:val="24"/>
        </w:rPr>
      </w:pPr>
      <w:r w:rsidRPr="003F671C">
        <w:rPr>
          <w:rFonts w:ascii="Calibri" w:hAnsi="Calibri" w:cs="Calibri"/>
          <w:color w:val="000000" w:themeColor="text1"/>
          <w:szCs w:val="24"/>
        </w:rPr>
        <w:t xml:space="preserve">The organization’s performance management system emphasizes developmental feedback rather than rigid evaluation. Employees are encouraged to reflect on their service </w:t>
      </w:r>
      <w:proofErr w:type="spellStart"/>
      <w:r w:rsidRPr="003F671C">
        <w:rPr>
          <w:rFonts w:ascii="Calibri" w:hAnsi="Calibri" w:cs="Calibri"/>
          <w:color w:val="000000" w:themeColor="text1"/>
          <w:szCs w:val="24"/>
        </w:rPr>
        <w:t>behaviors</w:t>
      </w:r>
      <w:proofErr w:type="spellEnd"/>
      <w:r w:rsidRPr="003F671C">
        <w:rPr>
          <w:rFonts w:ascii="Calibri" w:hAnsi="Calibri" w:cs="Calibri"/>
          <w:color w:val="000000" w:themeColor="text1"/>
          <w:szCs w:val="24"/>
        </w:rPr>
        <w:t xml:space="preserve"> and actively participate in performance discussions, which fosters a sense of ownership and accountability. This approach aligns with engagement theories suggesting that autonomy and meaningful feedback enhance intrinsic motivation. Furthermore, Four Seasons promotes internal career mobility, offering employees opportunities to progress across properties and roles, thereby strengthening long-term engagement and reducing turnover.</w:t>
      </w:r>
    </w:p>
    <w:p w14:paraId="1BE023CA" w14:textId="77777777" w:rsidR="003F671C" w:rsidRPr="003F671C" w:rsidRDefault="003F671C" w:rsidP="003F671C">
      <w:pPr>
        <w:spacing w:line="480" w:lineRule="auto"/>
        <w:rPr>
          <w:rFonts w:ascii="Calibri" w:hAnsi="Calibri" w:cs="Calibri"/>
          <w:color w:val="000000" w:themeColor="text1"/>
          <w:szCs w:val="24"/>
        </w:rPr>
      </w:pPr>
      <w:r w:rsidRPr="003F671C">
        <w:rPr>
          <w:rFonts w:ascii="Calibri" w:hAnsi="Calibri" w:cs="Calibri"/>
          <w:color w:val="000000" w:themeColor="text1"/>
          <w:szCs w:val="24"/>
        </w:rPr>
        <w:t xml:space="preserve">Leadership at Four Seasons plays a critical role in reinforcing engagement. Managers are trained to adopt supportive and transformational leadership styles, prioritizing employee well-being and recognition. Regular employee feedback mechanisms, such as engagement surveys and open communication forums, enable management to respond proactively to employee </w:t>
      </w:r>
      <w:r w:rsidRPr="003F671C">
        <w:rPr>
          <w:rFonts w:ascii="Calibri" w:hAnsi="Calibri" w:cs="Calibri"/>
          <w:color w:val="000000" w:themeColor="text1"/>
          <w:szCs w:val="24"/>
        </w:rPr>
        <w:lastRenderedPageBreak/>
        <w:t xml:space="preserve">concerns. As a result, Four Seasons consistently reports high levels of employee satisfaction and loyalty, which directly translate into superior service quality and guest satisfaction. This case illustrates how alignment between HRM practices, leadership </w:t>
      </w:r>
      <w:proofErr w:type="spellStart"/>
      <w:r w:rsidRPr="003F671C">
        <w:rPr>
          <w:rFonts w:ascii="Calibri" w:hAnsi="Calibri" w:cs="Calibri"/>
          <w:color w:val="000000" w:themeColor="text1"/>
          <w:szCs w:val="24"/>
        </w:rPr>
        <w:t>behavior</w:t>
      </w:r>
      <w:proofErr w:type="spellEnd"/>
      <w:r w:rsidRPr="003F671C">
        <w:rPr>
          <w:rFonts w:ascii="Calibri" w:hAnsi="Calibri" w:cs="Calibri"/>
          <w:color w:val="000000" w:themeColor="text1"/>
          <w:szCs w:val="24"/>
        </w:rPr>
        <w:t>, and organizational values can create a sustainable culture of engagement in hospitality.</w:t>
      </w:r>
    </w:p>
    <w:p w14:paraId="00C9CD89" w14:textId="61D7794D" w:rsidR="003F671C" w:rsidRPr="003F671C" w:rsidRDefault="003F671C" w:rsidP="003F671C">
      <w:pPr>
        <w:spacing w:line="480" w:lineRule="auto"/>
        <w:rPr>
          <w:rFonts w:ascii="Calibri" w:hAnsi="Calibri" w:cs="Calibri"/>
          <w:color w:val="000000" w:themeColor="text1"/>
          <w:szCs w:val="24"/>
        </w:rPr>
      </w:pPr>
    </w:p>
    <w:p w14:paraId="58DEC062" w14:textId="77777777" w:rsidR="003F671C" w:rsidRPr="003F671C" w:rsidRDefault="003F671C" w:rsidP="003F671C">
      <w:pPr>
        <w:spacing w:line="480" w:lineRule="auto"/>
        <w:rPr>
          <w:rFonts w:ascii="Calibri" w:hAnsi="Calibri" w:cs="Calibri"/>
          <w:b/>
          <w:bCs/>
          <w:color w:val="000000" w:themeColor="text1"/>
          <w:szCs w:val="24"/>
        </w:rPr>
      </w:pPr>
      <w:r w:rsidRPr="003F671C">
        <w:rPr>
          <w:rFonts w:ascii="Calibri" w:hAnsi="Calibri" w:cs="Calibri"/>
          <w:b/>
          <w:bCs/>
          <w:color w:val="000000" w:themeColor="text1"/>
          <w:szCs w:val="24"/>
        </w:rPr>
        <w:t>2. Ritz-Carlton Hotel Company</w:t>
      </w:r>
    </w:p>
    <w:p w14:paraId="7487519B" w14:textId="77777777" w:rsidR="003F671C" w:rsidRPr="003F671C" w:rsidRDefault="003F671C" w:rsidP="003F671C">
      <w:pPr>
        <w:spacing w:line="480" w:lineRule="auto"/>
        <w:rPr>
          <w:rFonts w:ascii="Calibri" w:hAnsi="Calibri" w:cs="Calibri"/>
          <w:color w:val="000000" w:themeColor="text1"/>
          <w:szCs w:val="24"/>
        </w:rPr>
      </w:pPr>
      <w:r w:rsidRPr="003F671C">
        <w:rPr>
          <w:rFonts w:ascii="Calibri" w:hAnsi="Calibri" w:cs="Calibri"/>
          <w:color w:val="000000" w:themeColor="text1"/>
          <w:szCs w:val="24"/>
        </w:rPr>
        <w:t>The Ritz-Carlton Hotel Company is internationally renowned for its strong service culture, which is deeply rooted in its HRM and employee engagement strategies. Central to Ritz-Carlton’s approach is the belief that engaged employees are the primary drivers of exceptional service delivery. The organization’s HRM system emphasizes rigorous selection processes to ensure cultural fit, followed by comprehensive training programs designed to embed service excellence principles.</w:t>
      </w:r>
    </w:p>
    <w:p w14:paraId="0652A318" w14:textId="77777777" w:rsidR="003F671C" w:rsidRPr="003F671C" w:rsidRDefault="003F671C" w:rsidP="003F671C">
      <w:pPr>
        <w:spacing w:line="480" w:lineRule="auto"/>
        <w:rPr>
          <w:rFonts w:ascii="Calibri" w:hAnsi="Calibri" w:cs="Calibri"/>
          <w:color w:val="000000" w:themeColor="text1"/>
          <w:szCs w:val="24"/>
        </w:rPr>
      </w:pPr>
      <w:r w:rsidRPr="003F671C">
        <w:rPr>
          <w:rFonts w:ascii="Calibri" w:hAnsi="Calibri" w:cs="Calibri"/>
          <w:color w:val="000000" w:themeColor="text1"/>
          <w:szCs w:val="24"/>
        </w:rPr>
        <w:t xml:space="preserve">One of the most distinctive engagement practices at Ritz-Carlton is its empowerment policy, which authorizes frontline employees to resolve guest issues independently within defined limits. This level of trust enhances employees’ sense of responsibility and psychological ownership, key components of engagement. Employees feel valued and confident in their roles, which positively influences their commitment and service </w:t>
      </w:r>
      <w:proofErr w:type="spellStart"/>
      <w:r w:rsidRPr="003F671C">
        <w:rPr>
          <w:rFonts w:ascii="Calibri" w:hAnsi="Calibri" w:cs="Calibri"/>
          <w:color w:val="000000" w:themeColor="text1"/>
          <w:szCs w:val="24"/>
        </w:rPr>
        <w:t>behaviors</w:t>
      </w:r>
      <w:proofErr w:type="spellEnd"/>
      <w:r w:rsidRPr="003F671C">
        <w:rPr>
          <w:rFonts w:ascii="Calibri" w:hAnsi="Calibri" w:cs="Calibri"/>
          <w:color w:val="000000" w:themeColor="text1"/>
          <w:szCs w:val="24"/>
        </w:rPr>
        <w:t>.</w:t>
      </w:r>
    </w:p>
    <w:p w14:paraId="2B4785E5" w14:textId="77777777" w:rsidR="003F671C" w:rsidRPr="003F671C" w:rsidRDefault="003F671C" w:rsidP="003F671C">
      <w:pPr>
        <w:spacing w:line="480" w:lineRule="auto"/>
        <w:rPr>
          <w:rFonts w:ascii="Calibri" w:hAnsi="Calibri" w:cs="Calibri"/>
          <w:color w:val="000000" w:themeColor="text1"/>
          <w:szCs w:val="24"/>
        </w:rPr>
      </w:pPr>
      <w:r w:rsidRPr="003F671C">
        <w:rPr>
          <w:rFonts w:ascii="Calibri" w:hAnsi="Calibri" w:cs="Calibri"/>
          <w:color w:val="000000" w:themeColor="text1"/>
          <w:szCs w:val="24"/>
        </w:rPr>
        <w:t xml:space="preserve">Ritz-Carlton also places significant emphasis on recognition and rewards. Daily team briefings, known as “line-ups,” reinforce organizational values and celebrate employee contributions. These practices foster a shared sense of purpose and belonging among employees. </w:t>
      </w:r>
      <w:r w:rsidRPr="003F671C">
        <w:rPr>
          <w:rFonts w:ascii="Calibri" w:hAnsi="Calibri" w:cs="Calibri"/>
          <w:color w:val="000000" w:themeColor="text1"/>
          <w:szCs w:val="24"/>
        </w:rPr>
        <w:lastRenderedPageBreak/>
        <w:t>Performance management systems at Ritz-Carlton are closely aligned with service quality standards, ensuring that employee efforts are directly linked to organizational objectives.</w:t>
      </w:r>
    </w:p>
    <w:p w14:paraId="71E8622D" w14:textId="77777777" w:rsidR="003F671C" w:rsidRPr="003F671C" w:rsidRDefault="003F671C" w:rsidP="003F671C">
      <w:pPr>
        <w:spacing w:line="480" w:lineRule="auto"/>
        <w:rPr>
          <w:rFonts w:ascii="Calibri" w:hAnsi="Calibri" w:cs="Calibri"/>
          <w:color w:val="000000" w:themeColor="text1"/>
          <w:szCs w:val="24"/>
        </w:rPr>
      </w:pPr>
      <w:r w:rsidRPr="003F671C">
        <w:rPr>
          <w:rFonts w:ascii="Calibri" w:hAnsi="Calibri" w:cs="Calibri"/>
          <w:color w:val="000000" w:themeColor="text1"/>
          <w:szCs w:val="24"/>
        </w:rPr>
        <w:t>Leadership development is another cornerstone of Ritz-Carlton’s HRM strategy. Managers are trained to act as role models, reinforcing engagement through coaching, support, and ethical leadership. The organization also prioritizes employee well-being by promoting work-life balance initiatives and supportive workplace relationships. As a result, Ritz-Carlton consistently demonstrates strong employee engagement outcomes, which are reflected in high guest satisfaction ratings and brand loyalty. This case highlights how empowerment-based HRM practices can sustain engagement in high-pressure hospitality environments.</w:t>
      </w:r>
    </w:p>
    <w:p w14:paraId="7B0B5D31" w14:textId="3DF457C2" w:rsidR="003F671C" w:rsidRPr="003F671C" w:rsidRDefault="003F671C" w:rsidP="003F671C">
      <w:pPr>
        <w:spacing w:line="480" w:lineRule="auto"/>
        <w:rPr>
          <w:rFonts w:ascii="Calibri" w:hAnsi="Calibri" w:cs="Calibri"/>
          <w:color w:val="000000" w:themeColor="text1"/>
          <w:szCs w:val="24"/>
        </w:rPr>
      </w:pPr>
    </w:p>
    <w:p w14:paraId="7E0322F3" w14:textId="77777777" w:rsidR="003F671C" w:rsidRPr="003F671C" w:rsidRDefault="003F671C" w:rsidP="003F671C">
      <w:pPr>
        <w:spacing w:line="480" w:lineRule="auto"/>
        <w:rPr>
          <w:rFonts w:ascii="Calibri" w:hAnsi="Calibri" w:cs="Calibri"/>
          <w:b/>
          <w:bCs/>
          <w:color w:val="000000" w:themeColor="text1"/>
          <w:szCs w:val="24"/>
        </w:rPr>
      </w:pPr>
      <w:r w:rsidRPr="003F671C">
        <w:rPr>
          <w:rFonts w:ascii="Calibri" w:hAnsi="Calibri" w:cs="Calibri"/>
          <w:b/>
          <w:bCs/>
          <w:color w:val="000000" w:themeColor="text1"/>
          <w:szCs w:val="24"/>
        </w:rPr>
        <w:t>3. Marriott International</w:t>
      </w:r>
    </w:p>
    <w:p w14:paraId="5960B1BF" w14:textId="77777777" w:rsidR="003F671C" w:rsidRPr="003F671C" w:rsidRDefault="003F671C" w:rsidP="003F671C">
      <w:pPr>
        <w:spacing w:line="480" w:lineRule="auto"/>
        <w:rPr>
          <w:rFonts w:ascii="Calibri" w:hAnsi="Calibri" w:cs="Calibri"/>
          <w:color w:val="000000" w:themeColor="text1"/>
          <w:szCs w:val="24"/>
        </w:rPr>
      </w:pPr>
      <w:r w:rsidRPr="003F671C">
        <w:rPr>
          <w:rFonts w:ascii="Calibri" w:hAnsi="Calibri" w:cs="Calibri"/>
          <w:color w:val="000000" w:themeColor="text1"/>
          <w:szCs w:val="24"/>
        </w:rPr>
        <w:t>Marriott International represents one of the most comprehensive examples of strategic HRM integration within the global hospitality industry. The company’s long-standing philosophy of “associates first” underscores its belief that employee engagement is essential for achieving operational excellence and guest satisfaction. Marriott’s HRM practices are designed to support engagement across a diverse and global workforce.</w:t>
      </w:r>
    </w:p>
    <w:p w14:paraId="6D8FD4C2" w14:textId="77777777" w:rsidR="003F671C" w:rsidRPr="003F671C" w:rsidRDefault="003F671C" w:rsidP="003F671C">
      <w:pPr>
        <w:spacing w:line="480" w:lineRule="auto"/>
        <w:rPr>
          <w:rFonts w:ascii="Calibri" w:hAnsi="Calibri" w:cs="Calibri"/>
          <w:color w:val="000000" w:themeColor="text1"/>
          <w:szCs w:val="24"/>
        </w:rPr>
      </w:pPr>
      <w:r w:rsidRPr="003F671C">
        <w:rPr>
          <w:rFonts w:ascii="Calibri" w:hAnsi="Calibri" w:cs="Calibri"/>
          <w:color w:val="000000" w:themeColor="text1"/>
          <w:szCs w:val="24"/>
        </w:rPr>
        <w:t xml:space="preserve">Training and development form the backbone of Marriott’s engagement strategy. The organization offers structured learning programs, leadership development initiatives, and digital learning platforms that support continuous skill enhancement. These initiatives not only improve employee competence but also signal long-term investment in employees’ careers. </w:t>
      </w:r>
      <w:r w:rsidRPr="003F671C">
        <w:rPr>
          <w:rFonts w:ascii="Calibri" w:hAnsi="Calibri" w:cs="Calibri"/>
          <w:color w:val="000000" w:themeColor="text1"/>
          <w:szCs w:val="24"/>
        </w:rPr>
        <w:lastRenderedPageBreak/>
        <w:t>Marriott’s career development framework enables internal mobility across brands and regions, significantly enhancing retention and engagement.</w:t>
      </w:r>
    </w:p>
    <w:p w14:paraId="41E217A7" w14:textId="77777777" w:rsidR="003F671C" w:rsidRPr="003F671C" w:rsidRDefault="003F671C" w:rsidP="003F671C">
      <w:pPr>
        <w:spacing w:line="480" w:lineRule="auto"/>
        <w:rPr>
          <w:rFonts w:ascii="Calibri" w:hAnsi="Calibri" w:cs="Calibri"/>
          <w:color w:val="000000" w:themeColor="text1"/>
          <w:szCs w:val="24"/>
        </w:rPr>
      </w:pPr>
      <w:r w:rsidRPr="003F671C">
        <w:rPr>
          <w:rFonts w:ascii="Calibri" w:hAnsi="Calibri" w:cs="Calibri"/>
          <w:color w:val="000000" w:themeColor="text1"/>
          <w:szCs w:val="24"/>
        </w:rPr>
        <w:t>Performance management at Marriott is characterized by transparent goal setting, regular feedback, and recognition programs that reward both individual and team performance. Employees are encouraged to contribute ideas for service improvement, fostering participation and innovation. This participative approach strengthens employees’ emotional attachment to the organization.</w:t>
      </w:r>
    </w:p>
    <w:p w14:paraId="19B24134" w14:textId="77777777" w:rsidR="003F671C" w:rsidRPr="003F671C" w:rsidRDefault="003F671C" w:rsidP="003F671C">
      <w:pPr>
        <w:spacing w:line="480" w:lineRule="auto"/>
        <w:rPr>
          <w:rFonts w:ascii="Calibri" w:hAnsi="Calibri" w:cs="Calibri"/>
          <w:color w:val="000000" w:themeColor="text1"/>
          <w:szCs w:val="24"/>
        </w:rPr>
      </w:pPr>
      <w:r w:rsidRPr="003F671C">
        <w:rPr>
          <w:rFonts w:ascii="Calibri" w:hAnsi="Calibri" w:cs="Calibri"/>
          <w:color w:val="000000" w:themeColor="text1"/>
          <w:szCs w:val="24"/>
        </w:rPr>
        <w:t>Employee well-being is also a central focus of Marriott’s HRM strategy. The company has implemented wellness programs, diversity and inclusion initiatives, and flexible work arrangements to address the diverse needs of its workforce. These initiatives help mitigate burnout and promote psychological safety, which are critical for sustaining engagement in demanding hospitality roles.</w:t>
      </w:r>
    </w:p>
    <w:p w14:paraId="667C3211" w14:textId="77777777" w:rsidR="003F671C" w:rsidRPr="003F671C" w:rsidRDefault="003F671C" w:rsidP="003F671C">
      <w:pPr>
        <w:spacing w:line="480" w:lineRule="auto"/>
        <w:rPr>
          <w:rFonts w:ascii="Calibri" w:hAnsi="Calibri" w:cs="Calibri"/>
          <w:color w:val="000000" w:themeColor="text1"/>
          <w:szCs w:val="24"/>
        </w:rPr>
      </w:pPr>
      <w:r w:rsidRPr="003F671C">
        <w:rPr>
          <w:rFonts w:ascii="Calibri" w:hAnsi="Calibri" w:cs="Calibri"/>
          <w:color w:val="000000" w:themeColor="text1"/>
          <w:szCs w:val="24"/>
        </w:rPr>
        <w:t>Leadership development is strongly emphasized, with managers trained to adopt inclusive and supportive leadership styles. Marriott’s leaders are expected to champion engagement by creating positive work environments and addressing employee concerns proactively. The effectiveness of these HRM strategies is reflected in Marriott’s strong employer brand, high engagement scores, and consistent service quality across its global portfolio. This case demonstrates how large-scale hospitality organizations can maintain engagement through integrated and values-driven HRM systems.</w:t>
      </w:r>
    </w:p>
    <w:p w14:paraId="4599AFA2" w14:textId="6502F816" w:rsidR="003F671C" w:rsidRDefault="003F671C" w:rsidP="003F671C">
      <w:pPr>
        <w:spacing w:line="480" w:lineRule="auto"/>
        <w:rPr>
          <w:rFonts w:ascii="Calibri" w:hAnsi="Calibri" w:cs="Calibri"/>
          <w:color w:val="000000" w:themeColor="text1"/>
          <w:szCs w:val="24"/>
        </w:rPr>
      </w:pPr>
    </w:p>
    <w:p w14:paraId="5651207F" w14:textId="77777777" w:rsidR="00381FF3" w:rsidRPr="003F671C" w:rsidRDefault="00381FF3" w:rsidP="003F671C">
      <w:pPr>
        <w:spacing w:line="480" w:lineRule="auto"/>
        <w:rPr>
          <w:rFonts w:ascii="Calibri" w:hAnsi="Calibri" w:cs="Calibri"/>
          <w:color w:val="000000" w:themeColor="text1"/>
          <w:szCs w:val="24"/>
        </w:rPr>
      </w:pPr>
    </w:p>
    <w:p w14:paraId="33F3C48D" w14:textId="77777777" w:rsidR="003F671C" w:rsidRPr="003F671C" w:rsidRDefault="003F671C" w:rsidP="003F671C">
      <w:pPr>
        <w:spacing w:line="480" w:lineRule="auto"/>
        <w:rPr>
          <w:rFonts w:ascii="Calibri" w:hAnsi="Calibri" w:cs="Calibri"/>
          <w:b/>
          <w:bCs/>
          <w:color w:val="000000" w:themeColor="text1"/>
          <w:szCs w:val="24"/>
        </w:rPr>
      </w:pPr>
      <w:r w:rsidRPr="003F671C">
        <w:rPr>
          <w:rFonts w:ascii="Calibri" w:hAnsi="Calibri" w:cs="Calibri"/>
          <w:b/>
          <w:bCs/>
          <w:color w:val="000000" w:themeColor="text1"/>
          <w:szCs w:val="24"/>
        </w:rPr>
        <w:lastRenderedPageBreak/>
        <w:t>4. Comparative Insights from the Case Studies</w:t>
      </w:r>
    </w:p>
    <w:p w14:paraId="29C821E0" w14:textId="77777777" w:rsidR="003F671C" w:rsidRPr="003F671C" w:rsidRDefault="003F671C" w:rsidP="003F671C">
      <w:pPr>
        <w:spacing w:line="480" w:lineRule="auto"/>
        <w:rPr>
          <w:rFonts w:ascii="Calibri" w:hAnsi="Calibri" w:cs="Calibri"/>
          <w:color w:val="000000" w:themeColor="text1"/>
          <w:szCs w:val="24"/>
        </w:rPr>
      </w:pPr>
      <w:r w:rsidRPr="003F671C">
        <w:rPr>
          <w:rFonts w:ascii="Calibri" w:hAnsi="Calibri" w:cs="Calibri"/>
          <w:color w:val="000000" w:themeColor="text1"/>
          <w:szCs w:val="24"/>
        </w:rPr>
        <w:t>Across the three case studies, several common themes emerge. All organizations prioritize people-centric HRM practices, supportive leadership, and employee empowerment as foundations for engagement. Training, recognition, and career development consistently appear as key drivers of employee motivation and retention. Moreover, the alignment of HRM strategies with organizational values and service objectives enables these hospitality leaders to translate employee engagement into superior guest experiences and sustainable competitive advantage.</w:t>
      </w:r>
    </w:p>
    <w:p w14:paraId="1C4D4587" w14:textId="77777777" w:rsidR="00541EEF" w:rsidRPr="00541EEF" w:rsidRDefault="00541EEF" w:rsidP="00986B40">
      <w:pPr>
        <w:spacing w:line="480" w:lineRule="auto"/>
        <w:rPr>
          <w:rFonts w:ascii="Calibri" w:hAnsi="Calibri" w:cs="Calibri"/>
          <w:color w:val="000000" w:themeColor="text1"/>
          <w:szCs w:val="24"/>
        </w:rPr>
      </w:pPr>
    </w:p>
    <w:p w14:paraId="3D0E9DF2" w14:textId="4FD97404" w:rsidR="005849ED" w:rsidRPr="00CC2A71" w:rsidRDefault="005849ED" w:rsidP="00986B40">
      <w:pPr>
        <w:pStyle w:val="Heading1"/>
        <w:spacing w:line="480" w:lineRule="auto"/>
        <w:rPr>
          <w:rFonts w:ascii="Calibri" w:hAnsi="Calibri" w:cs="Calibri"/>
          <w:b/>
          <w:bCs/>
          <w:sz w:val="24"/>
          <w:szCs w:val="24"/>
        </w:rPr>
      </w:pPr>
      <w:bookmarkStart w:id="5" w:name="_Toc220957855"/>
      <w:r w:rsidRPr="00CC2A71">
        <w:rPr>
          <w:rFonts w:ascii="Calibri" w:hAnsi="Calibri" w:cs="Calibri"/>
          <w:b/>
          <w:bCs/>
          <w:sz w:val="24"/>
          <w:szCs w:val="24"/>
        </w:rPr>
        <w:lastRenderedPageBreak/>
        <w:t>Discussion</w:t>
      </w:r>
      <w:bookmarkEnd w:id="5"/>
      <w:r w:rsidRPr="00CC2A71">
        <w:rPr>
          <w:rFonts w:ascii="Calibri" w:hAnsi="Calibri" w:cs="Calibri"/>
          <w:b/>
          <w:bCs/>
          <w:sz w:val="24"/>
          <w:szCs w:val="24"/>
        </w:rPr>
        <w:t xml:space="preserve"> </w:t>
      </w:r>
    </w:p>
    <w:p w14:paraId="5D0B5C85" w14:textId="3DEF6C9B" w:rsidR="00795E6D" w:rsidRPr="00795E6D" w:rsidRDefault="00795E6D" w:rsidP="00795E6D">
      <w:pPr>
        <w:pStyle w:val="Heading1"/>
        <w:spacing w:line="480" w:lineRule="auto"/>
        <w:rPr>
          <w:rFonts w:ascii="Calibri" w:eastAsiaTheme="minorHAnsi" w:hAnsi="Calibri" w:cs="Calibri"/>
          <w:color w:val="000000" w:themeColor="text1"/>
          <w:sz w:val="24"/>
          <w:szCs w:val="24"/>
        </w:rPr>
      </w:pPr>
      <w:bookmarkStart w:id="6" w:name="_Toc220957856"/>
      <w:r w:rsidRPr="00795E6D">
        <w:rPr>
          <w:rFonts w:ascii="Calibri" w:eastAsiaTheme="minorHAnsi" w:hAnsi="Calibri" w:cs="Calibri"/>
          <w:color w:val="000000" w:themeColor="text1"/>
          <w:sz w:val="24"/>
          <w:szCs w:val="24"/>
        </w:rPr>
        <w:t>The purpose of this discussion is to critically interpret the findings of the study in relation to existing literature and the research objectives. The analysis demonstrates that Human Resource Management (HRM) practices play a central and strategic role in shaping employee engagement within the hospitality industry. Consistent with prior research, the findings confirm that employee engagement is not an isolated psychological state but rather an outcome of well-designed HRM systems, supportive leadership, and employee-centric organizational cultures.</w:t>
      </w:r>
    </w:p>
    <w:p w14:paraId="17E93DAD" w14:textId="77777777" w:rsidR="00795E6D" w:rsidRPr="00795E6D" w:rsidRDefault="00795E6D" w:rsidP="00795E6D">
      <w:pPr>
        <w:pStyle w:val="Heading1"/>
        <w:spacing w:line="480" w:lineRule="auto"/>
        <w:rPr>
          <w:rFonts w:ascii="Calibri" w:eastAsiaTheme="minorHAnsi" w:hAnsi="Calibri" w:cs="Calibri"/>
          <w:color w:val="000000" w:themeColor="text1"/>
          <w:sz w:val="24"/>
          <w:szCs w:val="24"/>
        </w:rPr>
      </w:pPr>
      <w:r w:rsidRPr="00795E6D">
        <w:rPr>
          <w:rFonts w:ascii="Calibri" w:eastAsiaTheme="minorHAnsi" w:hAnsi="Calibri" w:cs="Calibri"/>
          <w:color w:val="000000" w:themeColor="text1"/>
          <w:sz w:val="24"/>
          <w:szCs w:val="24"/>
        </w:rPr>
        <w:t xml:space="preserve">One of the most significant insights emerging from the findings is the strong influence of training and development on employee engagement. The literature review emphasized that continuous learning enhances employees’ skills, confidence, and service competence, particularly in customer-facing hospitality roles. The findings reinforce this view by demonstrating that hospitality organizations investing in structured training programs experience higher employee commitment and discretionary effort. From a theoretical perspective, this supports the Ability component of the AMO framework, where skill development directly enhances employees’ capacity to engage meaningfully with their work. Moreover, training acts as a social exchange mechanism, </w:t>
      </w:r>
      <w:proofErr w:type="spellStart"/>
      <w:r w:rsidRPr="00795E6D">
        <w:rPr>
          <w:rFonts w:ascii="Calibri" w:eastAsiaTheme="minorHAnsi" w:hAnsi="Calibri" w:cs="Calibri"/>
          <w:color w:val="000000" w:themeColor="text1"/>
          <w:sz w:val="24"/>
          <w:szCs w:val="24"/>
        </w:rPr>
        <w:t>signaling</w:t>
      </w:r>
      <w:proofErr w:type="spellEnd"/>
      <w:r w:rsidRPr="00795E6D">
        <w:rPr>
          <w:rFonts w:ascii="Calibri" w:eastAsiaTheme="minorHAnsi" w:hAnsi="Calibri" w:cs="Calibri"/>
          <w:color w:val="000000" w:themeColor="text1"/>
          <w:sz w:val="24"/>
          <w:szCs w:val="24"/>
        </w:rPr>
        <w:t xml:space="preserve"> organizational support and triggering reciprocal positive </w:t>
      </w:r>
      <w:proofErr w:type="spellStart"/>
      <w:r w:rsidRPr="00795E6D">
        <w:rPr>
          <w:rFonts w:ascii="Calibri" w:eastAsiaTheme="minorHAnsi" w:hAnsi="Calibri" w:cs="Calibri"/>
          <w:color w:val="000000" w:themeColor="text1"/>
          <w:sz w:val="24"/>
          <w:szCs w:val="24"/>
        </w:rPr>
        <w:t>behaviors</w:t>
      </w:r>
      <w:proofErr w:type="spellEnd"/>
      <w:r w:rsidRPr="00795E6D">
        <w:rPr>
          <w:rFonts w:ascii="Calibri" w:eastAsiaTheme="minorHAnsi" w:hAnsi="Calibri" w:cs="Calibri"/>
          <w:color w:val="000000" w:themeColor="text1"/>
          <w:sz w:val="24"/>
          <w:szCs w:val="24"/>
        </w:rPr>
        <w:t xml:space="preserve"> from employees.</w:t>
      </w:r>
    </w:p>
    <w:p w14:paraId="69EFC3C7" w14:textId="77777777" w:rsidR="00795E6D" w:rsidRPr="00795E6D" w:rsidRDefault="00795E6D" w:rsidP="00795E6D">
      <w:pPr>
        <w:pStyle w:val="Heading1"/>
        <w:spacing w:line="480" w:lineRule="auto"/>
        <w:rPr>
          <w:rFonts w:ascii="Calibri" w:eastAsiaTheme="minorHAnsi" w:hAnsi="Calibri" w:cs="Calibri"/>
          <w:color w:val="000000" w:themeColor="text1"/>
          <w:sz w:val="24"/>
          <w:szCs w:val="24"/>
        </w:rPr>
      </w:pPr>
    </w:p>
    <w:p w14:paraId="7E4E4A21" w14:textId="1ED71FE6" w:rsidR="00795E6D" w:rsidRPr="00795E6D" w:rsidRDefault="00795E6D" w:rsidP="00795E6D">
      <w:pPr>
        <w:pStyle w:val="Heading1"/>
        <w:spacing w:line="480" w:lineRule="auto"/>
        <w:rPr>
          <w:rFonts w:ascii="Calibri" w:eastAsiaTheme="minorHAnsi" w:hAnsi="Calibri" w:cs="Calibri"/>
          <w:color w:val="000000" w:themeColor="text1"/>
          <w:sz w:val="24"/>
          <w:szCs w:val="24"/>
        </w:rPr>
      </w:pPr>
      <w:r w:rsidRPr="00795E6D">
        <w:rPr>
          <w:rFonts w:ascii="Calibri" w:eastAsiaTheme="minorHAnsi" w:hAnsi="Calibri" w:cs="Calibri"/>
          <w:color w:val="000000" w:themeColor="text1"/>
          <w:sz w:val="24"/>
          <w:szCs w:val="24"/>
        </w:rPr>
        <w:lastRenderedPageBreak/>
        <w:t>Performance management systems also emerge as a critical determinant of engagement. The findings reveal that transparent and developmental performance appraisal processes foster trust, motivation, and alignment with organizational goals. This aligns with Social Exchange Theory, which suggests that employees are more engaged when they perceive fairness and recognition in organizational practices. In hospitality environments, where performance is closely tied to service quality, fair appraisal systems enhance role clarity and reduce role ambiguity, thereby strengthening engagement. Conversely, poorly implemented appraisal systems can erode trust and undermine motivation, reinforcing the importance of consistency and transparency in HRM design.</w:t>
      </w:r>
    </w:p>
    <w:p w14:paraId="1C7ED338" w14:textId="77777777" w:rsidR="00795E6D" w:rsidRPr="00795E6D" w:rsidRDefault="00795E6D" w:rsidP="00795E6D">
      <w:pPr>
        <w:pStyle w:val="Heading1"/>
        <w:spacing w:line="480" w:lineRule="auto"/>
        <w:rPr>
          <w:rFonts w:ascii="Calibri" w:eastAsiaTheme="minorHAnsi" w:hAnsi="Calibri" w:cs="Calibri"/>
          <w:color w:val="000000" w:themeColor="text1"/>
          <w:sz w:val="24"/>
          <w:szCs w:val="24"/>
        </w:rPr>
      </w:pPr>
      <w:r w:rsidRPr="00795E6D">
        <w:rPr>
          <w:rFonts w:ascii="Calibri" w:eastAsiaTheme="minorHAnsi" w:hAnsi="Calibri" w:cs="Calibri"/>
          <w:color w:val="000000" w:themeColor="text1"/>
          <w:sz w:val="24"/>
          <w:szCs w:val="24"/>
        </w:rPr>
        <w:t>Career development opportunities represent another key theme in the discussion. The hospitality industry has historically struggled with high employee turnover, often attributed to limited career progression. The findings demonstrate that organizations offering clear career pathways, internal mobility, and leadership development opportunities achieve higher engagement and retention. This finding supports existing literature that identifies career development as a long-term engagement driver rather than a short-term motivational tool. Employees who perceive future growth within the organization are more likely to invest emotional and cognitive resources into their roles, enhancing organizational commitment and reducing turnover intentions.</w:t>
      </w:r>
    </w:p>
    <w:p w14:paraId="4879CF4E" w14:textId="77777777" w:rsidR="00795E6D" w:rsidRPr="00795E6D" w:rsidRDefault="00795E6D" w:rsidP="00795E6D">
      <w:pPr>
        <w:pStyle w:val="Heading1"/>
        <w:spacing w:line="480" w:lineRule="auto"/>
        <w:rPr>
          <w:rFonts w:ascii="Calibri" w:eastAsiaTheme="minorHAnsi" w:hAnsi="Calibri" w:cs="Calibri"/>
          <w:color w:val="000000" w:themeColor="text1"/>
          <w:sz w:val="24"/>
          <w:szCs w:val="24"/>
        </w:rPr>
      </w:pPr>
    </w:p>
    <w:p w14:paraId="0412B383" w14:textId="77777777" w:rsidR="00795E6D" w:rsidRPr="00795E6D" w:rsidRDefault="00795E6D" w:rsidP="00795E6D">
      <w:pPr>
        <w:pStyle w:val="Heading1"/>
        <w:spacing w:line="480" w:lineRule="auto"/>
        <w:rPr>
          <w:rFonts w:ascii="Calibri" w:eastAsiaTheme="minorHAnsi" w:hAnsi="Calibri" w:cs="Calibri"/>
          <w:color w:val="000000" w:themeColor="text1"/>
          <w:sz w:val="24"/>
          <w:szCs w:val="24"/>
        </w:rPr>
      </w:pPr>
      <w:r w:rsidRPr="00795E6D">
        <w:rPr>
          <w:rFonts w:ascii="Calibri" w:eastAsiaTheme="minorHAnsi" w:hAnsi="Calibri" w:cs="Calibri"/>
          <w:color w:val="000000" w:themeColor="text1"/>
          <w:sz w:val="24"/>
          <w:szCs w:val="24"/>
        </w:rPr>
        <w:lastRenderedPageBreak/>
        <w:t xml:space="preserve">Leadership style emerges as a powerful contextual factor that shapes the effectiveness of HRM practices. The findings consistently indicate that transformational, servant, and supportive leadership styles enhance employee engagement by fostering trust, empowerment, and psychological safety. This supports prior hospitality research emphasizing that leadership </w:t>
      </w:r>
      <w:proofErr w:type="spellStart"/>
      <w:r w:rsidRPr="00795E6D">
        <w:rPr>
          <w:rFonts w:ascii="Calibri" w:eastAsiaTheme="minorHAnsi" w:hAnsi="Calibri" w:cs="Calibri"/>
          <w:color w:val="000000" w:themeColor="text1"/>
          <w:sz w:val="24"/>
          <w:szCs w:val="24"/>
        </w:rPr>
        <w:t>behavior</w:t>
      </w:r>
      <w:proofErr w:type="spellEnd"/>
      <w:r w:rsidRPr="00795E6D">
        <w:rPr>
          <w:rFonts w:ascii="Calibri" w:eastAsiaTheme="minorHAnsi" w:hAnsi="Calibri" w:cs="Calibri"/>
          <w:color w:val="000000" w:themeColor="text1"/>
          <w:sz w:val="24"/>
          <w:szCs w:val="24"/>
        </w:rPr>
        <w:t xml:space="preserve"> can either amplify or weaken the impact of HRM systems. Leaders who demonstrate empathy, provide individualized support, and encourage participation create environments where employees feel valued and motivated. In contrast, authoritarian leadership styles are associated with emotional exhaustion and disengagement, particularly in high-stress hospitality settings. These findings highlight the necessity of integrating leadership development into HRM strategies rather than treating leadership as a separate organizational function.</w:t>
      </w:r>
    </w:p>
    <w:p w14:paraId="5C7D69B3" w14:textId="77777777" w:rsidR="00795E6D" w:rsidRPr="00795E6D" w:rsidRDefault="00795E6D" w:rsidP="00795E6D">
      <w:pPr>
        <w:pStyle w:val="Heading1"/>
        <w:spacing w:line="480" w:lineRule="auto"/>
        <w:rPr>
          <w:rFonts w:ascii="Calibri" w:eastAsiaTheme="minorHAnsi" w:hAnsi="Calibri" w:cs="Calibri"/>
          <w:color w:val="000000" w:themeColor="text1"/>
          <w:sz w:val="24"/>
          <w:szCs w:val="24"/>
        </w:rPr>
      </w:pPr>
    </w:p>
    <w:p w14:paraId="524CF24F" w14:textId="77777777" w:rsidR="00795E6D" w:rsidRPr="00795E6D" w:rsidRDefault="00795E6D" w:rsidP="00795E6D">
      <w:pPr>
        <w:pStyle w:val="Heading1"/>
        <w:spacing w:line="480" w:lineRule="auto"/>
        <w:rPr>
          <w:rFonts w:ascii="Calibri" w:eastAsiaTheme="minorHAnsi" w:hAnsi="Calibri" w:cs="Calibri"/>
          <w:color w:val="000000" w:themeColor="text1"/>
          <w:sz w:val="24"/>
          <w:szCs w:val="24"/>
        </w:rPr>
      </w:pPr>
      <w:r w:rsidRPr="00795E6D">
        <w:rPr>
          <w:rFonts w:ascii="Calibri" w:eastAsiaTheme="minorHAnsi" w:hAnsi="Calibri" w:cs="Calibri"/>
          <w:color w:val="000000" w:themeColor="text1"/>
          <w:sz w:val="24"/>
          <w:szCs w:val="24"/>
        </w:rPr>
        <w:t xml:space="preserve">Employee well-being is another critical dimension explored in the discussion. The findings confirm that hospitality employees face substantial job demands, including long working hours, emotional </w:t>
      </w:r>
      <w:proofErr w:type="spellStart"/>
      <w:r w:rsidRPr="00795E6D">
        <w:rPr>
          <w:rFonts w:ascii="Calibri" w:eastAsiaTheme="minorHAnsi" w:hAnsi="Calibri" w:cs="Calibri"/>
          <w:color w:val="000000" w:themeColor="text1"/>
          <w:sz w:val="24"/>
          <w:szCs w:val="24"/>
        </w:rPr>
        <w:t>labor</w:t>
      </w:r>
      <w:proofErr w:type="spellEnd"/>
      <w:r w:rsidRPr="00795E6D">
        <w:rPr>
          <w:rFonts w:ascii="Calibri" w:eastAsiaTheme="minorHAnsi" w:hAnsi="Calibri" w:cs="Calibri"/>
          <w:color w:val="000000" w:themeColor="text1"/>
          <w:sz w:val="24"/>
          <w:szCs w:val="24"/>
        </w:rPr>
        <w:t>, and irregular schedules. Without appropriate HRM interventions, these demands negatively affect well-being and engagement. However, organizations that prioritize employee well-being through flexible work arrangements, mental health support, and inclusive workplace practices demonstrate higher engagement levels. From the perspective of the Job Demands–Resources model, these well-being initiatives function as job resources that buffer the negative effects of job demands. This reinforces the argument that employee well-being is not merely a welfare concern but a strategic factor influencing engagement and service quality.</w:t>
      </w:r>
    </w:p>
    <w:p w14:paraId="6CF8AB52" w14:textId="77777777" w:rsidR="00795E6D" w:rsidRPr="00795E6D" w:rsidRDefault="00795E6D" w:rsidP="00795E6D">
      <w:pPr>
        <w:pStyle w:val="Heading1"/>
        <w:spacing w:line="480" w:lineRule="auto"/>
        <w:rPr>
          <w:rFonts w:ascii="Calibri" w:eastAsiaTheme="minorHAnsi" w:hAnsi="Calibri" w:cs="Calibri"/>
          <w:color w:val="000000" w:themeColor="text1"/>
          <w:sz w:val="24"/>
          <w:szCs w:val="24"/>
        </w:rPr>
      </w:pPr>
    </w:p>
    <w:p w14:paraId="1AD154D7" w14:textId="77777777" w:rsidR="00795E6D" w:rsidRPr="00795E6D" w:rsidRDefault="00795E6D" w:rsidP="00795E6D">
      <w:pPr>
        <w:pStyle w:val="Heading1"/>
        <w:spacing w:line="480" w:lineRule="auto"/>
        <w:rPr>
          <w:rFonts w:ascii="Calibri" w:eastAsiaTheme="minorHAnsi" w:hAnsi="Calibri" w:cs="Calibri"/>
          <w:color w:val="000000" w:themeColor="text1"/>
          <w:sz w:val="24"/>
          <w:szCs w:val="24"/>
        </w:rPr>
      </w:pPr>
      <w:r w:rsidRPr="00795E6D">
        <w:rPr>
          <w:rFonts w:ascii="Calibri" w:eastAsiaTheme="minorHAnsi" w:hAnsi="Calibri" w:cs="Calibri"/>
          <w:color w:val="000000" w:themeColor="text1"/>
          <w:sz w:val="24"/>
          <w:szCs w:val="24"/>
        </w:rPr>
        <w:t>The case studies further strengthen the discussion by illustrating how theoretical concepts are applied in real-world hospitality organizations. Four Seasons, Ritz-Carlton, and Marriott demonstrate that engagement-focused HRM practices are sustainable and scalable when aligned with organizational values and leadership philosophy. A key insight from these cases is that employee engagement is deeply embedded in organizational culture rather than implemented as a standalone HR initiative. Empowerment, recognition, and employee voice consistently emerge as shared practices across the case organizations, reinforcing the idea that engagement thrives in environments where employees are trusted and respected.</w:t>
      </w:r>
    </w:p>
    <w:p w14:paraId="6BB06CE2" w14:textId="77777777" w:rsidR="00795E6D" w:rsidRPr="00795E6D" w:rsidRDefault="00795E6D" w:rsidP="00795E6D">
      <w:pPr>
        <w:pStyle w:val="Heading1"/>
        <w:spacing w:line="480" w:lineRule="auto"/>
        <w:rPr>
          <w:rFonts w:ascii="Calibri" w:eastAsiaTheme="minorHAnsi" w:hAnsi="Calibri" w:cs="Calibri"/>
          <w:color w:val="000000" w:themeColor="text1"/>
          <w:sz w:val="24"/>
          <w:szCs w:val="24"/>
        </w:rPr>
      </w:pPr>
    </w:p>
    <w:p w14:paraId="6A4DFD74" w14:textId="77777777" w:rsidR="00795E6D" w:rsidRPr="00795E6D" w:rsidRDefault="00795E6D" w:rsidP="00795E6D">
      <w:pPr>
        <w:pStyle w:val="Heading1"/>
        <w:spacing w:line="480" w:lineRule="auto"/>
        <w:rPr>
          <w:rFonts w:ascii="Calibri" w:eastAsiaTheme="minorHAnsi" w:hAnsi="Calibri" w:cs="Calibri"/>
          <w:color w:val="000000" w:themeColor="text1"/>
          <w:sz w:val="24"/>
          <w:szCs w:val="24"/>
        </w:rPr>
      </w:pPr>
      <w:r w:rsidRPr="00795E6D">
        <w:rPr>
          <w:rFonts w:ascii="Calibri" w:eastAsiaTheme="minorHAnsi" w:hAnsi="Calibri" w:cs="Calibri"/>
          <w:color w:val="000000" w:themeColor="text1"/>
          <w:sz w:val="24"/>
          <w:szCs w:val="24"/>
        </w:rPr>
        <w:t>Importantly, the discussion highlights that employee engagement acts as a mediating variable between HRM practices and organizational performance. Engaged employees contribute to superior service quality, enhanced guest satisfaction, and stronger brand loyalty. This finding reinforces the strategic value of HRM in hospitality, positioning employee engagement as a source of competitive advantage. In an industry where service differentiation is critical, organizations that invest in engagement-driven HRM systems are better positioned to achieve sustainable performance outcomes.</w:t>
      </w:r>
    </w:p>
    <w:p w14:paraId="4D0145F3" w14:textId="77777777" w:rsidR="00795E6D" w:rsidRPr="00795E6D" w:rsidRDefault="00795E6D" w:rsidP="00795E6D">
      <w:pPr>
        <w:pStyle w:val="Heading1"/>
        <w:spacing w:line="480" w:lineRule="auto"/>
        <w:rPr>
          <w:rFonts w:ascii="Calibri" w:eastAsiaTheme="minorHAnsi" w:hAnsi="Calibri" w:cs="Calibri"/>
          <w:color w:val="000000" w:themeColor="text1"/>
          <w:sz w:val="24"/>
          <w:szCs w:val="24"/>
        </w:rPr>
      </w:pPr>
    </w:p>
    <w:p w14:paraId="540B7CD2" w14:textId="77777777" w:rsidR="00795E6D" w:rsidRDefault="00795E6D" w:rsidP="00795E6D">
      <w:pPr>
        <w:pStyle w:val="Heading1"/>
        <w:spacing w:line="480" w:lineRule="auto"/>
        <w:rPr>
          <w:rFonts w:ascii="Calibri" w:eastAsiaTheme="minorHAnsi" w:hAnsi="Calibri" w:cs="Calibri"/>
          <w:color w:val="000000" w:themeColor="text1"/>
          <w:sz w:val="24"/>
          <w:szCs w:val="24"/>
        </w:rPr>
      </w:pPr>
      <w:r w:rsidRPr="00795E6D">
        <w:rPr>
          <w:rFonts w:ascii="Calibri" w:eastAsiaTheme="minorHAnsi" w:hAnsi="Calibri" w:cs="Calibri"/>
          <w:color w:val="000000" w:themeColor="text1"/>
          <w:sz w:val="24"/>
          <w:szCs w:val="24"/>
        </w:rPr>
        <w:lastRenderedPageBreak/>
        <w:t>Despite these strengths, the discussion also acknowledges limitations within the existing body of research. Much of the hospitality engagement literature relies on cross-sectional designs, limiting causal inference. Additionally, the evolving nature of work, including digital HRM systems and post-pandemic workforce expectations, remains underexplored. These gaps suggest opportunities for future research to examine how technological innovation and changing employee values influence engagement dynamics in hospitality contexts.</w:t>
      </w:r>
    </w:p>
    <w:p w14:paraId="4E7F4C95" w14:textId="4F71991B" w:rsidR="00B5562C" w:rsidRPr="00CC2A71" w:rsidRDefault="00B5562C" w:rsidP="00795E6D">
      <w:pPr>
        <w:pStyle w:val="Heading1"/>
        <w:spacing w:line="480" w:lineRule="auto"/>
        <w:rPr>
          <w:rFonts w:ascii="Calibri" w:hAnsi="Calibri" w:cs="Calibri"/>
          <w:b/>
          <w:bCs/>
          <w:sz w:val="24"/>
          <w:szCs w:val="24"/>
        </w:rPr>
      </w:pPr>
      <w:r w:rsidRPr="00CC2A71">
        <w:rPr>
          <w:rFonts w:ascii="Calibri" w:hAnsi="Calibri" w:cs="Calibri"/>
          <w:b/>
          <w:bCs/>
          <w:sz w:val="24"/>
          <w:szCs w:val="24"/>
        </w:rPr>
        <w:t>Conclusion</w:t>
      </w:r>
      <w:bookmarkEnd w:id="6"/>
      <w:r w:rsidRPr="00CC2A71">
        <w:rPr>
          <w:rFonts w:ascii="Calibri" w:hAnsi="Calibri" w:cs="Calibri"/>
          <w:b/>
          <w:bCs/>
          <w:sz w:val="24"/>
          <w:szCs w:val="24"/>
        </w:rPr>
        <w:t xml:space="preserve"> </w:t>
      </w:r>
    </w:p>
    <w:p w14:paraId="7E87BAF0" w14:textId="77777777" w:rsidR="00381FF3" w:rsidRPr="00381FF3" w:rsidRDefault="00381FF3" w:rsidP="00381FF3">
      <w:pPr>
        <w:spacing w:line="480" w:lineRule="auto"/>
        <w:rPr>
          <w:rFonts w:ascii="Calibri" w:hAnsi="Calibri" w:cs="Calibri"/>
          <w:color w:val="000000" w:themeColor="text1"/>
          <w:szCs w:val="24"/>
        </w:rPr>
      </w:pPr>
      <w:r w:rsidRPr="00381FF3">
        <w:rPr>
          <w:rFonts w:ascii="Calibri" w:hAnsi="Calibri" w:cs="Calibri"/>
          <w:color w:val="000000" w:themeColor="text1"/>
          <w:szCs w:val="24"/>
        </w:rPr>
        <w:t>This study has examined the role of Human Resource Management in fostering employee engagement within the hospitality industry. Drawing on established theoretical frameworks, empirical literature, and real-world case studies, the assignment demonstrates that employee engagement is a strategic outcome shaped by integrated HRM practices, supportive leadership, and a strong focus on employee well-being. In service-intensive hospitality environments, where employee attitudes directly influence guest experiences, engagement emerges as a critical driver of organizational success.</w:t>
      </w:r>
    </w:p>
    <w:p w14:paraId="381B814C" w14:textId="77777777" w:rsidR="00381FF3" w:rsidRPr="00381FF3" w:rsidRDefault="00381FF3" w:rsidP="00381FF3">
      <w:pPr>
        <w:spacing w:line="480" w:lineRule="auto"/>
        <w:rPr>
          <w:rFonts w:ascii="Calibri" w:hAnsi="Calibri" w:cs="Calibri"/>
          <w:color w:val="000000" w:themeColor="text1"/>
          <w:szCs w:val="24"/>
        </w:rPr>
      </w:pPr>
      <w:r w:rsidRPr="00381FF3">
        <w:rPr>
          <w:rFonts w:ascii="Calibri" w:hAnsi="Calibri" w:cs="Calibri"/>
          <w:color w:val="000000" w:themeColor="text1"/>
          <w:szCs w:val="24"/>
        </w:rPr>
        <w:t xml:space="preserve">The findings confirm that HRM practices such as training and development, performance management, rewards, and career progression play a vital role in enhancing employee engagement. These practices not only improve employee skills and motivation but also signal organizational support, strengthening the psychological contract between employees and employers. Leadership style further moderates this relationship, with transformational and servant leadership approaches proving particularly effective in sustaining engagement. </w:t>
      </w:r>
      <w:r w:rsidRPr="00381FF3">
        <w:rPr>
          <w:rFonts w:ascii="Calibri" w:hAnsi="Calibri" w:cs="Calibri"/>
          <w:color w:val="000000" w:themeColor="text1"/>
          <w:szCs w:val="24"/>
        </w:rPr>
        <w:lastRenderedPageBreak/>
        <w:t>Additionally, employee well-being initiatives are shown to mitigate burnout and enhance long-term commitment in demanding hospitality roles.</w:t>
      </w:r>
    </w:p>
    <w:p w14:paraId="123C210C" w14:textId="77777777" w:rsidR="00381FF3" w:rsidRPr="00381FF3" w:rsidRDefault="00381FF3" w:rsidP="00381FF3">
      <w:pPr>
        <w:spacing w:line="480" w:lineRule="auto"/>
        <w:rPr>
          <w:rFonts w:ascii="Calibri" w:hAnsi="Calibri" w:cs="Calibri"/>
          <w:color w:val="000000" w:themeColor="text1"/>
          <w:szCs w:val="24"/>
        </w:rPr>
      </w:pPr>
      <w:r w:rsidRPr="00381FF3">
        <w:rPr>
          <w:rFonts w:ascii="Calibri" w:hAnsi="Calibri" w:cs="Calibri"/>
          <w:color w:val="000000" w:themeColor="text1"/>
          <w:szCs w:val="24"/>
        </w:rPr>
        <w:t>The case studies of leading hospitality organizations illustrate that engagement-focused HRM strategies can be successfully implemented across diverse operational contexts. Organizations that embed engagement into their culture and leadership philosophy achieve superior service quality, higher employee retention, and stronger competitive positioning. Collectively, these insights highlight that employee engagement should be viewed as a long-term strategic investment rather than a short-term HR initiative.</w:t>
      </w:r>
    </w:p>
    <w:p w14:paraId="27CC7412" w14:textId="77777777" w:rsidR="00381FF3" w:rsidRPr="00381FF3" w:rsidRDefault="00381FF3" w:rsidP="00381FF3">
      <w:pPr>
        <w:spacing w:line="480" w:lineRule="auto"/>
        <w:rPr>
          <w:rFonts w:ascii="Calibri" w:hAnsi="Calibri" w:cs="Calibri"/>
          <w:color w:val="000000" w:themeColor="text1"/>
          <w:szCs w:val="24"/>
        </w:rPr>
      </w:pPr>
      <w:r w:rsidRPr="00381FF3">
        <w:rPr>
          <w:rFonts w:ascii="Calibri" w:hAnsi="Calibri" w:cs="Calibri"/>
          <w:color w:val="000000" w:themeColor="text1"/>
          <w:szCs w:val="24"/>
        </w:rPr>
        <w:t>In conclusion, effective HRM is fundamental to sustaining employee engagement and organizational performance in the hospitality industry. By prioritizing people-centric practices, supportive leadership, and employee well-being, hospitality organizations can create resilient, motivated, and service-oriented workforces capable of delivering consistent value to both customers and stakeholders.</w:t>
      </w:r>
    </w:p>
    <w:p w14:paraId="1CCD8F74" w14:textId="77777777" w:rsidR="00B5562C" w:rsidRDefault="00B5562C" w:rsidP="00986B40">
      <w:pPr>
        <w:spacing w:line="480" w:lineRule="auto"/>
        <w:rPr>
          <w:rFonts w:ascii="Calibri" w:hAnsi="Calibri" w:cs="Calibri"/>
          <w:b/>
          <w:bCs/>
          <w:color w:val="000000" w:themeColor="text1"/>
          <w:szCs w:val="24"/>
        </w:rPr>
      </w:pPr>
    </w:p>
    <w:p w14:paraId="346803E0" w14:textId="77777777" w:rsidR="00381FF3" w:rsidRDefault="00381FF3" w:rsidP="00986B40">
      <w:pPr>
        <w:spacing w:line="480" w:lineRule="auto"/>
        <w:rPr>
          <w:rFonts w:ascii="Calibri" w:hAnsi="Calibri" w:cs="Calibri"/>
          <w:b/>
          <w:bCs/>
          <w:color w:val="000000" w:themeColor="text1"/>
          <w:szCs w:val="24"/>
        </w:rPr>
      </w:pPr>
    </w:p>
    <w:p w14:paraId="0987A2BF" w14:textId="77777777" w:rsidR="00381FF3" w:rsidRDefault="00381FF3" w:rsidP="00986B40">
      <w:pPr>
        <w:spacing w:line="480" w:lineRule="auto"/>
        <w:rPr>
          <w:rFonts w:ascii="Calibri" w:hAnsi="Calibri" w:cs="Calibri"/>
          <w:b/>
          <w:bCs/>
          <w:color w:val="000000" w:themeColor="text1"/>
          <w:szCs w:val="24"/>
        </w:rPr>
      </w:pPr>
    </w:p>
    <w:p w14:paraId="1BFF9D4E" w14:textId="77777777" w:rsidR="00381FF3" w:rsidRDefault="00381FF3" w:rsidP="00986B40">
      <w:pPr>
        <w:spacing w:line="480" w:lineRule="auto"/>
        <w:rPr>
          <w:rFonts w:ascii="Calibri" w:hAnsi="Calibri" w:cs="Calibri"/>
          <w:b/>
          <w:bCs/>
          <w:color w:val="000000" w:themeColor="text1"/>
          <w:szCs w:val="24"/>
        </w:rPr>
      </w:pPr>
    </w:p>
    <w:p w14:paraId="05D2F1DC" w14:textId="77777777" w:rsidR="00381FF3" w:rsidRDefault="00381FF3" w:rsidP="00986B40">
      <w:pPr>
        <w:spacing w:line="480" w:lineRule="auto"/>
        <w:rPr>
          <w:rFonts w:ascii="Calibri" w:hAnsi="Calibri" w:cs="Calibri"/>
          <w:b/>
          <w:bCs/>
          <w:color w:val="000000" w:themeColor="text1"/>
          <w:szCs w:val="24"/>
        </w:rPr>
      </w:pPr>
    </w:p>
    <w:p w14:paraId="0F08DB49" w14:textId="77777777" w:rsidR="00381FF3" w:rsidRPr="00CC2A71" w:rsidRDefault="00381FF3" w:rsidP="00986B40">
      <w:pPr>
        <w:spacing w:line="480" w:lineRule="auto"/>
        <w:rPr>
          <w:rFonts w:ascii="Calibri" w:hAnsi="Calibri" w:cs="Calibri"/>
          <w:b/>
          <w:bCs/>
          <w:color w:val="000000" w:themeColor="text1"/>
          <w:szCs w:val="24"/>
        </w:rPr>
      </w:pPr>
    </w:p>
    <w:p w14:paraId="482FE4FA" w14:textId="5B0E1E1D" w:rsidR="00B5562C" w:rsidRPr="00CC2A71" w:rsidRDefault="00B5562C" w:rsidP="00986B40">
      <w:pPr>
        <w:pStyle w:val="Heading1"/>
        <w:spacing w:line="480" w:lineRule="auto"/>
        <w:rPr>
          <w:rFonts w:ascii="Calibri" w:hAnsi="Calibri" w:cs="Calibri"/>
          <w:b/>
          <w:bCs/>
          <w:sz w:val="24"/>
          <w:szCs w:val="24"/>
        </w:rPr>
      </w:pPr>
      <w:bookmarkStart w:id="7" w:name="_Toc220957857"/>
      <w:r w:rsidRPr="00CC2A71">
        <w:rPr>
          <w:rFonts w:ascii="Calibri" w:hAnsi="Calibri" w:cs="Calibri"/>
          <w:b/>
          <w:bCs/>
          <w:sz w:val="24"/>
          <w:szCs w:val="24"/>
        </w:rPr>
        <w:lastRenderedPageBreak/>
        <w:t>References</w:t>
      </w:r>
      <w:bookmarkEnd w:id="7"/>
      <w:r w:rsidRPr="00CC2A71">
        <w:rPr>
          <w:rFonts w:ascii="Calibri" w:hAnsi="Calibri" w:cs="Calibri"/>
          <w:b/>
          <w:bCs/>
          <w:sz w:val="24"/>
          <w:szCs w:val="24"/>
        </w:rPr>
        <w:t xml:space="preserve"> </w:t>
      </w:r>
    </w:p>
    <w:p w14:paraId="6C81630E" w14:textId="77777777" w:rsidR="00381FF3" w:rsidRPr="00381FF3" w:rsidRDefault="00381FF3" w:rsidP="00381FF3">
      <w:pPr>
        <w:spacing w:line="480" w:lineRule="auto"/>
        <w:rPr>
          <w:rFonts w:ascii="Calibri" w:hAnsi="Calibri" w:cs="Calibri"/>
          <w:color w:val="000000" w:themeColor="text1"/>
          <w:szCs w:val="24"/>
        </w:rPr>
      </w:pPr>
      <w:r w:rsidRPr="00381FF3">
        <w:rPr>
          <w:rFonts w:ascii="Calibri" w:hAnsi="Calibri" w:cs="Calibri"/>
          <w:color w:val="000000" w:themeColor="text1"/>
          <w:szCs w:val="24"/>
        </w:rPr>
        <w:t xml:space="preserve">Albrecht, S. L., Bakker, A. B., Gruman, J. A., Macey, W. H., &amp; Saks, A. M. (2015). Employee engagement, human resource management practices and competitive advantage. </w:t>
      </w:r>
      <w:r w:rsidRPr="00381FF3">
        <w:rPr>
          <w:rFonts w:ascii="Calibri" w:hAnsi="Calibri" w:cs="Calibri"/>
          <w:i/>
          <w:iCs/>
          <w:color w:val="000000" w:themeColor="text1"/>
          <w:szCs w:val="24"/>
        </w:rPr>
        <w:t>Journal of Organizational Effectiveness: People and Performance, 2</w:t>
      </w:r>
      <w:r w:rsidRPr="00381FF3">
        <w:rPr>
          <w:rFonts w:ascii="Calibri" w:hAnsi="Calibri" w:cs="Calibri"/>
          <w:color w:val="000000" w:themeColor="text1"/>
          <w:szCs w:val="24"/>
        </w:rPr>
        <w:t>(1), 7–35. https://doi.org/10.1108/JOEPP-08-2014-0042</w:t>
      </w:r>
    </w:p>
    <w:p w14:paraId="3AC1FA69" w14:textId="77777777" w:rsidR="00381FF3" w:rsidRPr="00381FF3" w:rsidRDefault="00381FF3" w:rsidP="00381FF3">
      <w:pPr>
        <w:spacing w:line="480" w:lineRule="auto"/>
        <w:rPr>
          <w:rFonts w:ascii="Calibri" w:hAnsi="Calibri" w:cs="Calibri"/>
          <w:color w:val="000000" w:themeColor="text1"/>
          <w:szCs w:val="24"/>
        </w:rPr>
      </w:pPr>
      <w:r w:rsidRPr="00381FF3">
        <w:rPr>
          <w:rFonts w:ascii="Calibri" w:hAnsi="Calibri" w:cs="Calibri"/>
          <w:color w:val="000000" w:themeColor="text1"/>
          <w:szCs w:val="24"/>
        </w:rPr>
        <w:t xml:space="preserve">Bakker, A. B., &amp; Demerouti, E. (2007). The Job Demands–Resources model: State of the art. </w:t>
      </w:r>
      <w:r w:rsidRPr="00381FF3">
        <w:rPr>
          <w:rFonts w:ascii="Calibri" w:hAnsi="Calibri" w:cs="Calibri"/>
          <w:i/>
          <w:iCs/>
          <w:color w:val="000000" w:themeColor="text1"/>
          <w:szCs w:val="24"/>
        </w:rPr>
        <w:t>Journal of Managerial Psychology, 22</w:t>
      </w:r>
      <w:r w:rsidRPr="00381FF3">
        <w:rPr>
          <w:rFonts w:ascii="Calibri" w:hAnsi="Calibri" w:cs="Calibri"/>
          <w:color w:val="000000" w:themeColor="text1"/>
          <w:szCs w:val="24"/>
        </w:rPr>
        <w:t xml:space="preserve">(3), 309–328. </w:t>
      </w:r>
      <w:hyperlink r:id="rId7" w:tgtFrame="_new" w:history="1">
        <w:r w:rsidRPr="00381FF3">
          <w:rPr>
            <w:rStyle w:val="Hyperlink"/>
            <w:rFonts w:ascii="Calibri" w:hAnsi="Calibri" w:cs="Calibri"/>
            <w:szCs w:val="24"/>
          </w:rPr>
          <w:t>https://doi.org/10.1108/02683940710733115</w:t>
        </w:r>
      </w:hyperlink>
    </w:p>
    <w:p w14:paraId="3EB05E65" w14:textId="77777777" w:rsidR="00381FF3" w:rsidRPr="00381FF3" w:rsidRDefault="00381FF3" w:rsidP="00381FF3">
      <w:pPr>
        <w:spacing w:line="480" w:lineRule="auto"/>
        <w:rPr>
          <w:rFonts w:ascii="Calibri" w:hAnsi="Calibri" w:cs="Calibri"/>
          <w:color w:val="000000" w:themeColor="text1"/>
          <w:szCs w:val="24"/>
        </w:rPr>
      </w:pPr>
      <w:r w:rsidRPr="00381FF3">
        <w:rPr>
          <w:rFonts w:ascii="Calibri" w:hAnsi="Calibri" w:cs="Calibri"/>
          <w:color w:val="000000" w:themeColor="text1"/>
          <w:szCs w:val="24"/>
        </w:rPr>
        <w:t xml:space="preserve">Blau, P. M. (1964). </w:t>
      </w:r>
      <w:r w:rsidRPr="00381FF3">
        <w:rPr>
          <w:rFonts w:ascii="Calibri" w:hAnsi="Calibri" w:cs="Calibri"/>
          <w:i/>
          <w:iCs/>
          <w:color w:val="000000" w:themeColor="text1"/>
          <w:szCs w:val="24"/>
        </w:rPr>
        <w:t>Exchange and power in social life</w:t>
      </w:r>
      <w:r w:rsidRPr="00381FF3">
        <w:rPr>
          <w:rFonts w:ascii="Calibri" w:hAnsi="Calibri" w:cs="Calibri"/>
          <w:color w:val="000000" w:themeColor="text1"/>
          <w:szCs w:val="24"/>
        </w:rPr>
        <w:t>. New York, NY: Wiley.</w:t>
      </w:r>
    </w:p>
    <w:p w14:paraId="0F2210C7" w14:textId="77777777" w:rsidR="00381FF3" w:rsidRPr="00381FF3" w:rsidRDefault="00381FF3" w:rsidP="00381FF3">
      <w:pPr>
        <w:spacing w:line="480" w:lineRule="auto"/>
        <w:rPr>
          <w:rFonts w:ascii="Calibri" w:hAnsi="Calibri" w:cs="Calibri"/>
          <w:color w:val="000000" w:themeColor="text1"/>
          <w:szCs w:val="24"/>
        </w:rPr>
      </w:pPr>
      <w:r w:rsidRPr="00381FF3">
        <w:rPr>
          <w:rFonts w:ascii="Calibri" w:hAnsi="Calibri" w:cs="Calibri"/>
          <w:color w:val="000000" w:themeColor="text1"/>
          <w:szCs w:val="24"/>
        </w:rPr>
        <w:t xml:space="preserve">Boselie, P., Dietz, G., &amp; Boon, C. (2005). Commonalities and contradictions in HRM and performance research. </w:t>
      </w:r>
      <w:r w:rsidRPr="00381FF3">
        <w:rPr>
          <w:rFonts w:ascii="Calibri" w:hAnsi="Calibri" w:cs="Calibri"/>
          <w:i/>
          <w:iCs/>
          <w:color w:val="000000" w:themeColor="text1"/>
          <w:szCs w:val="24"/>
        </w:rPr>
        <w:t>Human Resource Management Journal, 15</w:t>
      </w:r>
      <w:r w:rsidRPr="00381FF3">
        <w:rPr>
          <w:rFonts w:ascii="Calibri" w:hAnsi="Calibri" w:cs="Calibri"/>
          <w:color w:val="000000" w:themeColor="text1"/>
          <w:szCs w:val="24"/>
        </w:rPr>
        <w:t xml:space="preserve">(3), 67–94. </w:t>
      </w:r>
      <w:hyperlink r:id="rId8" w:tgtFrame="_new" w:history="1">
        <w:r w:rsidRPr="00381FF3">
          <w:rPr>
            <w:rStyle w:val="Hyperlink"/>
            <w:rFonts w:ascii="Calibri" w:hAnsi="Calibri" w:cs="Calibri"/>
            <w:szCs w:val="24"/>
          </w:rPr>
          <w:t>https://doi.org/10.1111/j.1748-8583.2005.tb00154.x</w:t>
        </w:r>
      </w:hyperlink>
    </w:p>
    <w:p w14:paraId="28EA4BBB" w14:textId="77777777" w:rsidR="00381FF3" w:rsidRPr="00381FF3" w:rsidRDefault="00381FF3" w:rsidP="00381FF3">
      <w:pPr>
        <w:spacing w:line="480" w:lineRule="auto"/>
        <w:rPr>
          <w:rFonts w:ascii="Calibri" w:hAnsi="Calibri" w:cs="Calibri"/>
          <w:color w:val="000000" w:themeColor="text1"/>
          <w:szCs w:val="24"/>
        </w:rPr>
      </w:pPr>
      <w:proofErr w:type="spellStart"/>
      <w:r w:rsidRPr="00381FF3">
        <w:rPr>
          <w:rFonts w:ascii="Calibri" w:hAnsi="Calibri" w:cs="Calibri"/>
          <w:color w:val="000000" w:themeColor="text1"/>
          <w:szCs w:val="24"/>
        </w:rPr>
        <w:t>Breevaart</w:t>
      </w:r>
      <w:proofErr w:type="spellEnd"/>
      <w:r w:rsidRPr="00381FF3">
        <w:rPr>
          <w:rFonts w:ascii="Calibri" w:hAnsi="Calibri" w:cs="Calibri"/>
          <w:color w:val="000000" w:themeColor="text1"/>
          <w:szCs w:val="24"/>
        </w:rPr>
        <w:t xml:space="preserve">, K., Bakker, A. B., Demerouti, E., &amp; Van den Heuvel, M. (2014). Leader–member exchange, work engagement, and job performance. </w:t>
      </w:r>
      <w:r w:rsidRPr="00381FF3">
        <w:rPr>
          <w:rFonts w:ascii="Calibri" w:hAnsi="Calibri" w:cs="Calibri"/>
          <w:i/>
          <w:iCs/>
          <w:color w:val="000000" w:themeColor="text1"/>
          <w:szCs w:val="24"/>
        </w:rPr>
        <w:t>Journal of Managerial Psychology, 30</w:t>
      </w:r>
      <w:r w:rsidRPr="00381FF3">
        <w:rPr>
          <w:rFonts w:ascii="Calibri" w:hAnsi="Calibri" w:cs="Calibri"/>
          <w:color w:val="000000" w:themeColor="text1"/>
          <w:szCs w:val="24"/>
        </w:rPr>
        <w:t>(7), 754–770. https://doi.org/10.1108/JMP-03-2013-0088</w:t>
      </w:r>
    </w:p>
    <w:p w14:paraId="3F680991" w14:textId="77777777" w:rsidR="00381FF3" w:rsidRPr="00381FF3" w:rsidRDefault="00381FF3" w:rsidP="00381FF3">
      <w:pPr>
        <w:spacing w:line="480" w:lineRule="auto"/>
        <w:rPr>
          <w:rFonts w:ascii="Calibri" w:hAnsi="Calibri" w:cs="Calibri"/>
          <w:color w:val="000000" w:themeColor="text1"/>
          <w:szCs w:val="24"/>
        </w:rPr>
      </w:pPr>
      <w:r w:rsidRPr="00381FF3">
        <w:rPr>
          <w:rFonts w:ascii="Calibri" w:hAnsi="Calibri" w:cs="Calibri"/>
          <w:color w:val="000000" w:themeColor="text1"/>
          <w:szCs w:val="24"/>
        </w:rPr>
        <w:t xml:space="preserve">Chiang, C. F., Han, T. S., &amp; Chuang, J. S. (2011). The relationship between HRM practices and service performance. </w:t>
      </w:r>
      <w:r w:rsidRPr="00381FF3">
        <w:rPr>
          <w:rFonts w:ascii="Calibri" w:hAnsi="Calibri" w:cs="Calibri"/>
          <w:i/>
          <w:iCs/>
          <w:color w:val="000000" w:themeColor="text1"/>
          <w:szCs w:val="24"/>
        </w:rPr>
        <w:t>International Journal of Hospitality Management, 30</w:t>
      </w:r>
      <w:r w:rsidRPr="00381FF3">
        <w:rPr>
          <w:rFonts w:ascii="Calibri" w:hAnsi="Calibri" w:cs="Calibri"/>
          <w:color w:val="000000" w:themeColor="text1"/>
          <w:szCs w:val="24"/>
        </w:rPr>
        <w:t>(4), 834–844. https://doi.org/10.1016/j.ijhm.2011.01.008</w:t>
      </w:r>
    </w:p>
    <w:p w14:paraId="1543E834" w14:textId="77777777" w:rsidR="00381FF3" w:rsidRPr="00381FF3" w:rsidRDefault="00381FF3" w:rsidP="00381FF3">
      <w:pPr>
        <w:spacing w:line="480" w:lineRule="auto"/>
        <w:rPr>
          <w:rFonts w:ascii="Calibri" w:hAnsi="Calibri" w:cs="Calibri"/>
          <w:color w:val="000000" w:themeColor="text1"/>
          <w:szCs w:val="24"/>
        </w:rPr>
      </w:pPr>
      <w:r w:rsidRPr="00381FF3">
        <w:rPr>
          <w:rFonts w:ascii="Calibri" w:hAnsi="Calibri" w:cs="Calibri"/>
          <w:color w:val="000000" w:themeColor="text1"/>
          <w:szCs w:val="24"/>
        </w:rPr>
        <w:lastRenderedPageBreak/>
        <w:t xml:space="preserve">Eva, N., Robin, M., </w:t>
      </w:r>
      <w:proofErr w:type="spellStart"/>
      <w:r w:rsidRPr="00381FF3">
        <w:rPr>
          <w:rFonts w:ascii="Calibri" w:hAnsi="Calibri" w:cs="Calibri"/>
          <w:color w:val="000000" w:themeColor="text1"/>
          <w:szCs w:val="24"/>
        </w:rPr>
        <w:t>Sendjaya</w:t>
      </w:r>
      <w:proofErr w:type="spellEnd"/>
      <w:r w:rsidRPr="00381FF3">
        <w:rPr>
          <w:rFonts w:ascii="Calibri" w:hAnsi="Calibri" w:cs="Calibri"/>
          <w:color w:val="000000" w:themeColor="text1"/>
          <w:szCs w:val="24"/>
        </w:rPr>
        <w:t xml:space="preserve">, S., Van Dierendonck, D., &amp; Liden, R. C. (2019). Servant leadership: A systematic review and call for future research. </w:t>
      </w:r>
      <w:r w:rsidRPr="00381FF3">
        <w:rPr>
          <w:rFonts w:ascii="Calibri" w:hAnsi="Calibri" w:cs="Calibri"/>
          <w:i/>
          <w:iCs/>
          <w:color w:val="000000" w:themeColor="text1"/>
          <w:szCs w:val="24"/>
        </w:rPr>
        <w:t>The Leadership Quarterly, 30</w:t>
      </w:r>
      <w:r w:rsidRPr="00381FF3">
        <w:rPr>
          <w:rFonts w:ascii="Calibri" w:hAnsi="Calibri" w:cs="Calibri"/>
          <w:color w:val="000000" w:themeColor="text1"/>
          <w:szCs w:val="24"/>
        </w:rPr>
        <w:t xml:space="preserve">(1), 111–132. </w:t>
      </w:r>
      <w:hyperlink r:id="rId9" w:tgtFrame="_new" w:history="1">
        <w:r w:rsidRPr="00381FF3">
          <w:rPr>
            <w:rStyle w:val="Hyperlink"/>
            <w:rFonts w:ascii="Calibri" w:hAnsi="Calibri" w:cs="Calibri"/>
            <w:szCs w:val="24"/>
          </w:rPr>
          <w:t>https://doi.org/10.1016/j.leaqua.2018.07.004</w:t>
        </w:r>
      </w:hyperlink>
    </w:p>
    <w:p w14:paraId="692FD546" w14:textId="77777777" w:rsidR="00381FF3" w:rsidRPr="00381FF3" w:rsidRDefault="00381FF3" w:rsidP="00381FF3">
      <w:pPr>
        <w:spacing w:line="480" w:lineRule="auto"/>
        <w:rPr>
          <w:rFonts w:ascii="Calibri" w:hAnsi="Calibri" w:cs="Calibri"/>
          <w:color w:val="000000" w:themeColor="text1"/>
          <w:szCs w:val="24"/>
        </w:rPr>
      </w:pPr>
      <w:proofErr w:type="spellStart"/>
      <w:r w:rsidRPr="00381FF3">
        <w:rPr>
          <w:rFonts w:ascii="Calibri" w:hAnsi="Calibri" w:cs="Calibri"/>
          <w:color w:val="000000" w:themeColor="text1"/>
          <w:szCs w:val="24"/>
        </w:rPr>
        <w:t>Grawitch</w:t>
      </w:r>
      <w:proofErr w:type="spellEnd"/>
      <w:r w:rsidRPr="00381FF3">
        <w:rPr>
          <w:rFonts w:ascii="Calibri" w:hAnsi="Calibri" w:cs="Calibri"/>
          <w:color w:val="000000" w:themeColor="text1"/>
          <w:szCs w:val="24"/>
        </w:rPr>
        <w:t xml:space="preserve">, M. J., Gottschalk, M., &amp; Munz, D. C. (2006). The path to a healthy workplace. </w:t>
      </w:r>
      <w:r w:rsidRPr="00381FF3">
        <w:rPr>
          <w:rFonts w:ascii="Calibri" w:hAnsi="Calibri" w:cs="Calibri"/>
          <w:i/>
          <w:iCs/>
          <w:color w:val="000000" w:themeColor="text1"/>
          <w:szCs w:val="24"/>
        </w:rPr>
        <w:t>Consulting Psychology Journal: Practice and Research, 58</w:t>
      </w:r>
      <w:r w:rsidRPr="00381FF3">
        <w:rPr>
          <w:rFonts w:ascii="Calibri" w:hAnsi="Calibri" w:cs="Calibri"/>
          <w:color w:val="000000" w:themeColor="text1"/>
          <w:szCs w:val="24"/>
        </w:rPr>
        <w:t xml:space="preserve">(3), 129–147. </w:t>
      </w:r>
      <w:hyperlink r:id="rId10" w:tgtFrame="_new" w:history="1">
        <w:r w:rsidRPr="00381FF3">
          <w:rPr>
            <w:rStyle w:val="Hyperlink"/>
            <w:rFonts w:ascii="Calibri" w:hAnsi="Calibri" w:cs="Calibri"/>
            <w:szCs w:val="24"/>
          </w:rPr>
          <w:t>https://doi.org/10.1037/1065-9293.58.3.129</w:t>
        </w:r>
      </w:hyperlink>
    </w:p>
    <w:p w14:paraId="6B15DC15" w14:textId="77777777" w:rsidR="00381FF3" w:rsidRPr="00381FF3" w:rsidRDefault="00381FF3" w:rsidP="00381FF3">
      <w:pPr>
        <w:spacing w:line="480" w:lineRule="auto"/>
        <w:rPr>
          <w:rFonts w:ascii="Calibri" w:hAnsi="Calibri" w:cs="Calibri"/>
          <w:color w:val="000000" w:themeColor="text1"/>
          <w:szCs w:val="24"/>
        </w:rPr>
      </w:pPr>
      <w:r w:rsidRPr="00381FF3">
        <w:rPr>
          <w:rFonts w:ascii="Calibri" w:hAnsi="Calibri" w:cs="Calibri"/>
          <w:color w:val="000000" w:themeColor="text1"/>
          <w:szCs w:val="24"/>
        </w:rPr>
        <w:t xml:space="preserve">Harter, J. K., Schmidt, F. L., &amp; Hayes, T. L. (2002). Business-unit-level relationship between employee satisfaction, engagement, and performance. </w:t>
      </w:r>
      <w:r w:rsidRPr="00381FF3">
        <w:rPr>
          <w:rFonts w:ascii="Calibri" w:hAnsi="Calibri" w:cs="Calibri"/>
          <w:i/>
          <w:iCs/>
          <w:color w:val="000000" w:themeColor="text1"/>
          <w:szCs w:val="24"/>
        </w:rPr>
        <w:t>Journal of Applied Psychology, 87</w:t>
      </w:r>
      <w:r w:rsidRPr="00381FF3">
        <w:rPr>
          <w:rFonts w:ascii="Calibri" w:hAnsi="Calibri" w:cs="Calibri"/>
          <w:color w:val="000000" w:themeColor="text1"/>
          <w:szCs w:val="24"/>
        </w:rPr>
        <w:t xml:space="preserve">(2), 268–279. </w:t>
      </w:r>
      <w:hyperlink r:id="rId11" w:tgtFrame="_new" w:history="1">
        <w:r w:rsidRPr="00381FF3">
          <w:rPr>
            <w:rStyle w:val="Hyperlink"/>
            <w:rFonts w:ascii="Calibri" w:hAnsi="Calibri" w:cs="Calibri"/>
            <w:szCs w:val="24"/>
          </w:rPr>
          <w:t>https://doi.org/10.1037/0021-9010.87.2.268</w:t>
        </w:r>
      </w:hyperlink>
    </w:p>
    <w:p w14:paraId="40A902EC" w14:textId="77777777" w:rsidR="00381FF3" w:rsidRPr="00381FF3" w:rsidRDefault="00381FF3" w:rsidP="00381FF3">
      <w:pPr>
        <w:spacing w:line="480" w:lineRule="auto"/>
        <w:rPr>
          <w:rFonts w:ascii="Calibri" w:hAnsi="Calibri" w:cs="Calibri"/>
          <w:color w:val="000000" w:themeColor="text1"/>
          <w:szCs w:val="24"/>
        </w:rPr>
      </w:pPr>
      <w:r w:rsidRPr="00381FF3">
        <w:rPr>
          <w:rFonts w:ascii="Calibri" w:hAnsi="Calibri" w:cs="Calibri"/>
          <w:color w:val="000000" w:themeColor="text1"/>
          <w:szCs w:val="24"/>
        </w:rPr>
        <w:t xml:space="preserve">Hom, P. W., Lee, T. W., Shaw, J. D., &amp; Hausknecht, J. P. (2017). One hundred years of employee turnover theory and research. </w:t>
      </w:r>
      <w:r w:rsidRPr="00381FF3">
        <w:rPr>
          <w:rFonts w:ascii="Calibri" w:hAnsi="Calibri" w:cs="Calibri"/>
          <w:i/>
          <w:iCs/>
          <w:color w:val="000000" w:themeColor="text1"/>
          <w:szCs w:val="24"/>
        </w:rPr>
        <w:t>Journal of Applied Psychology, 102</w:t>
      </w:r>
      <w:r w:rsidRPr="00381FF3">
        <w:rPr>
          <w:rFonts w:ascii="Calibri" w:hAnsi="Calibri" w:cs="Calibri"/>
          <w:color w:val="000000" w:themeColor="text1"/>
          <w:szCs w:val="24"/>
        </w:rPr>
        <w:t xml:space="preserve">(3), 530–545. </w:t>
      </w:r>
      <w:hyperlink r:id="rId12" w:tgtFrame="_new" w:history="1">
        <w:r w:rsidRPr="00381FF3">
          <w:rPr>
            <w:rStyle w:val="Hyperlink"/>
            <w:rFonts w:ascii="Calibri" w:hAnsi="Calibri" w:cs="Calibri"/>
            <w:szCs w:val="24"/>
          </w:rPr>
          <w:t>https://doi.org/10.1037/apl0000103</w:t>
        </w:r>
      </w:hyperlink>
    </w:p>
    <w:p w14:paraId="2EE1E3CA" w14:textId="77777777" w:rsidR="00381FF3" w:rsidRPr="00381FF3" w:rsidRDefault="00381FF3" w:rsidP="00381FF3">
      <w:pPr>
        <w:spacing w:line="480" w:lineRule="auto"/>
        <w:rPr>
          <w:rFonts w:ascii="Calibri" w:hAnsi="Calibri" w:cs="Calibri"/>
          <w:color w:val="000000" w:themeColor="text1"/>
          <w:szCs w:val="24"/>
        </w:rPr>
      </w:pPr>
      <w:r w:rsidRPr="00381FF3">
        <w:rPr>
          <w:rFonts w:ascii="Calibri" w:hAnsi="Calibri" w:cs="Calibri"/>
          <w:color w:val="000000" w:themeColor="text1"/>
          <w:szCs w:val="24"/>
        </w:rPr>
        <w:t xml:space="preserve">Jung, H. S., &amp; Yoon, H. H. (2015). The impact of employees’ positive psychological capital on job satisfaction and organizational citizenship </w:t>
      </w:r>
      <w:proofErr w:type="spellStart"/>
      <w:r w:rsidRPr="00381FF3">
        <w:rPr>
          <w:rFonts w:ascii="Calibri" w:hAnsi="Calibri" w:cs="Calibri"/>
          <w:color w:val="000000" w:themeColor="text1"/>
          <w:szCs w:val="24"/>
        </w:rPr>
        <w:t>behaviors</w:t>
      </w:r>
      <w:proofErr w:type="spellEnd"/>
      <w:r w:rsidRPr="00381FF3">
        <w:rPr>
          <w:rFonts w:ascii="Calibri" w:hAnsi="Calibri" w:cs="Calibri"/>
          <w:color w:val="000000" w:themeColor="text1"/>
          <w:szCs w:val="24"/>
        </w:rPr>
        <w:t xml:space="preserve">. </w:t>
      </w:r>
      <w:r w:rsidRPr="00381FF3">
        <w:rPr>
          <w:rFonts w:ascii="Calibri" w:hAnsi="Calibri" w:cs="Calibri"/>
          <w:i/>
          <w:iCs/>
          <w:color w:val="000000" w:themeColor="text1"/>
          <w:szCs w:val="24"/>
        </w:rPr>
        <w:t>International Journal of Contemporary Hospitality Management, 27</w:t>
      </w:r>
      <w:r w:rsidRPr="00381FF3">
        <w:rPr>
          <w:rFonts w:ascii="Calibri" w:hAnsi="Calibri" w:cs="Calibri"/>
          <w:color w:val="000000" w:themeColor="text1"/>
          <w:szCs w:val="24"/>
        </w:rPr>
        <w:t>(6), 1135–1156. https://doi.org/10.1108/IJCHM-01-2014-0019</w:t>
      </w:r>
    </w:p>
    <w:p w14:paraId="2AEC7DDF" w14:textId="77777777" w:rsidR="00381FF3" w:rsidRPr="00381FF3" w:rsidRDefault="00381FF3" w:rsidP="00381FF3">
      <w:pPr>
        <w:spacing w:line="480" w:lineRule="auto"/>
        <w:rPr>
          <w:rFonts w:ascii="Calibri" w:hAnsi="Calibri" w:cs="Calibri"/>
          <w:color w:val="000000" w:themeColor="text1"/>
          <w:szCs w:val="24"/>
        </w:rPr>
      </w:pPr>
      <w:r w:rsidRPr="00381FF3">
        <w:rPr>
          <w:rFonts w:ascii="Calibri" w:hAnsi="Calibri" w:cs="Calibri"/>
          <w:color w:val="000000" w:themeColor="text1"/>
          <w:szCs w:val="24"/>
        </w:rPr>
        <w:t xml:space="preserve">Karatepe, O. M. (2012). The effects of coworker and perceived organizational support on hotel employee outcomes. </w:t>
      </w:r>
      <w:r w:rsidRPr="00381FF3">
        <w:rPr>
          <w:rFonts w:ascii="Calibri" w:hAnsi="Calibri" w:cs="Calibri"/>
          <w:i/>
          <w:iCs/>
          <w:color w:val="000000" w:themeColor="text1"/>
          <w:szCs w:val="24"/>
        </w:rPr>
        <w:t>International Journal of Contemporary Hospitality Management, 24</w:t>
      </w:r>
      <w:r w:rsidRPr="00381FF3">
        <w:rPr>
          <w:rFonts w:ascii="Calibri" w:hAnsi="Calibri" w:cs="Calibri"/>
          <w:color w:val="000000" w:themeColor="text1"/>
          <w:szCs w:val="24"/>
        </w:rPr>
        <w:t>(5), 735–752. https://doi.org/10.1108/09596111211237273</w:t>
      </w:r>
    </w:p>
    <w:p w14:paraId="4DA5A469" w14:textId="77777777" w:rsidR="00381FF3" w:rsidRPr="00381FF3" w:rsidRDefault="00381FF3" w:rsidP="00381FF3">
      <w:pPr>
        <w:spacing w:line="480" w:lineRule="auto"/>
        <w:rPr>
          <w:rFonts w:ascii="Calibri" w:hAnsi="Calibri" w:cs="Calibri"/>
          <w:color w:val="000000" w:themeColor="text1"/>
          <w:szCs w:val="24"/>
        </w:rPr>
      </w:pPr>
      <w:r w:rsidRPr="00381FF3">
        <w:rPr>
          <w:rFonts w:ascii="Calibri" w:hAnsi="Calibri" w:cs="Calibri"/>
          <w:color w:val="000000" w:themeColor="text1"/>
          <w:szCs w:val="24"/>
        </w:rPr>
        <w:lastRenderedPageBreak/>
        <w:t xml:space="preserve">Karatepe, O. M. (2013). High-performance work practices and hotel employee performance. </w:t>
      </w:r>
      <w:r w:rsidRPr="00381FF3">
        <w:rPr>
          <w:rFonts w:ascii="Calibri" w:hAnsi="Calibri" w:cs="Calibri"/>
          <w:i/>
          <w:iCs/>
          <w:color w:val="000000" w:themeColor="text1"/>
          <w:szCs w:val="24"/>
        </w:rPr>
        <w:t>International Journal of Contemporary Hospitality Management, 25</w:t>
      </w:r>
      <w:r w:rsidRPr="00381FF3">
        <w:rPr>
          <w:rFonts w:ascii="Calibri" w:hAnsi="Calibri" w:cs="Calibri"/>
          <w:color w:val="000000" w:themeColor="text1"/>
          <w:szCs w:val="24"/>
        </w:rPr>
        <w:t>(4), 512–532. https://doi.org/10.1108/09596111311322921</w:t>
      </w:r>
    </w:p>
    <w:p w14:paraId="66A12629" w14:textId="77777777" w:rsidR="00381FF3" w:rsidRPr="00381FF3" w:rsidRDefault="00381FF3" w:rsidP="00381FF3">
      <w:pPr>
        <w:spacing w:line="480" w:lineRule="auto"/>
        <w:rPr>
          <w:rFonts w:ascii="Calibri" w:hAnsi="Calibri" w:cs="Calibri"/>
          <w:color w:val="000000" w:themeColor="text1"/>
          <w:szCs w:val="24"/>
        </w:rPr>
      </w:pPr>
      <w:r w:rsidRPr="00381FF3">
        <w:rPr>
          <w:rFonts w:ascii="Calibri" w:hAnsi="Calibri" w:cs="Calibri"/>
          <w:color w:val="000000" w:themeColor="text1"/>
          <w:szCs w:val="24"/>
        </w:rPr>
        <w:t xml:space="preserve">Karatepe, O. M., &amp; </w:t>
      </w:r>
      <w:proofErr w:type="spellStart"/>
      <w:r w:rsidRPr="00381FF3">
        <w:rPr>
          <w:rFonts w:ascii="Calibri" w:hAnsi="Calibri" w:cs="Calibri"/>
          <w:color w:val="000000" w:themeColor="text1"/>
          <w:szCs w:val="24"/>
        </w:rPr>
        <w:t>Olugbade</w:t>
      </w:r>
      <w:proofErr w:type="spellEnd"/>
      <w:r w:rsidRPr="00381FF3">
        <w:rPr>
          <w:rFonts w:ascii="Calibri" w:hAnsi="Calibri" w:cs="Calibri"/>
          <w:color w:val="000000" w:themeColor="text1"/>
          <w:szCs w:val="24"/>
        </w:rPr>
        <w:t xml:space="preserve">, O. A. (2009). The effects of job and personal resources on work engagement. </w:t>
      </w:r>
      <w:r w:rsidRPr="00381FF3">
        <w:rPr>
          <w:rFonts w:ascii="Calibri" w:hAnsi="Calibri" w:cs="Calibri"/>
          <w:i/>
          <w:iCs/>
          <w:color w:val="000000" w:themeColor="text1"/>
          <w:szCs w:val="24"/>
        </w:rPr>
        <w:t>International Journal of Hospitality Management, 28</w:t>
      </w:r>
      <w:r w:rsidRPr="00381FF3">
        <w:rPr>
          <w:rFonts w:ascii="Calibri" w:hAnsi="Calibri" w:cs="Calibri"/>
          <w:color w:val="000000" w:themeColor="text1"/>
          <w:szCs w:val="24"/>
        </w:rPr>
        <w:t>(4), 504–512. https://doi.org/10.1016/j.ijhm.2009.02.003</w:t>
      </w:r>
    </w:p>
    <w:p w14:paraId="4F41E0D0" w14:textId="77777777" w:rsidR="00381FF3" w:rsidRPr="00381FF3" w:rsidRDefault="00381FF3" w:rsidP="00381FF3">
      <w:pPr>
        <w:spacing w:line="480" w:lineRule="auto"/>
        <w:rPr>
          <w:rFonts w:ascii="Calibri" w:hAnsi="Calibri" w:cs="Calibri"/>
          <w:color w:val="000000" w:themeColor="text1"/>
          <w:szCs w:val="24"/>
        </w:rPr>
      </w:pPr>
      <w:r w:rsidRPr="00381FF3">
        <w:rPr>
          <w:rFonts w:ascii="Calibri" w:hAnsi="Calibri" w:cs="Calibri"/>
          <w:color w:val="000000" w:themeColor="text1"/>
          <w:szCs w:val="24"/>
        </w:rPr>
        <w:t xml:space="preserve">Karatepe, O. M., &amp; </w:t>
      </w:r>
      <w:proofErr w:type="spellStart"/>
      <w:r w:rsidRPr="00381FF3">
        <w:rPr>
          <w:rFonts w:ascii="Calibri" w:hAnsi="Calibri" w:cs="Calibri"/>
          <w:color w:val="000000" w:themeColor="text1"/>
          <w:szCs w:val="24"/>
        </w:rPr>
        <w:t>Uludag</w:t>
      </w:r>
      <w:proofErr w:type="spellEnd"/>
      <w:r w:rsidRPr="00381FF3">
        <w:rPr>
          <w:rFonts w:ascii="Calibri" w:hAnsi="Calibri" w:cs="Calibri"/>
          <w:color w:val="000000" w:themeColor="text1"/>
          <w:szCs w:val="24"/>
        </w:rPr>
        <w:t xml:space="preserve">, O. (2007). Conflict, exhaustion, and motivation. </w:t>
      </w:r>
      <w:r w:rsidRPr="00381FF3">
        <w:rPr>
          <w:rFonts w:ascii="Calibri" w:hAnsi="Calibri" w:cs="Calibri"/>
          <w:i/>
          <w:iCs/>
          <w:color w:val="000000" w:themeColor="text1"/>
          <w:szCs w:val="24"/>
        </w:rPr>
        <w:t>International Journal of Hospitality Management, 26</w:t>
      </w:r>
      <w:r w:rsidRPr="00381FF3">
        <w:rPr>
          <w:rFonts w:ascii="Calibri" w:hAnsi="Calibri" w:cs="Calibri"/>
          <w:color w:val="000000" w:themeColor="text1"/>
          <w:szCs w:val="24"/>
        </w:rPr>
        <w:t>(3), 645–665. https://doi.org/10.1016/j.ijhm.2006.05.006</w:t>
      </w:r>
    </w:p>
    <w:p w14:paraId="2D5A7750" w14:textId="77777777" w:rsidR="00381FF3" w:rsidRPr="00381FF3" w:rsidRDefault="00381FF3" w:rsidP="00381FF3">
      <w:pPr>
        <w:spacing w:line="480" w:lineRule="auto"/>
        <w:rPr>
          <w:rFonts w:ascii="Calibri" w:hAnsi="Calibri" w:cs="Calibri"/>
          <w:color w:val="000000" w:themeColor="text1"/>
          <w:szCs w:val="24"/>
        </w:rPr>
      </w:pPr>
      <w:r w:rsidRPr="00381FF3">
        <w:rPr>
          <w:rFonts w:ascii="Calibri" w:hAnsi="Calibri" w:cs="Calibri"/>
          <w:color w:val="000000" w:themeColor="text1"/>
          <w:szCs w:val="24"/>
        </w:rPr>
        <w:t xml:space="preserve">Karatepe, O. M., &amp; </w:t>
      </w:r>
      <w:proofErr w:type="spellStart"/>
      <w:r w:rsidRPr="00381FF3">
        <w:rPr>
          <w:rFonts w:ascii="Calibri" w:hAnsi="Calibri" w:cs="Calibri"/>
          <w:color w:val="000000" w:themeColor="text1"/>
          <w:szCs w:val="24"/>
        </w:rPr>
        <w:t>Vatankhah</w:t>
      </w:r>
      <w:proofErr w:type="spellEnd"/>
      <w:r w:rsidRPr="00381FF3">
        <w:rPr>
          <w:rFonts w:ascii="Calibri" w:hAnsi="Calibri" w:cs="Calibri"/>
          <w:color w:val="000000" w:themeColor="text1"/>
          <w:szCs w:val="24"/>
        </w:rPr>
        <w:t xml:space="preserve">, S. (2014). The effects of high-performance work practices on perceived organizational support. </w:t>
      </w:r>
      <w:r w:rsidRPr="00381FF3">
        <w:rPr>
          <w:rFonts w:ascii="Calibri" w:hAnsi="Calibri" w:cs="Calibri"/>
          <w:i/>
          <w:iCs/>
          <w:color w:val="000000" w:themeColor="text1"/>
          <w:szCs w:val="24"/>
        </w:rPr>
        <w:t>International Journal of Contemporary Hospitality Management, 26</w:t>
      </w:r>
      <w:r w:rsidRPr="00381FF3">
        <w:rPr>
          <w:rFonts w:ascii="Calibri" w:hAnsi="Calibri" w:cs="Calibri"/>
          <w:color w:val="000000" w:themeColor="text1"/>
          <w:szCs w:val="24"/>
        </w:rPr>
        <w:t>(2), 212–231. https://doi.org/10.1108/IJCHM-06-2012-0097</w:t>
      </w:r>
    </w:p>
    <w:p w14:paraId="029FF32F" w14:textId="77777777" w:rsidR="00381FF3" w:rsidRPr="00381FF3" w:rsidRDefault="00381FF3" w:rsidP="00381FF3">
      <w:pPr>
        <w:spacing w:line="480" w:lineRule="auto"/>
        <w:rPr>
          <w:rFonts w:ascii="Calibri" w:hAnsi="Calibri" w:cs="Calibri"/>
          <w:color w:val="000000" w:themeColor="text1"/>
          <w:szCs w:val="24"/>
        </w:rPr>
      </w:pPr>
      <w:r w:rsidRPr="00381FF3">
        <w:rPr>
          <w:rFonts w:ascii="Calibri" w:hAnsi="Calibri" w:cs="Calibri"/>
          <w:color w:val="000000" w:themeColor="text1"/>
          <w:szCs w:val="24"/>
        </w:rPr>
        <w:t xml:space="preserve">Kim, H., </w:t>
      </w:r>
      <w:proofErr w:type="spellStart"/>
      <w:r w:rsidRPr="00381FF3">
        <w:rPr>
          <w:rFonts w:ascii="Calibri" w:hAnsi="Calibri" w:cs="Calibri"/>
          <w:color w:val="000000" w:themeColor="text1"/>
          <w:szCs w:val="24"/>
        </w:rPr>
        <w:t>Im</w:t>
      </w:r>
      <w:proofErr w:type="spellEnd"/>
      <w:r w:rsidRPr="00381FF3">
        <w:rPr>
          <w:rFonts w:ascii="Calibri" w:hAnsi="Calibri" w:cs="Calibri"/>
          <w:color w:val="000000" w:themeColor="text1"/>
          <w:szCs w:val="24"/>
        </w:rPr>
        <w:t xml:space="preserve">, J., &amp; Qu, H. (2018). Exploring antecedents and consequences of job crafting. </w:t>
      </w:r>
      <w:r w:rsidRPr="00381FF3">
        <w:rPr>
          <w:rFonts w:ascii="Calibri" w:hAnsi="Calibri" w:cs="Calibri"/>
          <w:i/>
          <w:iCs/>
          <w:color w:val="000000" w:themeColor="text1"/>
          <w:szCs w:val="24"/>
        </w:rPr>
        <w:t>International Journal of Hospitality Management, 75</w:t>
      </w:r>
      <w:r w:rsidRPr="00381FF3">
        <w:rPr>
          <w:rFonts w:ascii="Calibri" w:hAnsi="Calibri" w:cs="Calibri"/>
          <w:color w:val="000000" w:themeColor="text1"/>
          <w:szCs w:val="24"/>
        </w:rPr>
        <w:t>, 18–26. https://doi.org/10.1016/j.ijhm.2018.02.014</w:t>
      </w:r>
    </w:p>
    <w:p w14:paraId="4D41119D" w14:textId="77777777" w:rsidR="00381FF3" w:rsidRPr="00381FF3" w:rsidRDefault="00381FF3" w:rsidP="00381FF3">
      <w:pPr>
        <w:spacing w:line="480" w:lineRule="auto"/>
        <w:rPr>
          <w:rFonts w:ascii="Calibri" w:hAnsi="Calibri" w:cs="Calibri"/>
          <w:color w:val="000000" w:themeColor="text1"/>
          <w:szCs w:val="24"/>
        </w:rPr>
      </w:pPr>
      <w:r w:rsidRPr="00381FF3">
        <w:rPr>
          <w:rFonts w:ascii="Calibri" w:hAnsi="Calibri" w:cs="Calibri"/>
          <w:color w:val="000000" w:themeColor="text1"/>
          <w:szCs w:val="24"/>
        </w:rPr>
        <w:t xml:space="preserve">Lee, J., &amp; Ok, C. (2012). Reducing burnout and enhancing job satisfaction. </w:t>
      </w:r>
      <w:r w:rsidRPr="00381FF3">
        <w:rPr>
          <w:rFonts w:ascii="Calibri" w:hAnsi="Calibri" w:cs="Calibri"/>
          <w:i/>
          <w:iCs/>
          <w:color w:val="000000" w:themeColor="text1"/>
          <w:szCs w:val="24"/>
        </w:rPr>
        <w:t>International Journal of Hospitality Management, 31</w:t>
      </w:r>
      <w:r w:rsidRPr="00381FF3">
        <w:rPr>
          <w:rFonts w:ascii="Calibri" w:hAnsi="Calibri" w:cs="Calibri"/>
          <w:color w:val="000000" w:themeColor="text1"/>
          <w:szCs w:val="24"/>
        </w:rPr>
        <w:t>(4), 1101–1111. https://doi.org/10.1016/j.ijhm.2012.01.003</w:t>
      </w:r>
    </w:p>
    <w:p w14:paraId="544D8F13" w14:textId="77777777" w:rsidR="00381FF3" w:rsidRPr="00381FF3" w:rsidRDefault="00381FF3" w:rsidP="00381FF3">
      <w:pPr>
        <w:spacing w:line="480" w:lineRule="auto"/>
        <w:rPr>
          <w:rFonts w:ascii="Calibri" w:hAnsi="Calibri" w:cs="Calibri"/>
          <w:color w:val="000000" w:themeColor="text1"/>
          <w:szCs w:val="24"/>
        </w:rPr>
      </w:pPr>
      <w:r w:rsidRPr="00381FF3">
        <w:rPr>
          <w:rFonts w:ascii="Calibri" w:hAnsi="Calibri" w:cs="Calibri"/>
          <w:color w:val="000000" w:themeColor="text1"/>
          <w:szCs w:val="24"/>
        </w:rPr>
        <w:t xml:space="preserve">Schaufeli, W. B., </w:t>
      </w:r>
      <w:proofErr w:type="spellStart"/>
      <w:r w:rsidRPr="00381FF3">
        <w:rPr>
          <w:rFonts w:ascii="Calibri" w:hAnsi="Calibri" w:cs="Calibri"/>
          <w:color w:val="000000" w:themeColor="text1"/>
          <w:szCs w:val="24"/>
        </w:rPr>
        <w:t>Salanova</w:t>
      </w:r>
      <w:proofErr w:type="spellEnd"/>
      <w:r w:rsidRPr="00381FF3">
        <w:rPr>
          <w:rFonts w:ascii="Calibri" w:hAnsi="Calibri" w:cs="Calibri"/>
          <w:color w:val="000000" w:themeColor="text1"/>
          <w:szCs w:val="24"/>
        </w:rPr>
        <w:t>, M., González-</w:t>
      </w:r>
      <w:proofErr w:type="spellStart"/>
      <w:r w:rsidRPr="00381FF3">
        <w:rPr>
          <w:rFonts w:ascii="Calibri" w:hAnsi="Calibri" w:cs="Calibri"/>
          <w:color w:val="000000" w:themeColor="text1"/>
          <w:szCs w:val="24"/>
        </w:rPr>
        <w:t>Romá</w:t>
      </w:r>
      <w:proofErr w:type="spellEnd"/>
      <w:r w:rsidRPr="00381FF3">
        <w:rPr>
          <w:rFonts w:ascii="Calibri" w:hAnsi="Calibri" w:cs="Calibri"/>
          <w:color w:val="000000" w:themeColor="text1"/>
          <w:szCs w:val="24"/>
        </w:rPr>
        <w:t xml:space="preserve">, V., &amp; Bakker, A. B. (2002). The measurement of engagement and burnout. </w:t>
      </w:r>
      <w:r w:rsidRPr="00381FF3">
        <w:rPr>
          <w:rFonts w:ascii="Calibri" w:hAnsi="Calibri" w:cs="Calibri"/>
          <w:i/>
          <w:iCs/>
          <w:color w:val="000000" w:themeColor="text1"/>
          <w:szCs w:val="24"/>
        </w:rPr>
        <w:t>Journal of Happiness Studies, 3</w:t>
      </w:r>
      <w:r w:rsidRPr="00381FF3">
        <w:rPr>
          <w:rFonts w:ascii="Calibri" w:hAnsi="Calibri" w:cs="Calibri"/>
          <w:color w:val="000000" w:themeColor="text1"/>
          <w:szCs w:val="24"/>
        </w:rPr>
        <w:t>(1), 71–92. https://doi.org/10.1023/A:1015630930326</w:t>
      </w:r>
    </w:p>
    <w:p w14:paraId="3E76B0FB" w14:textId="77777777" w:rsidR="00381FF3" w:rsidRPr="00381FF3" w:rsidRDefault="00381FF3" w:rsidP="00381FF3">
      <w:pPr>
        <w:spacing w:line="480" w:lineRule="auto"/>
        <w:rPr>
          <w:rFonts w:ascii="Calibri" w:hAnsi="Calibri" w:cs="Calibri"/>
          <w:color w:val="000000" w:themeColor="text1"/>
          <w:szCs w:val="24"/>
        </w:rPr>
      </w:pPr>
      <w:r w:rsidRPr="00381FF3">
        <w:rPr>
          <w:rFonts w:ascii="Calibri" w:hAnsi="Calibri" w:cs="Calibri"/>
          <w:color w:val="000000" w:themeColor="text1"/>
          <w:szCs w:val="24"/>
        </w:rPr>
        <w:lastRenderedPageBreak/>
        <w:t xml:space="preserve">Saks, A. M. (2006). Antecedents and consequences of employee engagement. </w:t>
      </w:r>
      <w:r w:rsidRPr="00381FF3">
        <w:rPr>
          <w:rFonts w:ascii="Calibri" w:hAnsi="Calibri" w:cs="Calibri"/>
          <w:i/>
          <w:iCs/>
          <w:color w:val="000000" w:themeColor="text1"/>
          <w:szCs w:val="24"/>
        </w:rPr>
        <w:t>Journal of Managerial Psychology, 21</w:t>
      </w:r>
      <w:r w:rsidRPr="00381FF3">
        <w:rPr>
          <w:rFonts w:ascii="Calibri" w:hAnsi="Calibri" w:cs="Calibri"/>
          <w:color w:val="000000" w:themeColor="text1"/>
          <w:szCs w:val="24"/>
        </w:rPr>
        <w:t xml:space="preserve">(7), 600–619. </w:t>
      </w:r>
      <w:hyperlink r:id="rId13" w:tgtFrame="_new" w:history="1">
        <w:r w:rsidRPr="00381FF3">
          <w:rPr>
            <w:rStyle w:val="Hyperlink"/>
            <w:rFonts w:ascii="Calibri" w:hAnsi="Calibri" w:cs="Calibri"/>
            <w:szCs w:val="24"/>
          </w:rPr>
          <w:t>https://doi.org/10.1108/02683940610690169</w:t>
        </w:r>
      </w:hyperlink>
    </w:p>
    <w:p w14:paraId="77A17FB2" w14:textId="77777777" w:rsidR="005849ED" w:rsidRPr="00CC2A71" w:rsidRDefault="005849ED" w:rsidP="00381FF3">
      <w:pPr>
        <w:spacing w:line="480" w:lineRule="auto"/>
        <w:rPr>
          <w:rFonts w:ascii="Calibri" w:hAnsi="Calibri" w:cs="Calibri"/>
          <w:b/>
          <w:bCs/>
          <w:color w:val="000000" w:themeColor="text1"/>
          <w:szCs w:val="24"/>
        </w:rPr>
      </w:pPr>
    </w:p>
    <w:sectPr w:rsidR="005849ED" w:rsidRPr="00CC2A7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4D5"/>
    <w:rsid w:val="000128DF"/>
    <w:rsid w:val="001227D7"/>
    <w:rsid w:val="00374992"/>
    <w:rsid w:val="00381FF3"/>
    <w:rsid w:val="003F671C"/>
    <w:rsid w:val="00496F62"/>
    <w:rsid w:val="0054154B"/>
    <w:rsid w:val="00541EEF"/>
    <w:rsid w:val="005849ED"/>
    <w:rsid w:val="005A44D5"/>
    <w:rsid w:val="006429F7"/>
    <w:rsid w:val="00795E6D"/>
    <w:rsid w:val="0098693A"/>
    <w:rsid w:val="00986B40"/>
    <w:rsid w:val="009E5FE2"/>
    <w:rsid w:val="00A8773F"/>
    <w:rsid w:val="00AD11FA"/>
    <w:rsid w:val="00B5562C"/>
    <w:rsid w:val="00B84152"/>
    <w:rsid w:val="00BF7FA8"/>
    <w:rsid w:val="00C57A06"/>
    <w:rsid w:val="00CC2A71"/>
    <w:rsid w:val="00ED2171"/>
    <w:rsid w:val="00F36D51"/>
    <w:rsid w:val="00F801C0"/>
    <w:rsid w:val="00FE31F4"/>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6B3E6"/>
  <w15:chartTrackingRefBased/>
  <w15:docId w15:val="{89DD2DA9-6D28-4DF3-A6DC-E8CE5BF64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44D5"/>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5A44D5"/>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5A44D5"/>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5A44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44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44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44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44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44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44D5"/>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5A44D5"/>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5A44D5"/>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5A44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44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44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44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44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44D5"/>
    <w:rPr>
      <w:rFonts w:eastAsiaTheme="majorEastAsia" w:cstheme="majorBidi"/>
      <w:color w:val="272727" w:themeColor="text1" w:themeTint="D8"/>
    </w:rPr>
  </w:style>
  <w:style w:type="paragraph" w:styleId="Title">
    <w:name w:val="Title"/>
    <w:basedOn w:val="Normal"/>
    <w:next w:val="Normal"/>
    <w:link w:val="TitleChar"/>
    <w:uiPriority w:val="10"/>
    <w:qFormat/>
    <w:rsid w:val="005A44D5"/>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5A44D5"/>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5A44D5"/>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5A44D5"/>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5A44D5"/>
    <w:pPr>
      <w:spacing w:before="160"/>
      <w:jc w:val="center"/>
    </w:pPr>
    <w:rPr>
      <w:i/>
      <w:iCs/>
      <w:color w:val="404040" w:themeColor="text1" w:themeTint="BF"/>
    </w:rPr>
  </w:style>
  <w:style w:type="character" w:customStyle="1" w:styleId="QuoteChar">
    <w:name w:val="Quote Char"/>
    <w:basedOn w:val="DefaultParagraphFont"/>
    <w:link w:val="Quote"/>
    <w:uiPriority w:val="29"/>
    <w:rsid w:val="005A44D5"/>
    <w:rPr>
      <w:i/>
      <w:iCs/>
      <w:color w:val="404040" w:themeColor="text1" w:themeTint="BF"/>
    </w:rPr>
  </w:style>
  <w:style w:type="paragraph" w:styleId="ListParagraph">
    <w:name w:val="List Paragraph"/>
    <w:basedOn w:val="Normal"/>
    <w:uiPriority w:val="34"/>
    <w:qFormat/>
    <w:rsid w:val="005A44D5"/>
    <w:pPr>
      <w:ind w:left="720"/>
      <w:contextualSpacing/>
    </w:pPr>
  </w:style>
  <w:style w:type="character" w:styleId="IntenseEmphasis">
    <w:name w:val="Intense Emphasis"/>
    <w:basedOn w:val="DefaultParagraphFont"/>
    <w:uiPriority w:val="21"/>
    <w:qFormat/>
    <w:rsid w:val="005A44D5"/>
    <w:rPr>
      <w:i/>
      <w:iCs/>
      <w:color w:val="0F4761" w:themeColor="accent1" w:themeShade="BF"/>
    </w:rPr>
  </w:style>
  <w:style w:type="paragraph" w:styleId="IntenseQuote">
    <w:name w:val="Intense Quote"/>
    <w:basedOn w:val="Normal"/>
    <w:next w:val="Normal"/>
    <w:link w:val="IntenseQuoteChar"/>
    <w:uiPriority w:val="30"/>
    <w:qFormat/>
    <w:rsid w:val="005A44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44D5"/>
    <w:rPr>
      <w:i/>
      <w:iCs/>
      <w:color w:val="0F4761" w:themeColor="accent1" w:themeShade="BF"/>
    </w:rPr>
  </w:style>
  <w:style w:type="character" w:styleId="IntenseReference">
    <w:name w:val="Intense Reference"/>
    <w:basedOn w:val="DefaultParagraphFont"/>
    <w:uiPriority w:val="32"/>
    <w:qFormat/>
    <w:rsid w:val="005A44D5"/>
    <w:rPr>
      <w:b/>
      <w:bCs/>
      <w:smallCaps/>
      <w:color w:val="0F4761" w:themeColor="accent1" w:themeShade="BF"/>
      <w:spacing w:val="5"/>
    </w:rPr>
  </w:style>
  <w:style w:type="paragraph" w:styleId="TOCHeading">
    <w:name w:val="TOC Heading"/>
    <w:basedOn w:val="Heading1"/>
    <w:next w:val="Normal"/>
    <w:uiPriority w:val="39"/>
    <w:unhideWhenUsed/>
    <w:qFormat/>
    <w:rsid w:val="00C57A06"/>
    <w:pPr>
      <w:spacing w:before="240" w:after="0" w:line="259" w:lineRule="auto"/>
      <w:outlineLvl w:val="9"/>
    </w:pPr>
    <w:rPr>
      <w:kern w:val="0"/>
      <w:sz w:val="32"/>
      <w:szCs w:val="32"/>
      <w:lang w:val="en-US" w:bidi="ar-SA"/>
      <w14:ligatures w14:val="none"/>
    </w:rPr>
  </w:style>
  <w:style w:type="paragraph" w:styleId="TOC1">
    <w:name w:val="toc 1"/>
    <w:basedOn w:val="Normal"/>
    <w:next w:val="Normal"/>
    <w:autoRedefine/>
    <w:uiPriority w:val="39"/>
    <w:unhideWhenUsed/>
    <w:rsid w:val="00C57A06"/>
    <w:pPr>
      <w:spacing w:after="100"/>
    </w:pPr>
  </w:style>
  <w:style w:type="character" w:styleId="Hyperlink">
    <w:name w:val="Hyperlink"/>
    <w:basedOn w:val="DefaultParagraphFont"/>
    <w:uiPriority w:val="99"/>
    <w:unhideWhenUsed/>
    <w:rsid w:val="00C57A06"/>
    <w:rPr>
      <w:color w:val="467886" w:themeColor="hyperlink"/>
      <w:u w:val="single"/>
    </w:rPr>
  </w:style>
  <w:style w:type="character" w:styleId="UnresolvedMention">
    <w:name w:val="Unresolved Mention"/>
    <w:basedOn w:val="DefaultParagraphFont"/>
    <w:uiPriority w:val="99"/>
    <w:semiHidden/>
    <w:unhideWhenUsed/>
    <w:rsid w:val="00381F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j.1748-8583.2005.tb00154.x" TargetMode="External"/><Relationship Id="rId13" Type="http://schemas.openxmlformats.org/officeDocument/2006/relationships/hyperlink" Target="https://doi.org/10.1108/02683940610690169" TargetMode="External"/><Relationship Id="rId3" Type="http://schemas.openxmlformats.org/officeDocument/2006/relationships/settings" Target="settings.xml"/><Relationship Id="rId7" Type="http://schemas.openxmlformats.org/officeDocument/2006/relationships/hyperlink" Target="https://doi.org/10.1108/02683940710733115" TargetMode="External"/><Relationship Id="rId12" Type="http://schemas.openxmlformats.org/officeDocument/2006/relationships/hyperlink" Target="https://doi.org/10.1037/apl0000103"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doi.org/10.1037/0021-9010.87.2.268"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doi.org/10.1037/1065-9293.58.3.129" TargetMode="External"/><Relationship Id="rId4" Type="http://schemas.openxmlformats.org/officeDocument/2006/relationships/webSettings" Target="webSettings.xml"/><Relationship Id="rId9" Type="http://schemas.openxmlformats.org/officeDocument/2006/relationships/hyperlink" Target="https://doi.org/10.1016/j.leaqua.2018.07.00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AE66D4-E149-4D07-88DA-000F616B7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7241</Words>
  <Characters>41277</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Vanshika (24134918)</dc:creator>
  <cp:keywords/>
  <dc:description/>
  <cp:lastModifiedBy>Vanshika (24134918)</cp:lastModifiedBy>
  <cp:revision>2</cp:revision>
  <dcterms:created xsi:type="dcterms:W3CDTF">2026-02-06T03:29:00Z</dcterms:created>
  <dcterms:modified xsi:type="dcterms:W3CDTF">2026-02-06T03:29:00Z</dcterms:modified>
</cp:coreProperties>
</file>