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23DF0" w14:textId="77777777" w:rsidR="00426865" w:rsidRDefault="00672345" w:rsidP="007A4B0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C6ED815" w14:textId="77777777" w:rsidR="00672345" w:rsidRPr="0019504D" w:rsidRDefault="00672345" w:rsidP="007A4B0D">
      <w:pPr>
        <w:spacing w:line="360" w:lineRule="auto"/>
        <w:rPr>
          <w:b/>
          <w:bCs/>
          <w:lang w:val="en-US"/>
        </w:rPr>
      </w:pPr>
      <w:r>
        <w:rPr>
          <w:b/>
          <w:bCs/>
          <w:lang w:val="en-US"/>
        </w:rPr>
        <w:t xml:space="preserve">Cultural Heritage Management </w:t>
      </w:r>
    </w:p>
    <w:p w14:paraId="23648ACD" w14:textId="77777777" w:rsidR="00672345" w:rsidRDefault="00672345" w:rsidP="007A4B0D">
      <w:pPr>
        <w:spacing w:line="360" w:lineRule="auto"/>
        <w:rPr>
          <w:lang w:val="en-US"/>
        </w:rPr>
      </w:pPr>
      <w:r w:rsidRPr="0019504D">
        <w:rPr>
          <w:lang w:val="en-US"/>
        </w:rPr>
        <w:t>Ass</w:t>
      </w:r>
      <w:r>
        <w:rPr>
          <w:lang w:val="en-US"/>
        </w:rPr>
        <w:t xml:space="preserve">ignment </w:t>
      </w:r>
      <w:r w:rsidR="00CF34F8">
        <w:rPr>
          <w:lang w:val="en-US"/>
        </w:rPr>
        <w:t>3</w:t>
      </w:r>
    </w:p>
    <w:p w14:paraId="632DA6E6" w14:textId="77777777" w:rsidR="00672345" w:rsidRPr="0019504D" w:rsidRDefault="00CF34F8" w:rsidP="007A4B0D">
      <w:pPr>
        <w:spacing w:line="360" w:lineRule="auto"/>
        <w:rPr>
          <w:lang w:val="en-US"/>
        </w:rPr>
      </w:pPr>
      <w:r>
        <w:rPr>
          <w:lang w:val="en-US"/>
        </w:rPr>
        <w:t>22</w:t>
      </w:r>
      <w:r w:rsidR="00672345">
        <w:rPr>
          <w:lang w:val="en-US"/>
        </w:rPr>
        <w:t>.0</w:t>
      </w:r>
      <w:r w:rsidR="00942251">
        <w:rPr>
          <w:lang w:val="en-US"/>
        </w:rPr>
        <w:t>4</w:t>
      </w:r>
      <w:r w:rsidR="00672345">
        <w:rPr>
          <w:lang w:val="en-US"/>
        </w:rPr>
        <w:t>.2026</w:t>
      </w:r>
    </w:p>
    <w:p w14:paraId="6968A9E2" w14:textId="77777777" w:rsidR="00672345" w:rsidRDefault="00672345" w:rsidP="007A4B0D">
      <w:pPr>
        <w:spacing w:line="360" w:lineRule="auto"/>
      </w:pPr>
    </w:p>
    <w:p w14:paraId="6F4A2541" w14:textId="77777777" w:rsidR="00672345" w:rsidRDefault="00672345" w:rsidP="007A4B0D">
      <w:pPr>
        <w:spacing w:line="360" w:lineRule="auto"/>
      </w:pPr>
    </w:p>
    <w:p w14:paraId="0A842CDF" w14:textId="77777777" w:rsidR="00672345" w:rsidRDefault="00672345" w:rsidP="007A4B0D">
      <w:pPr>
        <w:spacing w:line="360" w:lineRule="auto"/>
      </w:pPr>
    </w:p>
    <w:p w14:paraId="0BBA1D0A" w14:textId="77777777" w:rsidR="00672345" w:rsidRDefault="00672345" w:rsidP="007A4B0D">
      <w:pPr>
        <w:spacing w:line="360" w:lineRule="auto"/>
      </w:pPr>
    </w:p>
    <w:p w14:paraId="7DF8BAAE" w14:textId="77777777" w:rsidR="00672345" w:rsidRDefault="00672345" w:rsidP="007A4B0D">
      <w:pPr>
        <w:spacing w:line="360" w:lineRule="auto"/>
      </w:pPr>
    </w:p>
    <w:p w14:paraId="4A1EB24D" w14:textId="77777777" w:rsidR="00672345" w:rsidRDefault="00672345" w:rsidP="007A4B0D">
      <w:pPr>
        <w:spacing w:line="360" w:lineRule="auto"/>
      </w:pPr>
    </w:p>
    <w:p w14:paraId="16AB0F03" w14:textId="77777777" w:rsidR="00672345" w:rsidRDefault="00672345" w:rsidP="007A4B0D">
      <w:pPr>
        <w:spacing w:line="360" w:lineRule="auto"/>
      </w:pPr>
    </w:p>
    <w:p w14:paraId="3B6BB42A" w14:textId="77777777" w:rsidR="00672345" w:rsidRDefault="00672345" w:rsidP="007A4B0D">
      <w:pPr>
        <w:spacing w:line="360" w:lineRule="auto"/>
      </w:pPr>
    </w:p>
    <w:p w14:paraId="2DEB9370" w14:textId="77777777" w:rsidR="00672345" w:rsidRDefault="00672345" w:rsidP="007A4B0D">
      <w:pPr>
        <w:spacing w:line="360" w:lineRule="auto"/>
      </w:pPr>
    </w:p>
    <w:p w14:paraId="418403E8" w14:textId="77777777" w:rsidR="00672345" w:rsidRDefault="00672345" w:rsidP="007A4B0D">
      <w:pPr>
        <w:spacing w:line="360" w:lineRule="auto"/>
      </w:pPr>
    </w:p>
    <w:p w14:paraId="0096BB6B" w14:textId="77777777" w:rsidR="00672345" w:rsidRDefault="00672345" w:rsidP="007A4B0D">
      <w:pPr>
        <w:spacing w:line="360" w:lineRule="auto"/>
      </w:pPr>
    </w:p>
    <w:p w14:paraId="31A0AD12" w14:textId="77777777" w:rsidR="00672345" w:rsidRDefault="00672345" w:rsidP="007A4B0D">
      <w:pPr>
        <w:spacing w:line="360" w:lineRule="auto"/>
      </w:pPr>
    </w:p>
    <w:p w14:paraId="7C1C6407" w14:textId="77777777" w:rsidR="00672345" w:rsidRDefault="00672345" w:rsidP="007A4B0D">
      <w:pPr>
        <w:spacing w:line="360" w:lineRule="auto"/>
      </w:pPr>
    </w:p>
    <w:p w14:paraId="683659BD" w14:textId="77777777" w:rsidR="00016EE8" w:rsidRDefault="00016EE8" w:rsidP="007A4B0D">
      <w:pPr>
        <w:spacing w:line="360" w:lineRule="auto"/>
        <w:rPr>
          <w:b/>
          <w:bCs/>
          <w:lang w:val="en-US"/>
        </w:rPr>
      </w:pPr>
      <w:r w:rsidRPr="00EA737F">
        <w:rPr>
          <w:b/>
          <w:bCs/>
          <w:lang w:val="en-US"/>
        </w:rPr>
        <w:t>In no more than 500 words</w:t>
      </w:r>
      <w:r>
        <w:rPr>
          <w:b/>
          <w:bCs/>
          <w:lang w:val="en-US"/>
        </w:rPr>
        <w:t xml:space="preserve"> each, explain and 2-4 references:</w:t>
      </w:r>
    </w:p>
    <w:p w14:paraId="081D8D31" w14:textId="77777777" w:rsidR="00016EE8" w:rsidRDefault="00016EE8" w:rsidP="007A4B0D">
      <w:pPr>
        <w:spacing w:line="360" w:lineRule="auto"/>
        <w:rPr>
          <w:lang w:val="en-US"/>
        </w:rPr>
      </w:pPr>
    </w:p>
    <w:p w14:paraId="70BE48FF" w14:textId="77777777" w:rsidR="00016EE8" w:rsidRPr="004C5A76" w:rsidRDefault="00016EE8" w:rsidP="007A4B0D">
      <w:pPr>
        <w:spacing w:line="360" w:lineRule="auto"/>
        <w:rPr>
          <w:b/>
          <w:bCs/>
          <w:lang w:val="en-US"/>
        </w:rPr>
      </w:pPr>
      <w:r>
        <w:rPr>
          <w:b/>
          <w:bCs/>
          <w:lang w:val="en-US"/>
        </w:rPr>
        <w:t xml:space="preserve">1- </w:t>
      </w:r>
      <w:r w:rsidRPr="004C5A76">
        <w:rPr>
          <w:b/>
          <w:bCs/>
          <w:lang w:val="en-US"/>
        </w:rPr>
        <w:t>Choose a World Heritage Site and:</w:t>
      </w:r>
    </w:p>
    <w:p w14:paraId="4F034151" w14:textId="77777777" w:rsidR="00016EE8" w:rsidRPr="004C5A76" w:rsidRDefault="00016EE8" w:rsidP="007A4B0D">
      <w:pPr>
        <w:pStyle w:val="ListParagraph"/>
        <w:numPr>
          <w:ilvl w:val="0"/>
          <w:numId w:val="2"/>
        </w:numPr>
        <w:spacing w:line="360" w:lineRule="auto"/>
        <w:rPr>
          <w:lang w:val="en-US"/>
        </w:rPr>
      </w:pPr>
      <w:r w:rsidRPr="004C5A76">
        <w:rPr>
          <w:lang w:val="en-US"/>
        </w:rPr>
        <w:t>Identify its key heritage values</w:t>
      </w:r>
    </w:p>
    <w:p w14:paraId="4AEDA2CE" w14:textId="77777777" w:rsidR="00016EE8" w:rsidRPr="004C5A76" w:rsidRDefault="00016EE8" w:rsidP="007A4B0D">
      <w:pPr>
        <w:pStyle w:val="ListParagraph"/>
        <w:numPr>
          <w:ilvl w:val="0"/>
          <w:numId w:val="2"/>
        </w:numPr>
        <w:spacing w:line="360" w:lineRule="auto"/>
        <w:rPr>
          <w:lang w:val="en-US"/>
        </w:rPr>
      </w:pPr>
      <w:r w:rsidRPr="004C5A76">
        <w:rPr>
          <w:lang w:val="en-US"/>
        </w:rPr>
        <w:t>Describe the attributes that express these values</w:t>
      </w:r>
    </w:p>
    <w:p w14:paraId="198BA5A2" w14:textId="77777777" w:rsidR="00016EE8" w:rsidRPr="004C5A76" w:rsidRDefault="00016EE8" w:rsidP="007A4B0D">
      <w:pPr>
        <w:pStyle w:val="ListParagraph"/>
        <w:numPr>
          <w:ilvl w:val="0"/>
          <w:numId w:val="2"/>
        </w:numPr>
        <w:spacing w:line="360" w:lineRule="auto"/>
        <w:rPr>
          <w:lang w:val="en-US"/>
        </w:rPr>
      </w:pPr>
      <w:r w:rsidRPr="004C5A76">
        <w:rPr>
          <w:lang w:val="en-US"/>
        </w:rPr>
        <w:t>Assess its authenticity and integrity</w:t>
      </w:r>
    </w:p>
    <w:p w14:paraId="1D5E07CD" w14:textId="77777777" w:rsidR="00016EE8" w:rsidRPr="004C5A76" w:rsidRDefault="00016EE8" w:rsidP="007A4B0D">
      <w:pPr>
        <w:spacing w:line="360" w:lineRule="auto"/>
        <w:rPr>
          <w:lang w:val="en-US"/>
        </w:rPr>
      </w:pPr>
    </w:p>
    <w:p w14:paraId="3B5E160B" w14:textId="77777777" w:rsidR="00016EE8" w:rsidRDefault="00016EE8" w:rsidP="007A4B0D">
      <w:pPr>
        <w:spacing w:line="360" w:lineRule="auto"/>
        <w:rPr>
          <w:lang w:val="en-US"/>
        </w:rPr>
      </w:pPr>
      <w:r>
        <w:rPr>
          <w:lang w:val="en-US"/>
        </w:rPr>
        <w:t xml:space="preserve">2- </w:t>
      </w:r>
      <w:r w:rsidRPr="004C5A76">
        <w:rPr>
          <w:lang w:val="en-US"/>
        </w:rPr>
        <w:t>Using the example of Ise Grand Shrine,</w:t>
      </w:r>
    </w:p>
    <w:p w14:paraId="23808448" w14:textId="77777777" w:rsidR="00016EE8" w:rsidRPr="004C5A76" w:rsidRDefault="00016EE8" w:rsidP="007A4B0D">
      <w:pPr>
        <w:pStyle w:val="ListParagraph"/>
        <w:numPr>
          <w:ilvl w:val="0"/>
          <w:numId w:val="3"/>
        </w:numPr>
        <w:spacing w:line="360" w:lineRule="auto"/>
        <w:rPr>
          <w:lang w:val="en-US"/>
        </w:rPr>
      </w:pPr>
      <w:r w:rsidRPr="004C5A76">
        <w:rPr>
          <w:lang w:val="en-US"/>
        </w:rPr>
        <w:t>discuss how authenticity can be understood beyond material originality.</w:t>
      </w:r>
    </w:p>
    <w:p w14:paraId="145F814C" w14:textId="77777777" w:rsidR="00CF34F8" w:rsidRDefault="00CF34F8" w:rsidP="007A4B0D">
      <w:pPr>
        <w:spacing w:line="360" w:lineRule="auto"/>
        <w:rPr>
          <w:lang w:val="en-US"/>
        </w:rPr>
      </w:pPr>
    </w:p>
    <w:p w14:paraId="676FF549" w14:textId="77777777" w:rsidR="00DC27AB" w:rsidRDefault="00DC27AB" w:rsidP="007A4B0D">
      <w:pPr>
        <w:spacing w:line="360" w:lineRule="auto"/>
        <w:rPr>
          <w:lang w:val="en-US"/>
        </w:rPr>
      </w:pPr>
    </w:p>
    <w:p w14:paraId="260768A3" w14:textId="77777777" w:rsidR="00DC27AB" w:rsidRDefault="00DC27AB" w:rsidP="007A4B0D">
      <w:pPr>
        <w:spacing w:line="360" w:lineRule="auto"/>
        <w:rPr>
          <w:lang w:val="en-US"/>
        </w:rPr>
      </w:pPr>
    </w:p>
    <w:p w14:paraId="7D9BCDFC" w14:textId="77777777" w:rsidR="00DC27AB" w:rsidRDefault="00DC27AB" w:rsidP="007A4B0D">
      <w:pPr>
        <w:spacing w:line="360" w:lineRule="auto"/>
        <w:rPr>
          <w:lang w:val="en-US"/>
        </w:rPr>
      </w:pPr>
    </w:p>
    <w:p w14:paraId="6C935889" w14:textId="77777777" w:rsidR="007A4B0D" w:rsidRDefault="007A4B0D" w:rsidP="007A4B0D">
      <w:pPr>
        <w:spacing w:line="360" w:lineRule="auto"/>
        <w:rPr>
          <w:lang w:val="en-US"/>
        </w:rPr>
      </w:pPr>
    </w:p>
    <w:p w14:paraId="391E3BD5" w14:textId="77777777" w:rsidR="005E7CB5" w:rsidRPr="005E7CB5" w:rsidRDefault="005E7CB5" w:rsidP="005E7CB5">
      <w:pPr>
        <w:spacing w:line="360" w:lineRule="auto"/>
        <w:rPr>
          <w:b/>
          <w:bCs/>
        </w:rPr>
      </w:pPr>
      <w:r w:rsidRPr="005E7CB5">
        <w:rPr>
          <w:b/>
          <w:bCs/>
        </w:rPr>
        <w:lastRenderedPageBreak/>
        <w:t>World Heritage Sites and Cultural Authenticity</w:t>
      </w:r>
    </w:p>
    <w:p w14:paraId="78379158" w14:textId="77777777" w:rsidR="00C22E9B" w:rsidRPr="00C22E9B" w:rsidRDefault="00C22E9B" w:rsidP="00C22E9B">
      <w:pPr>
        <w:spacing w:line="360" w:lineRule="auto"/>
        <w:rPr>
          <w:b/>
          <w:bCs/>
        </w:rPr>
      </w:pPr>
      <w:r w:rsidRPr="00C22E9B">
        <w:rPr>
          <w:b/>
          <w:bCs/>
        </w:rPr>
        <w:t>1. The Old City of Dubrovnik, Croatia as a World Heritage Site</w:t>
      </w:r>
    </w:p>
    <w:p w14:paraId="06CFE5CB" w14:textId="77777777" w:rsidR="00C22E9B" w:rsidRPr="00C22E9B" w:rsidRDefault="00C22E9B" w:rsidP="00C22E9B">
      <w:pPr>
        <w:spacing w:line="360" w:lineRule="auto"/>
      </w:pPr>
      <w:r w:rsidRPr="00C22E9B">
        <w:t xml:space="preserve">The Old City of Dubrovnik in Croatia is one of the most important cultural heritage sites in the Mediterranean region and was inscribed on the UNESCO World Heritage List in 1979. Often called the “Pearl of the Adriatic,” Dubrovnik is famous for its medieval walls, historic streets, churches, palaces, and maritime history. The city developed as an important trading and diplomatic </w:t>
      </w:r>
      <w:proofErr w:type="spellStart"/>
      <w:r w:rsidRPr="00C22E9B">
        <w:t>center</w:t>
      </w:r>
      <w:proofErr w:type="spellEnd"/>
      <w:r w:rsidRPr="00C22E9B">
        <w:t xml:space="preserve"> during the Middle Ages and became a symbol of cultural and economic prosperity along the Adriatic coast.</w:t>
      </w:r>
    </w:p>
    <w:p w14:paraId="70AF43EE" w14:textId="77777777" w:rsidR="00C22E9B" w:rsidRPr="00C22E9B" w:rsidRDefault="00C22E9B" w:rsidP="00C22E9B">
      <w:pPr>
        <w:spacing w:line="360" w:lineRule="auto"/>
      </w:pPr>
      <w:r w:rsidRPr="00C22E9B">
        <w:t xml:space="preserve">One of the major heritage values of Dubrovnik is its architectural significance. The city contains outstanding examples of Gothic, Renaissance, and Baroque architecture that reflect centuries of cultural and artistic development. Important structures such as the Rector’s Palace, </w:t>
      </w:r>
      <w:proofErr w:type="spellStart"/>
      <w:r w:rsidRPr="00C22E9B">
        <w:t>Sponza</w:t>
      </w:r>
      <w:proofErr w:type="spellEnd"/>
      <w:r w:rsidRPr="00C22E9B">
        <w:t xml:space="preserve"> Palace, Franciscan Monastery, and Dubrovnik Cathedral demonstrate exceptional craftsmanship and urban planning (Harris, 2006). The massive stone walls and defensive towers surrounding the city are among the best-preserved medieval fortification systems in Europe.</w:t>
      </w:r>
    </w:p>
    <w:p w14:paraId="0ECE0197" w14:textId="77777777" w:rsidR="00C22E9B" w:rsidRPr="00C22E9B" w:rsidRDefault="00C22E9B" w:rsidP="00C22E9B">
      <w:pPr>
        <w:spacing w:line="360" w:lineRule="auto"/>
      </w:pPr>
      <w:r w:rsidRPr="00C22E9B">
        <w:t>Dubrovnik also has significant historical and cultural value. During the medieval and early modern periods, the Republic of Ragusa (Dubrovnik) became an influential maritime republic known for diplomacy, trade, and cultural exchange. The city promoted literature, science, and the arts while maintaining political independence for centuries. Its rich cultural traditions and historical importance continue to contribute to its identity today.</w:t>
      </w:r>
    </w:p>
    <w:p w14:paraId="101FC8B6" w14:textId="77777777" w:rsidR="00C22E9B" w:rsidRPr="00C22E9B" w:rsidRDefault="00C22E9B" w:rsidP="00C22E9B">
      <w:pPr>
        <w:spacing w:line="360" w:lineRule="auto"/>
      </w:pPr>
      <w:r w:rsidRPr="00C22E9B">
        <w:t xml:space="preserve">Several attributes express these heritage values. The limestone-paved streets, medieval urban layout, churches, fortifications, and public squares illustrate the city’s historical continuity and architectural harmony. The surrounding Adriatic Sea and natural landscape further enhance Dubrovnik’s scenic and environmental value. The city walls, which stretch nearly two </w:t>
      </w:r>
      <w:proofErr w:type="spellStart"/>
      <w:r w:rsidRPr="00C22E9B">
        <w:t>kilometers</w:t>
      </w:r>
      <w:proofErr w:type="spellEnd"/>
      <w:r w:rsidRPr="00C22E9B">
        <w:t>, symbolize the city’s military strength and political independence.</w:t>
      </w:r>
    </w:p>
    <w:p w14:paraId="2E63B334" w14:textId="77777777" w:rsidR="00C22E9B" w:rsidRPr="00C22E9B" w:rsidRDefault="00C22E9B" w:rsidP="00C22E9B">
      <w:pPr>
        <w:spacing w:line="360" w:lineRule="auto"/>
      </w:pPr>
      <w:r w:rsidRPr="00C22E9B">
        <w:t xml:space="preserve">Authenticity and integrity are central concepts in evaluating Dubrovnik as a heritage site. Authenticity refers to the ability of a heritage property to truthfully express its cultural significance through original design, materials, and workmanship (Araoz, 2011). Dubrovnik retains a high level of authenticity because many of its historic structures, urban spaces, and defensive walls remain preserved. Although parts of the city were damaged during the Croatian War of Independence in the 1990s, restoration projects followed international </w:t>
      </w:r>
      <w:r w:rsidRPr="00C22E9B">
        <w:lastRenderedPageBreak/>
        <w:t>conservation principles and used traditional methods and materials to maintain historical accuracy.</w:t>
      </w:r>
    </w:p>
    <w:p w14:paraId="41DE9780" w14:textId="77777777" w:rsidR="00C22E9B" w:rsidRPr="00C22E9B" w:rsidRDefault="00C22E9B" w:rsidP="00C22E9B">
      <w:pPr>
        <w:spacing w:line="360" w:lineRule="auto"/>
      </w:pPr>
      <w:r w:rsidRPr="00C22E9B">
        <w:t>Integrity refers to the wholeness and completeness of the heritage property. Dubrovnik possesses strong integrity because its historic urban fabric, fortifications, and relationship with the surrounding landscape remain largely intact. However, the city faces challenges from tourism pressure, climate conditions, and urban commercialization. Large numbers of tourists and cruise ships place pressure on infrastructure and historic buildings (UNESCO, 2023). Conservation authorities continue to introduce visitor management and preservation strategies to protect the city’s cultural heritage.</w:t>
      </w:r>
    </w:p>
    <w:p w14:paraId="1366D987" w14:textId="77777777" w:rsidR="00C22E9B" w:rsidRPr="00C22E9B" w:rsidRDefault="00C22E9B" w:rsidP="00C22E9B">
      <w:pPr>
        <w:spacing w:line="360" w:lineRule="auto"/>
      </w:pPr>
      <w:r w:rsidRPr="00C22E9B">
        <w:t>In conclusion, the Old City of Dubrovnik is an outstanding example of cultural heritage that reflects architectural excellence, maritime history, and urban continuity. Its preserved authenticity and integrity allow the city to communicate its historical and cultural significance to future generations. Dubrovnik also demonstrates the importance of balancing tourism and conservation in historic urban environments.</w:t>
      </w:r>
    </w:p>
    <w:p w14:paraId="6BB3C337" w14:textId="77777777" w:rsidR="00C22E9B" w:rsidRPr="00C22E9B" w:rsidRDefault="00C22E9B" w:rsidP="00C22E9B">
      <w:pPr>
        <w:spacing w:line="360" w:lineRule="auto"/>
        <w:rPr>
          <w:b/>
          <w:bCs/>
        </w:rPr>
      </w:pPr>
      <w:r w:rsidRPr="00C22E9B">
        <w:rPr>
          <w:b/>
          <w:bCs/>
        </w:rPr>
        <w:t>2. Authenticity Beyond Material Originality: The Example of Ise Grand Shrine</w:t>
      </w:r>
    </w:p>
    <w:p w14:paraId="6A551781" w14:textId="77777777" w:rsidR="00C22E9B" w:rsidRPr="00C22E9B" w:rsidRDefault="00C22E9B" w:rsidP="00C22E9B">
      <w:pPr>
        <w:spacing w:line="360" w:lineRule="auto"/>
      </w:pPr>
      <w:r w:rsidRPr="00C22E9B">
        <w:t>The Ise Grand Shrine in Japan offers a unique perspective on authenticity in heritage conservation. Traditional Western conservation theories often emphasize preserving original physical materials as the foundation of authenticity. However, the Ise Shrine demonstrates that authenticity can also exist through continuity of rituals, traditions, and cultural knowledge rather than material permanence.</w:t>
      </w:r>
    </w:p>
    <w:p w14:paraId="5D7399E3" w14:textId="77777777" w:rsidR="00C22E9B" w:rsidRPr="00C22E9B" w:rsidRDefault="00C22E9B" w:rsidP="00C22E9B">
      <w:pPr>
        <w:spacing w:line="360" w:lineRule="auto"/>
      </w:pPr>
      <w:r w:rsidRPr="00C22E9B">
        <w:t xml:space="preserve">The Ise Grand Shrine is one of the most sacred sites in Shinto religion and has existed for more than thirteen centuries. Every twenty years, the shrine undergoes a ceremonial rebuilding process known as </w:t>
      </w:r>
      <w:proofErr w:type="spellStart"/>
      <w:r w:rsidRPr="00C22E9B">
        <w:rPr>
          <w:i/>
          <w:iCs/>
        </w:rPr>
        <w:t>Shikinen</w:t>
      </w:r>
      <w:proofErr w:type="spellEnd"/>
      <w:r w:rsidRPr="00C22E9B">
        <w:rPr>
          <w:i/>
          <w:iCs/>
        </w:rPr>
        <w:t xml:space="preserve"> </w:t>
      </w:r>
      <w:proofErr w:type="spellStart"/>
      <w:r w:rsidRPr="00C22E9B">
        <w:rPr>
          <w:i/>
          <w:iCs/>
        </w:rPr>
        <w:t>Sengu</w:t>
      </w:r>
      <w:proofErr w:type="spellEnd"/>
      <w:r w:rsidRPr="00C22E9B">
        <w:t>. During this process, a completely new structure is built beside the old one using traditional carpentry techniques and materials. Sacred objects are transferred to the new building, while the previous structure is dismantled (</w:t>
      </w:r>
      <w:proofErr w:type="spellStart"/>
      <w:r w:rsidRPr="00C22E9B">
        <w:t>Coaldrake</w:t>
      </w:r>
      <w:proofErr w:type="spellEnd"/>
      <w:r w:rsidRPr="00C22E9B">
        <w:t>, 1996). Although the physical structure is repeatedly replaced, the spiritual identity and cultural meaning of the shrine remain continuous.</w:t>
      </w:r>
    </w:p>
    <w:p w14:paraId="36E37421" w14:textId="77777777" w:rsidR="00C22E9B" w:rsidRPr="00C22E9B" w:rsidRDefault="00C22E9B" w:rsidP="00C22E9B">
      <w:pPr>
        <w:spacing w:line="360" w:lineRule="auto"/>
      </w:pPr>
      <w:r w:rsidRPr="00C22E9B">
        <w:t xml:space="preserve">This rebuilding practice challenges the idea that authenticity depends only on original materials. The Nara Document on Authenticity (1994) states that authenticity should be understood within different cultural contexts and may include spirit, traditions, function, and craftsmanship. At the Ise Shrine, authenticity is maintained through the transmission of religious rituals, architectural knowledge, and cultural practices across generations. The </w:t>
      </w:r>
      <w:r w:rsidRPr="00C22E9B">
        <w:lastRenderedPageBreak/>
        <w:t>rebuilding ceremony itself is considered authentic because it preserves living cultural traditions and reinforces social identity (Logan, 2007).</w:t>
      </w:r>
    </w:p>
    <w:p w14:paraId="4EEAE796" w14:textId="77777777" w:rsidR="00C22E9B" w:rsidRPr="00C22E9B" w:rsidRDefault="00C22E9B" w:rsidP="00C22E9B">
      <w:pPr>
        <w:spacing w:line="360" w:lineRule="auto"/>
      </w:pPr>
      <w:r w:rsidRPr="00C22E9B">
        <w:t>The shrine also highlights the importance of intangible cultural heritage. Traditional woodworking techniques, ceremonial customs, and spiritual beliefs are central to the shrine’s significance. These practices are carefully taught from master craftsmen to younger generations, ensuring the continuation of cultural knowledge and identity. Therefore, the value of Ise Shrine lies not only in the physical structure but also in the cultural processes associated with it.</w:t>
      </w:r>
    </w:p>
    <w:p w14:paraId="24C337EA" w14:textId="77777777" w:rsidR="00C22E9B" w:rsidRPr="00C22E9B" w:rsidRDefault="00C22E9B" w:rsidP="00C22E9B">
      <w:pPr>
        <w:spacing w:line="360" w:lineRule="auto"/>
      </w:pPr>
      <w:r w:rsidRPr="00C22E9B">
        <w:t>Furthermore, the example of Ise Shrine demonstrates that ideas of authenticity differ between cultures. Western conservation philosophies often oppose reconstruction because it may reduce historical originality. In contrast, Japanese traditions influenced by Shinto beliefs emphasize renewal, continuity, and impermanence. Authenticity at Ise Shrine is therefore rooted in maintaining spiritual and cultural continuity rather than preserving ancient building materials.</w:t>
      </w:r>
    </w:p>
    <w:p w14:paraId="7044DE5A" w14:textId="77777777" w:rsidR="00C22E9B" w:rsidRPr="00C22E9B" w:rsidRDefault="00C22E9B" w:rsidP="00C22E9B">
      <w:pPr>
        <w:spacing w:line="360" w:lineRule="auto"/>
      </w:pPr>
      <w:r w:rsidRPr="00C22E9B">
        <w:t>In conclusion, the Ise Grand Shrine broadens the understanding of authenticity in heritage conservation. It demonstrates that authenticity can exist through traditions, rituals, craftsmanship, and cultural continuity even when physical structures are rebuilt. The shrine highlights the importance of respecting cultural diversity in global heritage management practices.</w:t>
      </w:r>
    </w:p>
    <w:p w14:paraId="1D131470" w14:textId="476679E9" w:rsidR="00C22E9B" w:rsidRDefault="00C22E9B" w:rsidP="00C22E9B">
      <w:pPr>
        <w:spacing w:line="360" w:lineRule="auto"/>
      </w:pPr>
    </w:p>
    <w:p w14:paraId="0F1F69F3" w14:textId="77777777" w:rsidR="00C22E9B" w:rsidRDefault="00C22E9B" w:rsidP="00C22E9B">
      <w:pPr>
        <w:spacing w:line="360" w:lineRule="auto"/>
      </w:pPr>
    </w:p>
    <w:p w14:paraId="2C5E44B8" w14:textId="77777777" w:rsidR="00C22E9B" w:rsidRDefault="00C22E9B" w:rsidP="00C22E9B">
      <w:pPr>
        <w:spacing w:line="360" w:lineRule="auto"/>
      </w:pPr>
    </w:p>
    <w:p w14:paraId="2188FD18" w14:textId="77777777" w:rsidR="00C22E9B" w:rsidRDefault="00C22E9B" w:rsidP="00C22E9B">
      <w:pPr>
        <w:spacing w:line="360" w:lineRule="auto"/>
      </w:pPr>
    </w:p>
    <w:p w14:paraId="1A4B5B0A" w14:textId="77777777" w:rsidR="00C22E9B" w:rsidRDefault="00C22E9B" w:rsidP="00C22E9B">
      <w:pPr>
        <w:spacing w:line="360" w:lineRule="auto"/>
      </w:pPr>
    </w:p>
    <w:p w14:paraId="38DFA9EE" w14:textId="77777777" w:rsidR="00C22E9B" w:rsidRDefault="00C22E9B" w:rsidP="00C22E9B">
      <w:pPr>
        <w:spacing w:line="360" w:lineRule="auto"/>
      </w:pPr>
    </w:p>
    <w:p w14:paraId="0A80A560" w14:textId="77777777" w:rsidR="00C22E9B" w:rsidRDefault="00C22E9B" w:rsidP="00C22E9B">
      <w:pPr>
        <w:spacing w:line="360" w:lineRule="auto"/>
      </w:pPr>
    </w:p>
    <w:p w14:paraId="4FE7B842" w14:textId="77777777" w:rsidR="00C22E9B" w:rsidRDefault="00C22E9B" w:rsidP="00C22E9B">
      <w:pPr>
        <w:spacing w:line="360" w:lineRule="auto"/>
      </w:pPr>
    </w:p>
    <w:p w14:paraId="6D12E444" w14:textId="77777777" w:rsidR="00C22E9B" w:rsidRDefault="00C22E9B" w:rsidP="00C22E9B">
      <w:pPr>
        <w:spacing w:line="360" w:lineRule="auto"/>
      </w:pPr>
    </w:p>
    <w:p w14:paraId="10E8C374" w14:textId="77777777" w:rsidR="00C22E9B" w:rsidRDefault="00C22E9B" w:rsidP="00C22E9B">
      <w:pPr>
        <w:spacing w:line="360" w:lineRule="auto"/>
      </w:pPr>
    </w:p>
    <w:p w14:paraId="0721E3FF" w14:textId="77777777" w:rsidR="00C22E9B" w:rsidRDefault="00C22E9B" w:rsidP="00C22E9B">
      <w:pPr>
        <w:spacing w:line="360" w:lineRule="auto"/>
      </w:pPr>
    </w:p>
    <w:p w14:paraId="08CBACB3" w14:textId="77777777" w:rsidR="00C22E9B" w:rsidRDefault="00C22E9B" w:rsidP="00C22E9B">
      <w:pPr>
        <w:spacing w:line="360" w:lineRule="auto"/>
      </w:pPr>
    </w:p>
    <w:p w14:paraId="701502BB" w14:textId="77777777" w:rsidR="00C22E9B" w:rsidRPr="00C22E9B" w:rsidRDefault="00C22E9B" w:rsidP="00C22E9B">
      <w:pPr>
        <w:spacing w:line="360" w:lineRule="auto"/>
      </w:pPr>
    </w:p>
    <w:p w14:paraId="0003DC57" w14:textId="77777777" w:rsidR="00C22E9B" w:rsidRPr="00C22E9B" w:rsidRDefault="00C22E9B" w:rsidP="00C22E9B">
      <w:pPr>
        <w:spacing w:line="360" w:lineRule="auto"/>
        <w:rPr>
          <w:b/>
          <w:bCs/>
        </w:rPr>
      </w:pPr>
      <w:r w:rsidRPr="00C22E9B">
        <w:rPr>
          <w:b/>
          <w:bCs/>
        </w:rPr>
        <w:lastRenderedPageBreak/>
        <w:t>References</w:t>
      </w:r>
    </w:p>
    <w:p w14:paraId="2F28AC4E" w14:textId="77777777" w:rsidR="00C22E9B" w:rsidRPr="00C22E9B" w:rsidRDefault="00C22E9B" w:rsidP="00C22E9B">
      <w:pPr>
        <w:spacing w:line="360" w:lineRule="auto"/>
      </w:pPr>
      <w:r w:rsidRPr="00C22E9B">
        <w:t xml:space="preserve">Araoz, G. F. (2011). Preserving heritage places under a new paradigm. </w:t>
      </w:r>
      <w:r w:rsidRPr="00C22E9B">
        <w:rPr>
          <w:i/>
          <w:iCs/>
        </w:rPr>
        <w:t>Journal of Cultural Heritage Management and Sustainable Development, 1</w:t>
      </w:r>
      <w:r w:rsidRPr="00C22E9B">
        <w:t>(1), 55–60. https://doi.org/10.1108/20441261111129933</w:t>
      </w:r>
    </w:p>
    <w:p w14:paraId="4666F6BE" w14:textId="77777777" w:rsidR="00C22E9B" w:rsidRPr="00C22E9B" w:rsidRDefault="00C22E9B" w:rsidP="00C22E9B">
      <w:pPr>
        <w:spacing w:line="360" w:lineRule="auto"/>
      </w:pPr>
      <w:proofErr w:type="spellStart"/>
      <w:r w:rsidRPr="00C22E9B">
        <w:t>Coaldrake</w:t>
      </w:r>
      <w:proofErr w:type="spellEnd"/>
      <w:r w:rsidRPr="00C22E9B">
        <w:t xml:space="preserve">, W. H. (1996). </w:t>
      </w:r>
      <w:r w:rsidRPr="00C22E9B">
        <w:rPr>
          <w:i/>
          <w:iCs/>
        </w:rPr>
        <w:t>Architecture and Authority in Japan</w:t>
      </w:r>
      <w:r w:rsidRPr="00C22E9B">
        <w:t>. Routledge. https://doi.org/10.4324/9780203436482</w:t>
      </w:r>
    </w:p>
    <w:p w14:paraId="7714A67B" w14:textId="77777777" w:rsidR="00C22E9B" w:rsidRPr="00C22E9B" w:rsidRDefault="00C22E9B" w:rsidP="00C22E9B">
      <w:pPr>
        <w:spacing w:line="360" w:lineRule="auto"/>
      </w:pPr>
      <w:r w:rsidRPr="00C22E9B">
        <w:t xml:space="preserve">Harris, R. (2006). </w:t>
      </w:r>
      <w:r w:rsidRPr="00C22E9B">
        <w:rPr>
          <w:i/>
          <w:iCs/>
        </w:rPr>
        <w:t>Dubrovnik: A History</w:t>
      </w:r>
      <w:r w:rsidRPr="00C22E9B">
        <w:t>. Saqi Books. https://doi.org/10.5040/9780863568677</w:t>
      </w:r>
    </w:p>
    <w:p w14:paraId="6E43C1E7" w14:textId="77777777" w:rsidR="00C22E9B" w:rsidRPr="00C22E9B" w:rsidRDefault="00C22E9B" w:rsidP="00C22E9B">
      <w:pPr>
        <w:spacing w:line="360" w:lineRule="auto"/>
      </w:pPr>
      <w:r w:rsidRPr="00C22E9B">
        <w:t xml:space="preserve">Logan, W. (2007). </w:t>
      </w:r>
      <w:r w:rsidRPr="00C22E9B">
        <w:rPr>
          <w:i/>
          <w:iCs/>
        </w:rPr>
        <w:t>Closing Pandora’s Box: Human Rights Conundrums in Cultural Heritage Protection</w:t>
      </w:r>
      <w:r w:rsidRPr="00C22E9B">
        <w:t>. Boydell Press. https://doi.org/10.1017/UPO9781846154597</w:t>
      </w:r>
    </w:p>
    <w:p w14:paraId="3872B99F" w14:textId="77777777" w:rsidR="00C22E9B" w:rsidRPr="00C22E9B" w:rsidRDefault="00C22E9B" w:rsidP="00C22E9B">
      <w:pPr>
        <w:spacing w:line="360" w:lineRule="auto"/>
      </w:pPr>
      <w:r w:rsidRPr="00C22E9B">
        <w:t xml:space="preserve">UNESCO. (2023). </w:t>
      </w:r>
      <w:r w:rsidRPr="00C22E9B">
        <w:rPr>
          <w:i/>
          <w:iCs/>
        </w:rPr>
        <w:t>Old City of Dubrovnik World Heritage Listing</w:t>
      </w:r>
      <w:r w:rsidRPr="00C22E9B">
        <w:t xml:space="preserve">. Retrieved from </w:t>
      </w:r>
      <w:hyperlink r:id="rId6" w:tgtFrame="_new" w:history="1">
        <w:r w:rsidRPr="00C22E9B">
          <w:rPr>
            <w:rStyle w:val="Hyperlink"/>
          </w:rPr>
          <w:t>https://whc.unesco.org/en/list/95/</w:t>
        </w:r>
      </w:hyperlink>
    </w:p>
    <w:p w14:paraId="2447E899" w14:textId="77777777" w:rsidR="00C22E9B" w:rsidRPr="00C22E9B" w:rsidRDefault="00C22E9B" w:rsidP="00C22E9B">
      <w:pPr>
        <w:spacing w:line="360" w:lineRule="auto"/>
      </w:pPr>
      <w:proofErr w:type="spellStart"/>
      <w:r w:rsidRPr="00C22E9B">
        <w:t>Vecco</w:t>
      </w:r>
      <w:proofErr w:type="spellEnd"/>
      <w:r w:rsidRPr="00C22E9B">
        <w:t xml:space="preserve">, M. (2010). A definition of cultural heritage: From the tangible to the intangible. </w:t>
      </w:r>
      <w:r w:rsidRPr="00C22E9B">
        <w:rPr>
          <w:i/>
          <w:iCs/>
        </w:rPr>
        <w:t>Journal of Cultural Heritage, 11</w:t>
      </w:r>
      <w:r w:rsidRPr="00C22E9B">
        <w:t xml:space="preserve">(3), 321–324. </w:t>
      </w:r>
      <w:hyperlink r:id="rId7" w:tgtFrame="_new" w:history="1">
        <w:r w:rsidRPr="00C22E9B">
          <w:rPr>
            <w:rStyle w:val="Hyperlink"/>
          </w:rPr>
          <w:t>https://doi.org/10.1016/j.culher.2010.01.006</w:t>
        </w:r>
      </w:hyperlink>
    </w:p>
    <w:p w14:paraId="260B314C" w14:textId="4535DBE5" w:rsidR="00626CBD" w:rsidRPr="00626CBD" w:rsidRDefault="00626CBD" w:rsidP="00626CBD">
      <w:pPr>
        <w:spacing w:line="360" w:lineRule="auto"/>
      </w:pPr>
      <w:r w:rsidRPr="00626CBD">
        <w:t>371011040843</w:t>
      </w:r>
    </w:p>
    <w:sectPr w:rsidR="00626CBD" w:rsidRPr="00626C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EDDFC79-5AC0-4069-9399-9F61A16DA853}"/>
    <w:embedBold r:id="rId2" w:fontKey="{0D4F503F-4129-428F-AF23-BE87E98EF382}"/>
    <w:embedItalic r:id="rId3" w:fontKey="{A9D75267-64D4-4929-A8CF-6E7A4B21E13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A51240E-6480-4DB8-9DAC-7EC8926C441F}"/>
  </w:font>
  <w:font w:name="Calibri Light">
    <w:panose1 w:val="020F0302020204030204"/>
    <w:charset w:val="00"/>
    <w:family w:val="swiss"/>
    <w:pitch w:val="variable"/>
    <w:sig w:usb0="E4002EFF" w:usb1="C000247B" w:usb2="00000009" w:usb3="00000000" w:csb0="000001FF" w:csb1="00000000"/>
    <w:embedRegular r:id="rId5" w:fontKey="{073173A7-58D2-4178-A1B0-6063AB21762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1"/>
  </w:num>
  <w:num w:numId="2" w16cid:durableId="1882092387">
    <w:abstractNumId w:val="2"/>
  </w:num>
  <w:num w:numId="3" w16cid:durableId="1544052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D03F1"/>
    <w:rsid w:val="001700EC"/>
    <w:rsid w:val="00174BB1"/>
    <w:rsid w:val="00224FD9"/>
    <w:rsid w:val="002F4AE0"/>
    <w:rsid w:val="00384E8A"/>
    <w:rsid w:val="003D1074"/>
    <w:rsid w:val="00426865"/>
    <w:rsid w:val="00477CAA"/>
    <w:rsid w:val="004B5C3E"/>
    <w:rsid w:val="00502E29"/>
    <w:rsid w:val="005E458B"/>
    <w:rsid w:val="005E7CB5"/>
    <w:rsid w:val="00626CBD"/>
    <w:rsid w:val="00672345"/>
    <w:rsid w:val="007A4B0D"/>
    <w:rsid w:val="008433C4"/>
    <w:rsid w:val="00844EC2"/>
    <w:rsid w:val="008516FE"/>
    <w:rsid w:val="008E4989"/>
    <w:rsid w:val="00905BA7"/>
    <w:rsid w:val="00942251"/>
    <w:rsid w:val="009C1D0A"/>
    <w:rsid w:val="00A044F7"/>
    <w:rsid w:val="00A5137B"/>
    <w:rsid w:val="00A8150E"/>
    <w:rsid w:val="00B20343"/>
    <w:rsid w:val="00B72D24"/>
    <w:rsid w:val="00B85EA7"/>
    <w:rsid w:val="00BB4599"/>
    <w:rsid w:val="00BE65DD"/>
    <w:rsid w:val="00C01D31"/>
    <w:rsid w:val="00C22E9B"/>
    <w:rsid w:val="00C612A4"/>
    <w:rsid w:val="00CC6AD1"/>
    <w:rsid w:val="00CF34F8"/>
    <w:rsid w:val="00DC27AB"/>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161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DC27AB"/>
    <w:rPr>
      <w:color w:val="0563C1" w:themeColor="hyperlink"/>
      <w:u w:val="single"/>
    </w:rPr>
  </w:style>
  <w:style w:type="character" w:styleId="UnresolvedMention">
    <w:name w:val="Unresolved Mention"/>
    <w:basedOn w:val="DefaultParagraphFont"/>
    <w:uiPriority w:val="99"/>
    <w:semiHidden/>
    <w:unhideWhenUsed/>
    <w:rsid w:val="00DC2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culher.2010.01.0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9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1208</Words>
  <Characters>6891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2026-05-11T11:34:00Z</dcterms:created>
  <dcterms:modified xsi:type="dcterms:W3CDTF">2026-05-11T11:34:00Z</dcterms:modified>
</cp:coreProperties>
</file>