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1AF40" w14:textId="79D533B9" w:rsidR="00224002" w:rsidRPr="00224002" w:rsidRDefault="00224002" w:rsidP="28A0920A">
      <w:pPr>
        <w:spacing w:after="0"/>
        <w:rPr>
          <w:rFonts w:ascii="Times New Roman" w:eastAsia="Helvetica Neue" w:hAnsi="Times New Roman" w:cs="Times New Roman"/>
          <w:color w:val="000000" w:themeColor="text1"/>
          <w:sz w:val="36"/>
          <w:szCs w:val="36"/>
        </w:rPr>
      </w:pPr>
      <w:r>
        <w:rPr>
          <w:rFonts w:ascii="Times New Roman" w:eastAsia="Helvetica Neue" w:hAnsi="Times New Roman" w:cs="Times New Roman"/>
          <w:b/>
          <w:bCs/>
          <w:color w:val="000000" w:themeColor="text1"/>
          <w:sz w:val="36"/>
          <w:szCs w:val="36"/>
        </w:rPr>
        <w:t xml:space="preserve">                Tittle </w:t>
      </w:r>
      <w:proofErr w:type="gramStart"/>
      <w:r w:rsidRPr="00224002">
        <w:rPr>
          <w:rFonts w:ascii="Times New Roman" w:eastAsia="Helvetica Neue" w:hAnsi="Times New Roman" w:cs="Times New Roman"/>
          <w:color w:val="000000" w:themeColor="text1"/>
          <w:sz w:val="36"/>
          <w:szCs w:val="36"/>
        </w:rPr>
        <w:t>–  MO</w:t>
      </w:r>
      <w:proofErr w:type="gramEnd"/>
      <w:r w:rsidRPr="00224002">
        <w:rPr>
          <w:rFonts w:ascii="Times New Roman" w:eastAsia="Helvetica Neue" w:hAnsi="Times New Roman" w:cs="Times New Roman"/>
          <w:color w:val="000000" w:themeColor="text1"/>
          <w:sz w:val="36"/>
          <w:szCs w:val="36"/>
        </w:rPr>
        <w:t>3</w:t>
      </w:r>
      <w:r>
        <w:rPr>
          <w:rFonts w:ascii="Times New Roman" w:eastAsia="Helvetica Neue" w:hAnsi="Times New Roman" w:cs="Times New Roman"/>
          <w:b/>
          <w:bCs/>
          <w:color w:val="000000" w:themeColor="text1"/>
          <w:sz w:val="36"/>
          <w:szCs w:val="36"/>
        </w:rPr>
        <w:t xml:space="preserve">- </w:t>
      </w:r>
      <w:r>
        <w:rPr>
          <w:rFonts w:ascii="Times New Roman" w:eastAsia="Helvetica Neue" w:hAnsi="Times New Roman" w:cs="Times New Roman"/>
          <w:color w:val="000000" w:themeColor="text1"/>
          <w:sz w:val="36"/>
          <w:szCs w:val="36"/>
        </w:rPr>
        <w:t>Accounting Fundamentals</w:t>
      </w:r>
    </w:p>
    <w:p w14:paraId="7A883569" w14:textId="3A0595F3" w:rsidR="00BD4F72" w:rsidRPr="00BD4F72" w:rsidRDefault="00BD4F72" w:rsidP="00BD4F72">
      <w:pPr>
        <w:spacing w:line="259" w:lineRule="auto"/>
        <w:rPr>
          <w:rFonts w:ascii="Times New Roman" w:hAnsi="Times New Roman" w:cs="Times New Roman"/>
          <w:sz w:val="32"/>
          <w:szCs w:val="32"/>
        </w:rPr>
      </w:pPr>
    </w:p>
    <w:p w14:paraId="17D2E8DA" w14:textId="49FBB6B1" w:rsidR="00224002" w:rsidRDefault="00224002" w:rsidP="00224002">
      <w:pPr>
        <w:spacing w:line="259" w:lineRule="auto"/>
        <w:rPr>
          <w:rFonts w:ascii="Times New Roman" w:hAnsi="Times New Roman" w:cs="Times New Roman"/>
          <w:sz w:val="32"/>
          <w:szCs w:val="32"/>
        </w:rPr>
      </w:pPr>
      <w:r>
        <w:rPr>
          <w:rFonts w:ascii="Times New Roman" w:hAnsi="Times New Roman" w:cs="Times New Roman"/>
          <w:sz w:val="32"/>
          <w:szCs w:val="32"/>
        </w:rPr>
        <w:t xml:space="preserve"> </w:t>
      </w:r>
      <w:r w:rsidR="00BD4F72" w:rsidRPr="00BD4F72">
        <w:rPr>
          <w:rFonts w:ascii="Times New Roman" w:hAnsi="Times New Roman" w:cs="Times New Roman"/>
          <w:sz w:val="32"/>
          <w:szCs w:val="32"/>
        </w:rPr>
        <w:t xml:space="preserve">Assignment </w:t>
      </w:r>
      <w:proofErr w:type="gramStart"/>
      <w:r w:rsidR="00BD4F72" w:rsidRPr="00BD4F72">
        <w:rPr>
          <w:rFonts w:ascii="Times New Roman" w:hAnsi="Times New Roman" w:cs="Times New Roman"/>
          <w:sz w:val="32"/>
          <w:szCs w:val="32"/>
        </w:rPr>
        <w:t>1</w:t>
      </w:r>
      <w:r>
        <w:rPr>
          <w:rFonts w:ascii="Times New Roman" w:hAnsi="Times New Roman" w:cs="Times New Roman"/>
          <w:sz w:val="32"/>
          <w:szCs w:val="32"/>
        </w:rPr>
        <w:t xml:space="preserve"> </w:t>
      </w:r>
      <w:r w:rsidR="00BD4F72" w:rsidRPr="00BD4F72">
        <w:rPr>
          <w:rFonts w:ascii="Times New Roman" w:hAnsi="Times New Roman" w:cs="Times New Roman"/>
          <w:sz w:val="32"/>
          <w:szCs w:val="32"/>
        </w:rPr>
        <w:t>:</w:t>
      </w:r>
      <w:proofErr w:type="gramEnd"/>
      <w:r w:rsidR="00BD4F72" w:rsidRPr="00BD4F72">
        <w:rPr>
          <w:rFonts w:ascii="Times New Roman" w:hAnsi="Times New Roman" w:cs="Times New Roman"/>
          <w:sz w:val="32"/>
          <w:szCs w:val="32"/>
        </w:rPr>
        <w:t xml:space="preserve"> Advanced Theoretical Concepts of Accounting and </w:t>
      </w:r>
      <w:r>
        <w:rPr>
          <w:rFonts w:ascii="Times New Roman" w:hAnsi="Times New Roman" w:cs="Times New Roman"/>
          <w:sz w:val="32"/>
          <w:szCs w:val="32"/>
        </w:rPr>
        <w:t xml:space="preserve">     </w:t>
      </w:r>
    </w:p>
    <w:p w14:paraId="39B9CFB1" w14:textId="5463E848" w:rsidR="00BD4F72" w:rsidRPr="00BD4F72" w:rsidRDefault="00BD4F72" w:rsidP="00224002">
      <w:pPr>
        <w:spacing w:line="259" w:lineRule="auto"/>
        <w:jc w:val="right"/>
        <w:rPr>
          <w:rFonts w:ascii="Times New Roman" w:hAnsi="Times New Roman" w:cs="Times New Roman"/>
          <w:sz w:val="32"/>
          <w:szCs w:val="32"/>
        </w:rPr>
      </w:pPr>
      <w:r w:rsidRPr="00BD4F72">
        <w:rPr>
          <w:rFonts w:ascii="Times New Roman" w:hAnsi="Times New Roman" w:cs="Times New Roman"/>
          <w:sz w:val="32"/>
          <w:szCs w:val="32"/>
        </w:rPr>
        <w:t>Their</w:t>
      </w:r>
      <w:r w:rsidR="00224002">
        <w:rPr>
          <w:rFonts w:ascii="Times New Roman" w:hAnsi="Times New Roman" w:cs="Times New Roman"/>
          <w:sz w:val="32"/>
          <w:szCs w:val="32"/>
        </w:rPr>
        <w:t xml:space="preserve"> </w:t>
      </w:r>
      <w:r w:rsidRPr="00BD4F72">
        <w:rPr>
          <w:rFonts w:ascii="Times New Roman" w:hAnsi="Times New Roman" w:cs="Times New Roman"/>
          <w:sz w:val="32"/>
          <w:szCs w:val="32"/>
        </w:rPr>
        <w:t>Application in Modern Business Practices</w:t>
      </w:r>
    </w:p>
    <w:p w14:paraId="426DA82E" w14:textId="77777777" w:rsidR="00BD4F72" w:rsidRPr="00BD4F72" w:rsidRDefault="00BD4F72" w:rsidP="00BD4F72">
      <w:pPr>
        <w:spacing w:line="259" w:lineRule="auto"/>
        <w:jc w:val="center"/>
        <w:rPr>
          <w:rFonts w:ascii="Times New Roman" w:hAnsi="Times New Roman" w:cs="Times New Roman"/>
          <w:sz w:val="32"/>
          <w:szCs w:val="32"/>
        </w:rPr>
      </w:pPr>
    </w:p>
    <w:p w14:paraId="75F34007" w14:textId="77777777" w:rsidR="00BD4F72" w:rsidRPr="00BD4F72" w:rsidRDefault="00BD4F72" w:rsidP="00BD4F72">
      <w:pPr>
        <w:spacing w:line="259" w:lineRule="auto"/>
        <w:rPr>
          <w:rFonts w:ascii="Times New Roman" w:eastAsia="Helvetica Neue" w:hAnsi="Times New Roman" w:cs="Times New Roman"/>
          <w:b/>
          <w:bCs/>
          <w:color w:val="000000" w:themeColor="text1"/>
          <w:sz w:val="32"/>
          <w:szCs w:val="32"/>
        </w:rPr>
      </w:pPr>
    </w:p>
    <w:p w14:paraId="06254E85" w14:textId="77777777" w:rsidR="00224002" w:rsidRPr="00BD4F72" w:rsidRDefault="00224002" w:rsidP="00224002">
      <w:pPr>
        <w:spacing w:line="259" w:lineRule="auto"/>
        <w:jc w:val="center"/>
        <w:rPr>
          <w:rFonts w:ascii="Times New Roman" w:hAnsi="Times New Roman" w:cs="Times New Roman"/>
          <w:sz w:val="32"/>
          <w:szCs w:val="32"/>
        </w:rPr>
      </w:pPr>
      <w:proofErr w:type="gramStart"/>
      <w:r w:rsidRPr="00224002">
        <w:rPr>
          <w:rFonts w:ascii="Times New Roman" w:hAnsi="Times New Roman" w:cs="Times New Roman"/>
          <w:b/>
          <w:bCs/>
          <w:sz w:val="32"/>
          <w:szCs w:val="32"/>
        </w:rPr>
        <w:t>Name</w:t>
      </w:r>
      <w:r>
        <w:rPr>
          <w:rFonts w:ascii="Times New Roman" w:hAnsi="Times New Roman" w:cs="Times New Roman"/>
          <w:b/>
          <w:bCs/>
          <w:sz w:val="32"/>
          <w:szCs w:val="32"/>
        </w:rPr>
        <w:t xml:space="preserve">  </w:t>
      </w:r>
      <w:r w:rsidRPr="00224002">
        <w:rPr>
          <w:rFonts w:ascii="Times New Roman" w:hAnsi="Times New Roman" w:cs="Times New Roman"/>
          <w:b/>
          <w:bCs/>
          <w:sz w:val="32"/>
          <w:szCs w:val="32"/>
        </w:rPr>
        <w:t>:</w:t>
      </w:r>
      <w:proofErr w:type="gramEnd"/>
      <w:r w:rsidRPr="00BD4F72">
        <w:rPr>
          <w:rFonts w:ascii="Times New Roman" w:hAnsi="Times New Roman" w:cs="Times New Roman"/>
          <w:sz w:val="32"/>
          <w:szCs w:val="32"/>
        </w:rPr>
        <w:t xml:space="preserve"> Kajal</w:t>
      </w:r>
    </w:p>
    <w:p w14:paraId="6041FDC9" w14:textId="77777777" w:rsidR="00224002" w:rsidRPr="00BD4F72" w:rsidRDefault="00224002" w:rsidP="00224002">
      <w:pPr>
        <w:spacing w:line="259" w:lineRule="auto"/>
        <w:jc w:val="center"/>
        <w:rPr>
          <w:rFonts w:ascii="Times New Roman" w:hAnsi="Times New Roman" w:cs="Times New Roman"/>
          <w:sz w:val="32"/>
          <w:szCs w:val="32"/>
        </w:rPr>
      </w:pPr>
    </w:p>
    <w:p w14:paraId="5EB1EE12" w14:textId="77777777" w:rsidR="00224002" w:rsidRPr="00BD4F72" w:rsidRDefault="00224002" w:rsidP="00224002">
      <w:pPr>
        <w:spacing w:line="259" w:lineRule="auto"/>
        <w:jc w:val="center"/>
        <w:rPr>
          <w:rFonts w:ascii="Times New Roman" w:hAnsi="Times New Roman" w:cs="Times New Roman"/>
          <w:sz w:val="32"/>
          <w:szCs w:val="32"/>
        </w:rPr>
      </w:pPr>
      <w:r w:rsidRPr="00224002">
        <w:rPr>
          <w:rFonts w:ascii="Times New Roman" w:hAnsi="Times New Roman" w:cs="Times New Roman"/>
          <w:b/>
          <w:bCs/>
          <w:sz w:val="32"/>
          <w:szCs w:val="32"/>
        </w:rPr>
        <w:t>Matriculation Number</w:t>
      </w:r>
      <w:r w:rsidRPr="00BD4F72">
        <w:rPr>
          <w:rFonts w:ascii="Times New Roman" w:hAnsi="Times New Roman" w:cs="Times New Roman"/>
          <w:sz w:val="32"/>
          <w:szCs w:val="32"/>
        </w:rPr>
        <w:t>: DE240155</w:t>
      </w:r>
    </w:p>
    <w:p w14:paraId="6B071183" w14:textId="77777777" w:rsidR="00224002" w:rsidRPr="00BD4F72" w:rsidRDefault="00224002" w:rsidP="00224002">
      <w:pPr>
        <w:spacing w:line="259" w:lineRule="auto"/>
        <w:jc w:val="center"/>
        <w:rPr>
          <w:rFonts w:ascii="Times New Roman" w:hAnsi="Times New Roman" w:cs="Times New Roman"/>
          <w:sz w:val="32"/>
          <w:szCs w:val="32"/>
        </w:rPr>
      </w:pPr>
      <w:r w:rsidRPr="00BD4F72">
        <w:rPr>
          <w:rFonts w:ascii="Times New Roman" w:hAnsi="Times New Roman" w:cs="Times New Roman"/>
          <w:sz w:val="32"/>
          <w:szCs w:val="32"/>
        </w:rPr>
        <w:t xml:space="preserve"> </w:t>
      </w:r>
    </w:p>
    <w:p w14:paraId="0937BACA" w14:textId="77777777" w:rsidR="00224002" w:rsidRPr="00BD4F72" w:rsidRDefault="00224002" w:rsidP="00224002">
      <w:pPr>
        <w:spacing w:line="259" w:lineRule="auto"/>
        <w:jc w:val="center"/>
        <w:rPr>
          <w:rFonts w:ascii="Times New Roman" w:hAnsi="Times New Roman" w:cs="Times New Roman"/>
          <w:sz w:val="32"/>
          <w:szCs w:val="32"/>
        </w:rPr>
      </w:pPr>
      <w:r w:rsidRPr="00BD4F72">
        <w:rPr>
          <w:rFonts w:ascii="Times New Roman" w:hAnsi="Times New Roman" w:cs="Times New Roman"/>
          <w:sz w:val="32"/>
          <w:szCs w:val="32"/>
        </w:rPr>
        <w:t xml:space="preserve"> </w:t>
      </w:r>
    </w:p>
    <w:p w14:paraId="77D5E6B8" w14:textId="77777777" w:rsidR="00BD4F72" w:rsidRDefault="00BD4F72" w:rsidP="00BD4F72">
      <w:pPr>
        <w:spacing w:line="259" w:lineRule="auto"/>
        <w:rPr>
          <w:rFonts w:ascii="Times New Roman" w:eastAsia="Helvetica Neue" w:hAnsi="Times New Roman" w:cs="Times New Roman"/>
          <w:b/>
          <w:bCs/>
          <w:color w:val="000000" w:themeColor="text1"/>
        </w:rPr>
      </w:pPr>
    </w:p>
    <w:p w14:paraId="18C84D6B" w14:textId="77777777" w:rsidR="00BD4F72" w:rsidRDefault="00BD4F72" w:rsidP="00BD4F72">
      <w:pPr>
        <w:spacing w:line="259" w:lineRule="auto"/>
        <w:rPr>
          <w:rFonts w:ascii="Times New Roman" w:eastAsia="Helvetica Neue" w:hAnsi="Times New Roman" w:cs="Times New Roman"/>
          <w:b/>
          <w:bCs/>
          <w:color w:val="000000" w:themeColor="text1"/>
        </w:rPr>
      </w:pPr>
    </w:p>
    <w:p w14:paraId="046CE808" w14:textId="77777777" w:rsidR="00BD4F72" w:rsidRDefault="00BD4F72" w:rsidP="00BD4F72">
      <w:pPr>
        <w:spacing w:line="259" w:lineRule="auto"/>
        <w:rPr>
          <w:rFonts w:ascii="Times New Roman" w:eastAsia="Helvetica Neue" w:hAnsi="Times New Roman" w:cs="Times New Roman"/>
          <w:b/>
          <w:bCs/>
          <w:color w:val="000000" w:themeColor="text1"/>
        </w:rPr>
      </w:pPr>
    </w:p>
    <w:p w14:paraId="75C3320A" w14:textId="77777777" w:rsidR="00BD4F72" w:rsidRDefault="00BD4F72" w:rsidP="00BD4F72">
      <w:pPr>
        <w:spacing w:line="259" w:lineRule="auto"/>
        <w:rPr>
          <w:rFonts w:ascii="Times New Roman" w:eastAsia="Helvetica Neue" w:hAnsi="Times New Roman" w:cs="Times New Roman"/>
          <w:b/>
          <w:bCs/>
          <w:color w:val="000000" w:themeColor="text1"/>
        </w:rPr>
      </w:pPr>
    </w:p>
    <w:p w14:paraId="39125E54" w14:textId="1A569E5F" w:rsidR="00211945" w:rsidRPr="00BD4F72" w:rsidRDefault="611ED9C5" w:rsidP="00BD4F72">
      <w:pPr>
        <w:spacing w:line="259" w:lineRule="auto"/>
        <w:rPr>
          <w:rFonts w:ascii="Times New Roman" w:hAnsi="Times New Roman" w:cs="Times New Roman"/>
          <w:sz w:val="32"/>
          <w:szCs w:val="32"/>
        </w:rPr>
      </w:pPr>
      <w:r w:rsidRPr="00BD4F72">
        <w:rPr>
          <w:rFonts w:ascii="Times New Roman" w:eastAsia="Helvetica Neue" w:hAnsi="Times New Roman" w:cs="Times New Roman"/>
          <w:b/>
          <w:bCs/>
          <w:color w:val="000000" w:themeColor="text1"/>
          <w:sz w:val="32"/>
          <w:szCs w:val="32"/>
        </w:rPr>
        <w:t>TABLE OF CONTENTS</w:t>
      </w:r>
    </w:p>
    <w:p w14:paraId="29CDD8A8" w14:textId="336AEBDF" w:rsidR="00211945" w:rsidRPr="00BD4F72" w:rsidRDefault="00211945" w:rsidP="28A0920A">
      <w:pPr>
        <w:spacing w:after="0"/>
        <w:rPr>
          <w:rFonts w:ascii="Times New Roman" w:hAnsi="Times New Roman" w:cs="Times New Roman"/>
        </w:rPr>
      </w:pPr>
    </w:p>
    <w:p w14:paraId="4005542E" w14:textId="29FD517F" w:rsidR="00211945" w:rsidRPr="00BD4F72" w:rsidRDefault="611ED9C5" w:rsidP="28A0920A">
      <w:pPr>
        <w:spacing w:after="0"/>
        <w:ind w:left="540" w:hanging="540"/>
        <w:rPr>
          <w:rFonts w:ascii="Times New Roman" w:hAnsi="Times New Roman" w:cs="Times New Roman"/>
        </w:rPr>
      </w:pPr>
      <w:r w:rsidRPr="00BD4F72">
        <w:rPr>
          <w:rFonts w:ascii="Times New Roman" w:eastAsia="Helvetica Neue" w:hAnsi="Times New Roman" w:cs="Times New Roman"/>
          <w:color w:val="000000" w:themeColor="text1"/>
        </w:rPr>
        <w:t>1.</w:t>
      </w:r>
      <w:r w:rsidR="00000000" w:rsidRPr="00BD4F72">
        <w:rPr>
          <w:rFonts w:ascii="Times New Roman" w:hAnsi="Times New Roman" w:cs="Times New Roman"/>
        </w:rPr>
        <w:tab/>
      </w:r>
      <w:r w:rsidRPr="00BD4F72">
        <w:rPr>
          <w:rFonts w:ascii="Times New Roman" w:eastAsia="Helvetica Neue" w:hAnsi="Times New Roman" w:cs="Times New Roman"/>
          <w:color w:val="000000" w:themeColor="text1"/>
        </w:rPr>
        <w:t>Introduction</w:t>
      </w:r>
    </w:p>
    <w:p w14:paraId="1832A632" w14:textId="00B7D37A" w:rsidR="00211945" w:rsidRPr="00BD4F72" w:rsidRDefault="611ED9C5" w:rsidP="28A0920A">
      <w:pPr>
        <w:spacing w:after="0"/>
        <w:ind w:left="540" w:hanging="540"/>
        <w:rPr>
          <w:rFonts w:ascii="Times New Roman" w:hAnsi="Times New Roman" w:cs="Times New Roman"/>
        </w:rPr>
      </w:pPr>
      <w:r w:rsidRPr="00BD4F72">
        <w:rPr>
          <w:rFonts w:ascii="Times New Roman" w:eastAsia="Helvetica Neue" w:hAnsi="Times New Roman" w:cs="Times New Roman"/>
          <w:color w:val="000000" w:themeColor="text1"/>
        </w:rPr>
        <w:t>2.</w:t>
      </w:r>
      <w:r w:rsidR="00000000" w:rsidRPr="00BD4F72">
        <w:rPr>
          <w:rFonts w:ascii="Times New Roman" w:hAnsi="Times New Roman" w:cs="Times New Roman"/>
        </w:rPr>
        <w:tab/>
      </w:r>
      <w:r w:rsidRPr="00BD4F72">
        <w:rPr>
          <w:rFonts w:ascii="Times New Roman" w:eastAsia="Helvetica Neue" w:hAnsi="Times New Roman" w:cs="Times New Roman"/>
          <w:color w:val="000000" w:themeColor="text1"/>
        </w:rPr>
        <w:t>Literature Review</w:t>
      </w:r>
    </w:p>
    <w:p w14:paraId="2CA9DC4C" w14:textId="6F013E35" w:rsidR="00211945" w:rsidRPr="00BD4F72" w:rsidRDefault="611ED9C5" w:rsidP="28A0920A">
      <w:pPr>
        <w:spacing w:after="0"/>
        <w:ind w:left="540" w:hanging="540"/>
        <w:rPr>
          <w:rFonts w:ascii="Times New Roman" w:hAnsi="Times New Roman" w:cs="Times New Roman"/>
        </w:rPr>
      </w:pPr>
      <w:r w:rsidRPr="00BD4F72">
        <w:rPr>
          <w:rFonts w:ascii="Times New Roman" w:eastAsia="Helvetica Neue" w:hAnsi="Times New Roman" w:cs="Times New Roman"/>
          <w:color w:val="000000" w:themeColor="text1"/>
        </w:rPr>
        <w:t>3.</w:t>
      </w:r>
      <w:r w:rsidR="00000000" w:rsidRPr="00BD4F72">
        <w:rPr>
          <w:rFonts w:ascii="Times New Roman" w:hAnsi="Times New Roman" w:cs="Times New Roman"/>
        </w:rPr>
        <w:tab/>
      </w:r>
      <w:r w:rsidRPr="00BD4F72">
        <w:rPr>
          <w:rFonts w:ascii="Times New Roman" w:eastAsia="Helvetica Neue" w:hAnsi="Times New Roman" w:cs="Times New Roman"/>
          <w:color w:val="000000" w:themeColor="text1"/>
        </w:rPr>
        <w:t>Review Methodology</w:t>
      </w:r>
    </w:p>
    <w:p w14:paraId="3E70B285" w14:textId="4533C8B1" w:rsidR="00211945" w:rsidRPr="00BD4F72" w:rsidRDefault="611ED9C5" w:rsidP="28A0920A">
      <w:pPr>
        <w:spacing w:after="0"/>
        <w:ind w:left="540" w:hanging="540"/>
        <w:rPr>
          <w:rFonts w:ascii="Times New Roman" w:hAnsi="Times New Roman" w:cs="Times New Roman"/>
        </w:rPr>
      </w:pPr>
      <w:r w:rsidRPr="00BD4F72">
        <w:rPr>
          <w:rFonts w:ascii="Times New Roman" w:eastAsia="Helvetica Neue" w:hAnsi="Times New Roman" w:cs="Times New Roman"/>
          <w:color w:val="000000" w:themeColor="text1"/>
        </w:rPr>
        <w:t>4.</w:t>
      </w:r>
      <w:r w:rsidR="00000000" w:rsidRPr="00BD4F72">
        <w:rPr>
          <w:rFonts w:ascii="Times New Roman" w:hAnsi="Times New Roman" w:cs="Times New Roman"/>
        </w:rPr>
        <w:tab/>
      </w:r>
      <w:r w:rsidRPr="00BD4F72">
        <w:rPr>
          <w:rFonts w:ascii="Times New Roman" w:eastAsia="Helvetica Neue" w:hAnsi="Times New Roman" w:cs="Times New Roman"/>
          <w:color w:val="000000" w:themeColor="text1"/>
        </w:rPr>
        <w:t>Findings</w:t>
      </w:r>
    </w:p>
    <w:p w14:paraId="32A8712B" w14:textId="19F0291E" w:rsidR="00211945" w:rsidRPr="00BD4F72" w:rsidRDefault="611ED9C5" w:rsidP="28A0920A">
      <w:pPr>
        <w:spacing w:after="0"/>
        <w:ind w:left="540" w:hanging="540"/>
        <w:rPr>
          <w:rFonts w:ascii="Times New Roman" w:hAnsi="Times New Roman" w:cs="Times New Roman"/>
        </w:rPr>
      </w:pPr>
      <w:r w:rsidRPr="00BD4F72">
        <w:rPr>
          <w:rFonts w:ascii="Times New Roman" w:eastAsia="Helvetica Neue" w:hAnsi="Times New Roman" w:cs="Times New Roman"/>
          <w:color w:val="000000" w:themeColor="text1"/>
        </w:rPr>
        <w:t>5.</w:t>
      </w:r>
      <w:r w:rsidR="00000000" w:rsidRPr="00BD4F72">
        <w:rPr>
          <w:rFonts w:ascii="Times New Roman" w:hAnsi="Times New Roman" w:cs="Times New Roman"/>
        </w:rPr>
        <w:tab/>
      </w:r>
      <w:r w:rsidRPr="00BD4F72">
        <w:rPr>
          <w:rFonts w:ascii="Times New Roman" w:eastAsia="Helvetica Neue" w:hAnsi="Times New Roman" w:cs="Times New Roman"/>
          <w:color w:val="000000" w:themeColor="text1"/>
        </w:rPr>
        <w:t>Discussion</w:t>
      </w:r>
    </w:p>
    <w:p w14:paraId="63AED352" w14:textId="6DB8C842" w:rsidR="00211945" w:rsidRPr="00BD4F72" w:rsidRDefault="611ED9C5" w:rsidP="28A0920A">
      <w:pPr>
        <w:spacing w:after="0"/>
        <w:ind w:left="540" w:hanging="540"/>
        <w:rPr>
          <w:rFonts w:ascii="Times New Roman" w:hAnsi="Times New Roman" w:cs="Times New Roman"/>
        </w:rPr>
      </w:pPr>
      <w:r w:rsidRPr="00BD4F72">
        <w:rPr>
          <w:rFonts w:ascii="Times New Roman" w:eastAsia="Helvetica Neue" w:hAnsi="Times New Roman" w:cs="Times New Roman"/>
          <w:color w:val="000000" w:themeColor="text1"/>
        </w:rPr>
        <w:t>6.</w:t>
      </w:r>
      <w:r w:rsidR="00000000" w:rsidRPr="00BD4F72">
        <w:rPr>
          <w:rFonts w:ascii="Times New Roman" w:hAnsi="Times New Roman" w:cs="Times New Roman"/>
        </w:rPr>
        <w:tab/>
      </w:r>
      <w:r w:rsidRPr="00BD4F72">
        <w:rPr>
          <w:rFonts w:ascii="Times New Roman" w:eastAsia="Helvetica Neue" w:hAnsi="Times New Roman" w:cs="Times New Roman"/>
          <w:color w:val="000000" w:themeColor="text1"/>
        </w:rPr>
        <w:t>ConclusionReferencesAppendices</w:t>
      </w:r>
    </w:p>
    <w:p w14:paraId="011524C3" w14:textId="4545C40F" w:rsidR="00211945" w:rsidRPr="00BD4F72" w:rsidRDefault="00211945" w:rsidP="28A0920A">
      <w:pPr>
        <w:spacing w:before="240" w:after="240"/>
        <w:rPr>
          <w:rFonts w:ascii="Times New Roman" w:eastAsia="Aptos" w:hAnsi="Times New Roman" w:cs="Times New Roman"/>
        </w:rPr>
      </w:pPr>
    </w:p>
    <w:p w14:paraId="607F6AED" w14:textId="63223088" w:rsidR="00211945" w:rsidRPr="00BD4F72" w:rsidRDefault="00211945" w:rsidP="28A0920A">
      <w:pPr>
        <w:spacing w:before="240" w:after="240"/>
        <w:rPr>
          <w:rFonts w:ascii="Times New Roman" w:eastAsia="Aptos" w:hAnsi="Times New Roman" w:cs="Times New Roman"/>
        </w:rPr>
      </w:pPr>
    </w:p>
    <w:p w14:paraId="3864DF4D" w14:textId="77777777" w:rsidR="00BD4F72" w:rsidRDefault="00BD4F72" w:rsidP="28A0920A">
      <w:pPr>
        <w:spacing w:before="240" w:after="240"/>
        <w:rPr>
          <w:rFonts w:ascii="Times New Roman" w:eastAsia="Aptos" w:hAnsi="Times New Roman" w:cs="Times New Roman"/>
        </w:rPr>
      </w:pPr>
    </w:p>
    <w:p w14:paraId="395EBBAE" w14:textId="77777777" w:rsidR="00224002" w:rsidRDefault="00224002" w:rsidP="28A0920A">
      <w:pPr>
        <w:spacing w:before="240" w:after="240"/>
        <w:rPr>
          <w:rFonts w:ascii="Times New Roman" w:eastAsia="Aptos" w:hAnsi="Times New Roman" w:cs="Times New Roman"/>
        </w:rPr>
      </w:pPr>
    </w:p>
    <w:p w14:paraId="5BFC9568" w14:textId="77777777" w:rsidR="00224002" w:rsidRDefault="00224002" w:rsidP="28A0920A">
      <w:pPr>
        <w:spacing w:before="240" w:after="240"/>
        <w:rPr>
          <w:rFonts w:ascii="Times New Roman" w:eastAsia="Aptos" w:hAnsi="Times New Roman" w:cs="Times New Roman"/>
          <w:b/>
          <w:bCs/>
        </w:rPr>
      </w:pPr>
    </w:p>
    <w:p w14:paraId="3042BB83" w14:textId="14E623EA" w:rsidR="00211945" w:rsidRPr="00BD4F72" w:rsidRDefault="450B6310" w:rsidP="28A0920A">
      <w:pPr>
        <w:spacing w:before="240" w:after="240"/>
        <w:rPr>
          <w:rFonts w:ascii="Times New Roman" w:hAnsi="Times New Roman" w:cs="Times New Roman"/>
        </w:rPr>
      </w:pPr>
      <w:r w:rsidRPr="00224002">
        <w:rPr>
          <w:rFonts w:ascii="Times New Roman" w:eastAsia="Aptos" w:hAnsi="Times New Roman" w:cs="Times New Roman"/>
          <w:b/>
          <w:bCs/>
        </w:rPr>
        <w:lastRenderedPageBreak/>
        <w:t>ABSTRACT</w:t>
      </w:r>
      <w:r w:rsidR="00000000" w:rsidRPr="00224002">
        <w:rPr>
          <w:rFonts w:ascii="Times New Roman" w:hAnsi="Times New Roman" w:cs="Times New Roman"/>
          <w:b/>
          <w:bCs/>
        </w:rPr>
        <w:br/>
      </w:r>
      <w:r w:rsidR="00000000" w:rsidRPr="00BD4F72">
        <w:rPr>
          <w:rFonts w:ascii="Times New Roman" w:hAnsi="Times New Roman" w:cs="Times New Roman"/>
        </w:rPr>
        <w:br/>
      </w:r>
      <w:r w:rsidRPr="00BD4F72">
        <w:rPr>
          <w:rFonts w:ascii="Times New Roman" w:eastAsia="Aptos" w:hAnsi="Times New Roman" w:cs="Times New Roman"/>
        </w:rPr>
        <w:t>The conceptual framework for identifying, quantifying, presenting, and interpreting economic events is provided by accounting theory. Modern business practices, which include complex financial instruments, global capital markets, intangible-driven value creation, and increased stakeholder scrutiny, have heightened discussions over the suitability of rival reporting regimes and traditional ideas. This essay critically assesses the development of basic accounting ideas, such as the accounting equation (Assets = Liabilities + Owner's Equity), and looks at how, despite changes in measurement bases and recognition thresholds under contemporary standards, its underlying logic endures. It contrasts how International Financial Reporting Standards (IFRS) and U.S. Generally Accepted Accounting Principles (GAAP) are applied, emphasising how they differ in terms of principles versus rules, measurement, impairment, leases, and revenue recognition. It also examines the implications for comparability and business decision-making. With an emphasis on board supervision, audit committees, internal controls, external audit, and regulatory enforcement as factors influencing financial transparency, the study delves deeper into corporate governance as a control architecture for ethical accounting. In order to show how earnings quality and liquidity are concurrently evaluated, the relationship between the balance sheet, income statement, and statement of cash flows is also examined. Lastly, real-world examples from banking, technology, and retail leasing are used to critically evaluate advanced accounting concepts such as fair value accounting, impairment, and off-balance-sheet financing. The research comes to the conclusion that although fundamental theoretical concepts are still applicable, modern reporting necessitates careful interpretation by decision-makers, strong governance, and sophisticated judgement because of measurement uncertainty, management incentives, and an increased reliance on estimations.</w:t>
      </w:r>
      <w:r w:rsidR="00000000" w:rsidRPr="00BD4F72">
        <w:rPr>
          <w:rFonts w:ascii="Times New Roman" w:hAnsi="Times New Roman" w:cs="Times New Roman"/>
        </w:rPr>
        <w:br/>
      </w:r>
      <w:r w:rsidR="00000000" w:rsidRPr="00BD4F72">
        <w:rPr>
          <w:rFonts w:ascii="Times New Roman" w:hAnsi="Times New Roman" w:cs="Times New Roman"/>
        </w:rPr>
        <w:br/>
      </w:r>
      <w:r w:rsidRPr="00BD4F72">
        <w:rPr>
          <w:rFonts w:ascii="Times New Roman" w:eastAsia="Aptos" w:hAnsi="Times New Roman" w:cs="Times New Roman"/>
        </w:rPr>
        <w:t>Keywords: financial statements, corporate governance, fair value, impairment, IFRS, GAAP, accounting equation, and off-balance-sheet funding</w:t>
      </w:r>
    </w:p>
    <w:p w14:paraId="5E5787A5" w14:textId="430128B3" w:rsidR="00211945" w:rsidRPr="00BD4F72" w:rsidRDefault="00211945">
      <w:pPr>
        <w:rPr>
          <w:rFonts w:ascii="Times New Roman" w:hAnsi="Times New Roman" w:cs="Times New Roman"/>
        </w:rPr>
      </w:pPr>
    </w:p>
    <w:p w14:paraId="52E3F9D0" w14:textId="11DB89DF" w:rsidR="5E57F420" w:rsidRPr="00BD4F72" w:rsidRDefault="5E57F420" w:rsidP="28A0920A">
      <w:pPr>
        <w:spacing w:after="0"/>
        <w:rPr>
          <w:rFonts w:ascii="Times New Roman" w:hAnsi="Times New Roman" w:cs="Times New Roman"/>
        </w:rPr>
      </w:pPr>
      <w:r w:rsidRPr="00BD4F72">
        <w:rPr>
          <w:rFonts w:ascii="Times New Roman" w:eastAsia="Helvetica Neue" w:hAnsi="Times New Roman" w:cs="Times New Roman"/>
        </w:rPr>
        <w:t>1</w:t>
      </w:r>
      <w:r w:rsidRPr="00224002">
        <w:rPr>
          <w:rFonts w:ascii="Times New Roman" w:eastAsia="Helvetica Neue" w:hAnsi="Times New Roman" w:cs="Times New Roman"/>
          <w:b/>
          <w:bCs/>
        </w:rPr>
        <w:t>. Overview</w:t>
      </w:r>
      <w:r w:rsidRPr="00224002">
        <w:rPr>
          <w:rFonts w:ascii="Times New Roman" w:hAnsi="Times New Roman" w:cs="Times New Roman"/>
          <w:b/>
          <w:bCs/>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Accounting is frequently referred to as the "language of business", but like any language, its value depends on accepted norms, consistent application, and reliable enforcement. Traditional accounting theory was developed during a time when tangible assets, straightforward financing arrangements, and regional reporting standards predominated. The business environments of today are very different. Businesses are depending increasingly on intangible assets that are difficult to identify and quantify using traditional frameworks, such as software, data, brands, customer connections, and human capital. Derivatives, structured financing, and intricate revenue models that go beyond basic definitions of assets, liabilities, income, and cash flow are all products of financial innovation.</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In light of these developments, double-entry accounting and financial statement articulation are, nevertheless, anchored by the basic accounting formula, Assets = Liabilities + Owner's Equity. However, the definition of an asset (control of a resource), the measurement of liabilities (present commitments and probabilistic outflows), and the evolution of equity (comprehensive income, other comprehensive income, and transactions with owners) have all undergone substantial change. Competing reporting regimes are also reflected in contemporary practice. IFRS, which is widely used in international markets, places a strong emphasis on professional judgements and principles. Although it has more rules and is more thorough, U.S. GAAP incorporates principles. These distinctions are significant because financial reporting influences judgements about merger valuations, capital allocation, financing, covenant design, executive compensation, and tax planning.</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Increased focus on ethics and governance is another characteristic that sets modern accounting apart. High-profile company failures have demonstrated that technically sound accounting can still deceive stakeholders if its intention is to distort economic reality. Therefore, corporate governance mechanisms—boards, audit committees, internal controls, independent audits, and enforcement—represent a crucial addition to accounting standards.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This paper covers five goals that align with the assignment requirements: 1. Analyse critically how basic accounting ideas, such as the accounting equation, have changed in contemporary financial practices. 2. Compare and contrast IFRS and GAAP and consider how they affect business decision-making. 3. Examine how company governance affects transparency and ethical accounting. 4. Examine how the cash flow, income, and balance sheets relate to one another as measures of financial health. 5. Use real-world examples to illustrate complex concepts, including asset impairment, off-balance-sheet finance, and fair value accounting.</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224002">
        <w:rPr>
          <w:rFonts w:ascii="Times New Roman" w:eastAsia="Helvetica Neue" w:hAnsi="Times New Roman" w:cs="Times New Roman"/>
          <w:b/>
          <w:bCs/>
        </w:rPr>
        <w:t>2. REVIEW OF LITERATURE</w:t>
      </w:r>
      <w:r w:rsidRPr="00224002">
        <w:rPr>
          <w:rFonts w:ascii="Times New Roman" w:hAnsi="Times New Roman" w:cs="Times New Roman"/>
          <w:b/>
          <w:bCs/>
        </w:rPr>
        <w:br/>
      </w:r>
      <w:r w:rsidRPr="00224002">
        <w:rPr>
          <w:rFonts w:ascii="Times New Roman" w:eastAsia="Helvetica Neue" w:hAnsi="Times New Roman" w:cs="Times New Roman"/>
          <w:b/>
          <w:bCs/>
        </w:rPr>
        <w:t xml:space="preserve"> </w:t>
      </w:r>
      <w:r w:rsidRPr="00224002">
        <w:rPr>
          <w:rFonts w:ascii="Times New Roman" w:hAnsi="Times New Roman" w:cs="Times New Roman"/>
          <w:b/>
          <w:bCs/>
        </w:rPr>
        <w:br/>
      </w:r>
      <w:r w:rsidRPr="00BD4F72">
        <w:rPr>
          <w:rFonts w:ascii="Times New Roman" w:eastAsia="Helvetica Neue" w:hAnsi="Times New Roman" w:cs="Times New Roman"/>
        </w:rPr>
        <w:t>2.1 Development of the Accounting Equation and Basic Accounting Concepts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The accounting equation is a conceptual representation of resource claims rather than just a computational identity. In the past, accounting placed a strong emphasis on stewardship, monitoring assets given to management and making sure that the owners' residual interest could be confirmed (Paton &amp; Littleton, 1940). According to this perspective, historical cost was appealing since it was based on transactions and substantiated proof. However, the focus changed to decision usefulness with the growth of capital markets and investor-orientated reporting (FASB, 1978; IASB, 2018). Fair value, impairment, anticipated credit losses, and forward-looking data received more attention as a result of this change.</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Additionally, the conceptual meaning of an asset has changed. According to modern standards, an asset is a current financial resource that the entity controls because of previous occurrences (IASB, 2018). For leases, service concessions, and merged corporations, "control"—rather than legal ownership—becomes crucial. Similar emphasis is placed on current obligations and economic pressure in addition to legal enforceability in liability definitions, which highlights the evolving nature of liabilities in accounting practices and their impact on financial reporting. This development modifies recognition and measurement rules while maintaining the logic of the accounting equation, particularly by emphasising the importance of control and economic pressures in determining liabilities and asset valuations.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Reliability versus relevance is a common point of contention in criticisms of contemporary measurement techniques. In illiquid markets, fair value may decrease verifiability while increasing significance (Barth, 2006). On the other hand, when asset prices significantly fluctuate or when business models rely on current market valuations, historical cost may be dependable but less significant (Penman, 2007). As a result, the equation stays the same, but the reported numbers that fill it are increasingly influenced by models and guesses.</w:t>
      </w:r>
    </w:p>
    <w:p w14:paraId="054484D0" w14:textId="342A481A" w:rsidR="6823499A" w:rsidRPr="00BD4F72" w:rsidRDefault="6823499A" w:rsidP="28A0920A">
      <w:pPr>
        <w:spacing w:after="0"/>
        <w:rPr>
          <w:rFonts w:ascii="Times New Roman" w:hAnsi="Times New Roman" w:cs="Times New Roman"/>
        </w:rPr>
      </w:pPr>
      <w:r w:rsidRPr="00BD4F72">
        <w:rPr>
          <w:rFonts w:ascii="Times New Roman" w:eastAsia="Helvetica Neue" w:hAnsi="Times New Roman" w:cs="Times New Roman"/>
        </w:rPr>
        <w:t>2.2 Principles, Regulations, and Comparability of IFRS and GAAP</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Although both IFRS and GAAP seek to offer helpful financial data, their emphasis and structure are different. IFRS is frequently characterised as being more principles-based, requiring management discretion to apply general ideas to particular realities. In the past, GAAP created more intricate regulations, in part to handle the risk of litigation and the expectations of enforcement in American markets. There are also discrepancies in impairment reversals, LIFO, development expenses, and some fair value and consolidation elements, even if convergence efforts have brought important areas (such as revenue recognition) into alignment.</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One of the intended advantages of IFRS is cross-border comparability. However, if audit and enforcement cultures are different, principles-based systems may result in more diversity in application. The intricacy of GAAP can promote transaction structuring to obtain desired results, but it can also increase consistency. Financial statements must consequently be interpreted by decision-makers, including investors, lenders, and analysts, in light of the regime and its potential application choices.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2.3 Financial Transparency, Ethics, and Corporate Governance</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The agency problem is highlighted in corporate governance literature: managers may prioritise their own interests over those of shareholders and other stakeholders (Jensen &amp; Meckling, 1976). One important area where agency conflicts arise is in financial reporting. To achieve goals, reduce volatility, adhere to debt covenants, or optimise incentives, managers may manipulate profits. Through oversight and controls, corporate governance measures lessen these incentives.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Board independence, audit committee expertise, internal audit roles, whistleblower routes, and strong internal control systems (like COSO) are important aspects of governance. Although external auditors offer further confidence, their efficacy may be weakened by threats to independence, fee reliance, and complexity. Reporting quality is also impacted by regulatory enforcement, including accounting oversight boards and securities commissioners. Stronger governance is typically associated with better reporting and reduced capital costs, though causality can be complicated.</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2.4 Explaining Financial Statements and Evaluating Financial Health</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The cash flow statement, income statement, and balance sheet are the three main statements. Retained earnings are linked to net income; cash flows balance cash movement with accrual earnings; and changes in the balance sheet clarify financing and investment flows. Profitability (margins, ROA, and ROE), liquidity (current ratio and operating cash flow), solvency (leverage ratios), and efficiency (turnover) are all used by analysts to evaluate performance.</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Accrual earnings and cash flows are compared in earnings quality analysis; a persistent disparity could be a sign of aggressive revenue recognition, capitalisation practices, or working capital distortions. Similarly, cash generation and balance sheet strength might differ, especially in rapidly expanding businesses that display accounting profits yet use cash for working capital and capital expenditures.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2.5 Advanced Accounting Ideas: Off-Balance-Sheet Financing, Impairment, and Fair Value</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In fair value accounting, assets and liabilities are valued at exit prices determined by the market. Under IFRS, it is extensively used in financial instruments and investment property. One advantage is the prompt recognition of financial profits and losses. Procyclicality, which amplifies booms and busts, and model risk when inputs are unobservable (Level 3 fair values) are examples of risks.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Declines in asset recoverability are addressed by impairment. IAS 36 mandates impairment testing for goodwill and indefinite-lived intangibles, but IFRS employs an anticipated method for some assets. Reversals for many assets are normally prohibited by GAAP impairment regulations. During recessions, impairment frequently reflects managerial judgement about future cash flows and discount rates, opening the door for "big bath" accounting.</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The term "off-balance-sheet financing" describes agreements that improve leverage ratios by keeping debts or assets off the balance sheet. Although operating lease off-balance treatment was lessened by lease accounting rules (IFRS 16 and ASC 842), liabilities may still be obscured by various arrangements, such as supplier financing, special purpose corporations, and specific commitments, if disclosures are not carefully examined.</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224002">
        <w:rPr>
          <w:rFonts w:ascii="Times New Roman" w:eastAsia="Helvetica Neue" w:hAnsi="Times New Roman" w:cs="Times New Roman"/>
          <w:b/>
          <w:bCs/>
        </w:rPr>
        <w:t>3. EXAMINATION METHODS</w:t>
      </w:r>
      <w:r w:rsidRPr="00224002">
        <w:rPr>
          <w:rFonts w:ascii="Times New Roman" w:hAnsi="Times New Roman" w:cs="Times New Roman"/>
          <w:b/>
          <w:bCs/>
        </w:rPr>
        <w:br/>
      </w:r>
      <w:r w:rsidRPr="00224002">
        <w:rPr>
          <w:rFonts w:ascii="Times New Roman" w:eastAsia="Helvetica Neue" w:hAnsi="Times New Roman" w:cs="Times New Roman"/>
          <w:b/>
          <w:bCs/>
        </w:rPr>
        <w:t xml:space="preserve"> </w:t>
      </w:r>
      <w:r w:rsidRPr="00224002">
        <w:rPr>
          <w:rFonts w:ascii="Times New Roman" w:hAnsi="Times New Roman" w:cs="Times New Roman"/>
          <w:b/>
          <w:bCs/>
        </w:rPr>
        <w:br/>
      </w:r>
      <w:r w:rsidRPr="00BD4F72">
        <w:rPr>
          <w:rFonts w:ascii="Times New Roman" w:eastAsia="Helvetica Neue" w:hAnsi="Times New Roman" w:cs="Times New Roman"/>
        </w:rPr>
        <w:t>A critical literature review methodology is used in this work. To summarise theoretical advancements and practical ramifications, scholarly journal articles, standard-setter conceptual frameworks, and authoritative announcements (IASB and FASB) were examined. Furthermore, commonly discussed reporting concerns in banking (fair value and anticipated credit losses), technology and consumer brands (intangibles and impairment), and retail/airlines (lease capitalisation and financing structures) were used as illustrative real-world examples. The review focuses on four key areas: (a) the growth of fundamental concepts; (b) the comparison of standards; (c) governance methods; and (d) the interpretation of statement connections.</w:t>
      </w:r>
    </w:p>
    <w:p w14:paraId="41773D62" w14:textId="77777777" w:rsidR="00224002" w:rsidRDefault="00224002" w:rsidP="28A0920A">
      <w:pPr>
        <w:spacing w:after="0"/>
        <w:rPr>
          <w:rFonts w:ascii="Times New Roman" w:eastAsia="Helvetica Neue" w:hAnsi="Times New Roman" w:cs="Times New Roman"/>
        </w:rPr>
      </w:pPr>
    </w:p>
    <w:p w14:paraId="7D45142D" w14:textId="0252E712" w:rsidR="4F6BC1FF" w:rsidRPr="00BD4F72" w:rsidRDefault="4F6BC1FF" w:rsidP="28A0920A">
      <w:pPr>
        <w:spacing w:after="0"/>
        <w:rPr>
          <w:rFonts w:ascii="Times New Roman" w:hAnsi="Times New Roman" w:cs="Times New Roman"/>
        </w:rPr>
      </w:pPr>
      <w:r w:rsidRPr="00224002">
        <w:rPr>
          <w:rFonts w:ascii="Times New Roman" w:eastAsia="Helvetica Neue" w:hAnsi="Times New Roman" w:cs="Times New Roman"/>
          <w:b/>
          <w:bCs/>
        </w:rPr>
        <w:t>4. RESULTS</w:t>
      </w:r>
      <w:r w:rsidRPr="00224002">
        <w:rPr>
          <w:rFonts w:ascii="Times New Roman" w:hAnsi="Times New Roman" w:cs="Times New Roman"/>
          <w:b/>
          <w:bCs/>
        </w:rPr>
        <w:br/>
      </w:r>
      <w:r w:rsidRPr="00224002">
        <w:rPr>
          <w:rFonts w:ascii="Times New Roman" w:eastAsia="Helvetica Neue" w:hAnsi="Times New Roman" w:cs="Times New Roman"/>
          <w:b/>
          <w:bCs/>
        </w:rPr>
        <w:t xml:space="preserve"> </w:t>
      </w:r>
      <w:r w:rsidRPr="00224002">
        <w:rPr>
          <w:rFonts w:ascii="Times New Roman" w:hAnsi="Times New Roman" w:cs="Times New Roman"/>
          <w:b/>
          <w:bCs/>
        </w:rPr>
        <w:br/>
      </w:r>
      <w:r w:rsidRPr="00BD4F72">
        <w:rPr>
          <w:rFonts w:ascii="Times New Roman" w:eastAsia="Helvetica Neue" w:hAnsi="Times New Roman" w:cs="Times New Roman"/>
        </w:rPr>
        <w:t>4.1 Although measurement bases have changed, the accounting equation still exists.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One of the key conclusions is that although the content of each category has evolved, the accounting equation continues to serve as the framework for organising accounting systems. Rights-of-use under leases are now considered assets; liabilities are more widely recognised obligations; and equity movements comprise more complete income items. Mixed measurement (amortised cost, fair value through profit or loss, fair value through OCI, and value-in-use ideas in impairment testing) has replaced historical cost as the primary method of measurement.</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Relevance is increased by this progression, but estimation uncertainty is also increased. As a result, reading measurement notes, valuation methods, sensitivity disclosures, and important judgements is necessary to comprehend financial conditions.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4.2 Ratios, Valuations, and Contracting Outcomes Are Affected by IFRS vs. GAAP Disparities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Comparative investigation reveals that the following can be significantly impacted by IFRS and GAAP differences: • Timing of profits (e.g., capitalisation of development costs under IFRS versus expensing under GAAP in some situations). • Asset bases (property measurement options and intangibles). • Impairment outcomes (usually forbidden under GAAP; reversal under IFRS for some assets). • Inventory accounting (IFRS forbids LIFO, although GAAP permits it).</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These variations have an impact on indicators related to management compensation, dividend capacity, debt covenant compliance, and valuation multiples. For cross-company comparisons, decision-makers must normalise or modify the figures.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4.3 Beyond Technical Compliance, Ethical Reporting Requires Governance</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According to the review, norms by themselves cannot ensure transparency. The possibility of earnings management and disclosure manipulation is decreased by governance frameworks, especially independent audit committees, robust internal control settings, and reliable external audits. Aggressive estimations, delayed loss recognition, and opportunistic accounting decisions are all associated with weak governance.</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4.4 Diagnosing Earnings Quality and Liquidity Through Financial Statement Articulation</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The evaluation of financial health is aided by articulation across statements: • Consistent profit combined with poor operating cash flow could be a sign of problems with earnings quality. • If interest expenses are capitalised or delayed, rapid asset development backed by debt may appear healthy in income statements, but cash flow and leverage analysis may show instability. • The cash flow statement makes it clear if expansion is financially dependent or self-funded.</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4.5 High-Impact yet High-Judgement Advanced Concepts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Reported performance and risk are significantly impacted by fair value measurement, impairment testing, and off-balance-sheet structures. Additionally, they establish managerial discretion, which makes governance and disclosures essential to legitimacy.</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224002">
        <w:rPr>
          <w:rFonts w:ascii="Times New Roman" w:eastAsia="Helvetica Neue" w:hAnsi="Times New Roman" w:cs="Times New Roman"/>
          <w:b/>
          <w:bCs/>
        </w:rPr>
        <w:t>5. TALK</w:t>
      </w:r>
      <w:r w:rsidRPr="00224002">
        <w:rPr>
          <w:rFonts w:ascii="Times New Roman" w:hAnsi="Times New Roman" w:cs="Times New Roman"/>
          <w:b/>
          <w:bCs/>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5.1 A Critical Analysis of the Development of the Accounting Equation in Contemporary Practice</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The durability of double-entry logic is reflected in the accounting equation: all resources are funded by claims (owners and creditors). However, the definition of a resource or claim has been broadened by contemporary reporting. Think about lease accounting: for the majority of leases, a lessee records a right-of-use asset and lease liability under IFRS 16 and ASC 842. This modification brought previously "hidden" commitments into the balance sheet, but it did not modify the calculation. Lease expenses were reclassified into depreciation and interest, which led to an increase in EBITDA and an increase in leverage ratios for several airlines and shops.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The acknowledgement of financial instruments at fair value is another illustration. Market price fluctuations impact equity through retained earnings when banks use profit or loss to evaluate trading securities at fair value. The equation remains consistent, but volatility increases. Critics contend that if management plans to hold assets for an extended period of time, this volatility may be deceptive. Supporters argue it is informative because it reveals current market assessments of value and risk.</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Intangibles are a recurring constraint. Due to their failure in identifiability or reliable measurement tests, a large number of internally generated intangibles (such as brand equity, customer lists, and proprietary processes) are still unacknowledged. This results in a structural gap: market capitalisation frequently surpasses book equity by a significant margin, particularly in consumer and technology businesses. Although the balance sheet may understate important value drivers, the accounting equation is still balanced, which could have an impact on how ratios are interpreted (e.g., overstating ROA since assets are overstated). This emphasises the need for financial reporting to be integrated with more comprehensive company and strategic data in contemporary analysis.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5.2 IFRS Versus GAAP and Implications for Business Decision-Making</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5.2.1 Rules vs Principles and Managerial Rewards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When new transactions occur, IFRS's principles-based approach can more accurately reflect economic content, but it depends on judgement and allows for opportunistic interpretation when there are incentives (such as hitting earnings targets). Although it may encourage deal structuring, GAAP's comprehensive advice can lessen ambiguity.</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In reality, decision-makers have to consider the incentive environment in addition to stated figures. For example, decisions in classification (operating vs. non-operating), impairment timing, or fair value designation may have an impact on pay results if management compensation is linked to adjusted earnings.</w:t>
      </w:r>
    </w:p>
    <w:p w14:paraId="3FF1BD84" w14:textId="7D119091" w:rsidR="3E0C9951" w:rsidRPr="00BD4F72" w:rsidRDefault="3E0C9951" w:rsidP="28A0920A">
      <w:pPr>
        <w:spacing w:after="0"/>
        <w:rPr>
          <w:rFonts w:ascii="Times New Roman" w:hAnsi="Times New Roman" w:cs="Times New Roman"/>
        </w:rPr>
      </w:pPr>
      <w:r w:rsidRPr="00BD4F72">
        <w:rPr>
          <w:rFonts w:ascii="Times New Roman" w:eastAsia="Helvetica Neue" w:hAnsi="Times New Roman" w:cs="Times New Roman"/>
        </w:rPr>
        <w:t>5.2.2 Important Distinctions That Affect Choices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Inventory (weighted average, FIFO, and LIFO). GAAP permits LIFO, which is frequently utilised to lower taxable income in inflationary conditions (where tax rules align). This has an impact on margins and current ratios by lowering reported profit and inventory values. IFRS forbids LIFO, which could improve comparability globally but restrict a tax-planning approach. Investors must account for LIFO reserve declarations when comparing a U.S. LIFO company with an IFRS company.</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development expenses. When certain conditions are satisfied, IFRS may mandate capitalisation of development costs, which would increase assets and postpone the recognition of expenses. R&amp;D is typically expensed under GAAP (with a few exceptions, such as specific software costs). In comparison to a comparable GAAP reporter, a technology company using IFRS may display higher assets and earnings during growth stages, which could have an impact on debt covenants and value multiples.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impairment. While GAAP typically forbids reversals for long-lived assets held for use, IFRS permits reversals of impairment losses for specific assets (goodwill excluded) when circumstances improve. This may increase the responsiveness of IFRS earnings to both upward and downward fluctuations, impacting trend analysis and management practices (e.g., timing impairments).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leases. Although leases were added to the balance sheet under both regimes, there may still be differences in income statement patterns and classification. Following lease changes, covenant negotiations and financing choices (purchase vs. lease) evolved.</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5.2.3 Effect on Contracting and Capital Markets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Variations in measurement and recognition impact: • Capital costs (based on perceived comparability and transparency). • Debt covenants (measures of interest coverage and leverage). • Dividend policy (in certain jurisdictions, distributable reserves are impacted by profit and retained earnings). • M&amp;A pricing (accounting decisions have an impact on EBITDA and net asset values).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Therefore, the IFRS vs. GAAP issue is more than just a technical one; it influences actual economic choices and contract results.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5.3 Ethical Accounting and Corporate Governance</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Permissible reporting is defined by accounting rules, and governance establishes whether reporting is a reflection of strategic manipulation or economic reality. Ethical reporting is encouraged by effective governance through the following:</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5.3.1 Oversight by the Board and Audit Committee</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Demanding thorough impairment studies, ensuring sufficient disclosures, and challenging aggressive accounting judgements are all possible with an impartial and financially educated audit committee. The independence and selection of external auditors are also supervised by audit committees.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5.3.2 Risk management and internal controls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Errors and fraud are decreased by internal controls over financial reporting. Reconciliations, audit trails, authorisation procedures, and job segregation are all components of a robust control environment. Risk management procedures evaluate exposure to market, credit, and liquidity risks, which are important factors in determining fair value and impairment.</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5.3.3 Professional Scepticism and External Audit</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Although auditors offer confidence, their efficacy is contingent upon their independence and scepticism. Auditors must assess valuation techniques, question presumptions, and verify data integrity when fair values depend on models and unobservable inputs. Trust in reported figures is largely dependent on audit quality, particularly for Level 3 valuations and goodwill impairment models.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5.3.4 Transparency and Regulatory Enforcement</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Stock exchange regulations and enforcement organisations improve compliance and discourage manipulation. However, ethical reporting also depends on the culture and tone at the top, so compliance does not equate to openness.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5.3.5 The Substance-Over-Form Principle and Ethical Failures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Technically intricate systems created to adhere to the letter of the law while breaking the spirit were a common feature of accounting scandals. By posing the question, "Does this report faithfully represent the underlying economics?" governance offers a counterbalance. Without this, even under strict quality norms, off-balance-sheet agreements and profit management can spread.</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5.4 The Connection Between Financial Statements and Evaluating Financial Health</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The purpose of the financial statements is to express the following: • Balance sheet: the state of finances at a specific moment. • Income statement: performance over time (accrual basis). • Cash flow statement: cash production and use over time (cash basis reconciliation).</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5.4.1 Equity, Retained Earnings, and Net Income</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Unless it is paid out as dividends, net income boosts equity through retained earnings. Depending on classification, other comprehensive income (OCI) items (such as some FVOCI instruments) may also have an impact on equity without passing through profit or loss. Recurring operational profit and valuation fluctuations routed through OCI should be distinguished by analysts.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5.4.2 Operating Cash Flow vs. Accrual Earnings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Strong earnings might be reported by a company under liquidity crisis. Typical drivers consist of the following: • Increased receivables due to revenue recognised on credit. • Inventory accumulation brought on by inaccurate demand forecasts. • Capitalisation of expenses that would otherwise be written off.</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Evaluating the quality of earnings can be done by comparing net income to operating cash flow. It is necessary to provide an explanation for persistently negative operational cash flow combined with positive net income; growth investment may be the reason, but aggressive accruals may also be the cause.</w:t>
      </w:r>
    </w:p>
    <w:p w14:paraId="62DDA415" w14:textId="28665D0E" w:rsidR="5A00B165" w:rsidRPr="00BD4F72" w:rsidRDefault="5A00B165" w:rsidP="28A0920A">
      <w:pPr>
        <w:spacing w:after="0"/>
        <w:rPr>
          <w:rFonts w:ascii="Times New Roman" w:hAnsi="Times New Roman" w:cs="Times New Roman"/>
        </w:rPr>
      </w:pPr>
      <w:r w:rsidRPr="00BD4F72">
        <w:rPr>
          <w:rFonts w:ascii="Times New Roman" w:eastAsia="Helvetica Neue" w:hAnsi="Times New Roman" w:cs="Times New Roman"/>
        </w:rPr>
        <w:t>5.4.3 Financing and Investing Cash Flows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Investing cash outflows (acquisitions and capital expenditures) indicate whether a company is reinvesting to maintain operations. Financing inflows (debt and stock issuance) reveal a company's dependency on outside funding. An established business with steady operations usually uses operating cash to finance investments; a business that depends on funding inflows may be at risk of refinancing.</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5.4.4 Ratio Analysis Using an Articulation Perspective • Liquidity: operational cash flow trends + the current ratio. • Solvency: interest coverage, debt-to-equity ratio, and lease liabilities after IFRS 16/ASC 842. • Profitability: Leverage or underestimated equity because of unrecognised intangibles might boost ROE. • Efficiency: When important assets are off-balance-sheet or unrecognised, asset turnover must be evaluated carefully.</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Therefore, when the three statements are interpreted collectively and backed up by notes and the governance framework, the financial health evaluation is most believable.</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5.5 Advanced Accounting Ideas with Practical Uses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5.5.1 Accounting for Fair Value (FVA)</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hierarchy and concept. In an orderly transaction, fair value is the exit price. Typically, valuation inputs are divided into: • Level 1: prices quoted in markets that are active, • Level 2: inputs that are observable • Level 3: unobservable inputs (models).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Banking and market volatility are examples of real-world relevance. Banks and investment organisations frequently hold trading portfolios at fair value through profit or loss. Earnings and equity can fluctuate significantly in erratic markets. This method, according to supporters, offers timely risk indications. Critics caution that recognising market illiquidity discounts may exacerbate stress.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repercussions for business decision-making. Risk limits, remuneration, and capital adequacy are all impacted by fair value. To control volatility, management may change the makeup of the portfolio, such as reallocating assets or adjusting investment strategies to mitigate risks associated with fluctuating fair values. Stakeholders need to assess if changes in fair value are indicative of a transient disruption in the market or a fundamental decline in credit.</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5.5.2 Asset Impairment</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Impaired goodwill. Acquisition-related goodwill is evaluated for impairment rather than being amortised under IFRS and GAAP. Impairment tests depend on growth assumptions, discount rates, and cash flow projections—all of which are susceptible to optimism bias. Businesses may postpone impairment to avoid acknowledging acquisition underperformance, then report significant write-downs (also known as "big baths") during recessions when the market is already anticipating subpar outcomes.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Acquisition-driven industries are a real-world example. Acquisitions generate significant goodwill in consumer products, media, and technology. Impairment can significantly lower equity and earnings as growth expectations shift or competition heats up. Despite being a non-cash charge, impairment can affect debt covenant discussions and market perceptions by indicating lower projected future cash flows.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subtle differences between GAAP and IFRS. Trend analysis and valuation models may be impacted if IFRS permits impairment reversals for specific assets (but not goodwill), which could cause post-downturn earnings to bounce more dramatically.</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5.5.3 Financing Off-Balance-Sheet (OBS)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Leases: decreased but not removed. Lease reforms increased openness by adding more duties to balance sheets. But analysts continue to examine: Liabilities do not include variable lease payments. • exemptions from short-term leases,</w:t>
      </w:r>
      <w:r w:rsidRPr="00BD4F72">
        <w:rPr>
          <w:rFonts w:ascii="Times New Roman" w:hAnsi="Times New Roman" w:cs="Times New Roman"/>
        </w:rPr>
        <w:br/>
      </w:r>
      <w:r w:rsidRPr="00BD4F72">
        <w:rPr>
          <w:rFonts w:ascii="Times New Roman" w:eastAsia="Helvetica Neue" w:hAnsi="Times New Roman" w:cs="Times New Roman"/>
        </w:rPr>
        <w:t xml:space="preserve"> • Leases that include service components.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Structured funding and special purpose organisations. Even with the tightening of consolidation rules, complicated arrangements can still mask risk if control assessments are read too broadly, leading to potential misrepresentation of financial health and increased vulnerability to financial distress. Additionally, what is considered economic debt can be reclassified as trade payables through supplier financing (reverse factoring), which enhances working capital metrics and operating cash flow presentation.</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Retail and aviation are examples of real-world relevance. In the past, airlines used operating leases to improve leverage ratios by keeping aircraft obligations off the balance sheet. The new lease rules primarily acknowledge these commitments, affecting credit ratings, debt measures, and procurement tactics. This illustrates how accounting modifications can have actual economic repercussions and how standard-setting can alter "optimal" financing choices.</w:t>
      </w:r>
    </w:p>
    <w:p w14:paraId="7D3ED4A9" w14:textId="77777777" w:rsidR="00224002" w:rsidRDefault="00224002" w:rsidP="28A0920A">
      <w:pPr>
        <w:spacing w:after="0"/>
        <w:rPr>
          <w:rFonts w:ascii="Times New Roman" w:eastAsia="Helvetica Neue" w:hAnsi="Times New Roman" w:cs="Times New Roman"/>
        </w:rPr>
      </w:pPr>
    </w:p>
    <w:p w14:paraId="721928BF" w14:textId="167ABA03" w:rsidR="6C265E65" w:rsidRPr="00BD4F72" w:rsidRDefault="6C265E65" w:rsidP="28A0920A">
      <w:pPr>
        <w:spacing w:after="0"/>
        <w:rPr>
          <w:rFonts w:ascii="Times New Roman" w:hAnsi="Times New Roman" w:cs="Times New Roman"/>
        </w:rPr>
      </w:pPr>
      <w:r w:rsidRPr="00224002">
        <w:rPr>
          <w:rFonts w:ascii="Times New Roman" w:eastAsia="Helvetica Neue" w:hAnsi="Times New Roman" w:cs="Times New Roman"/>
          <w:b/>
          <w:bCs/>
        </w:rPr>
        <w:t>6. SUMMARY</w:t>
      </w:r>
      <w:r w:rsidRPr="00224002">
        <w:rPr>
          <w:rFonts w:ascii="Times New Roman" w:hAnsi="Times New Roman" w:cs="Times New Roman"/>
          <w:b/>
          <w:bCs/>
        </w:rPr>
        <w:br/>
      </w:r>
      <w:r w:rsidRPr="00224002">
        <w:rPr>
          <w:rFonts w:ascii="Times New Roman" w:eastAsia="Helvetica Neue" w:hAnsi="Times New Roman" w:cs="Times New Roman"/>
          <w:b/>
          <w:bCs/>
        </w:rPr>
        <w:t xml:space="preserve"> </w:t>
      </w:r>
      <w:r w:rsidRPr="00224002">
        <w:rPr>
          <w:rFonts w:ascii="Times New Roman" w:hAnsi="Times New Roman" w:cs="Times New Roman"/>
          <w:b/>
          <w:bCs/>
        </w:rPr>
        <w:br/>
      </w:r>
      <w:r w:rsidRPr="00BD4F72">
        <w:rPr>
          <w:rFonts w:ascii="Times New Roman" w:eastAsia="Helvetica Neue" w:hAnsi="Times New Roman" w:cs="Times New Roman"/>
        </w:rPr>
        <w:t>This essay examined advanced accounting theoretical ideas and how they are used in contemporary corporate operations. The intellectual foundation of accounting is still the accounting equation, but as standards emphasise control-based definitions, mixed measurement models, and more identification of previously concealed obligations (particularly leases), the actual interpretation of this equation has changed. Differences between IFRS and GAAP continue to have an impact on reported profitability, asset bases, impairment results, and comparability, which in turn affects company decisions about everything from financing and contracting to investment appraisal and valuation.</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It becomes clear that corporate governance is an essential addition to accounting rules. Credible regulatory enforcement, strong internal control systems, independent, high-quality audits, and oversight by capable boards and audit committees are all necessary for ethical reporting and financial transparency. Furthermore, when accruals, estimations, and classification decisions significantly influence reported performance, evaluating financial health necessitates an integrated interpretation of the balance sheet, income statement, and cash flow statement.</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Lastly, sophisticated accounting ideas like off-balance-sheet financing, impairment testing, and fair value measurement continue to have a significant impact and require a lot of judgement. These topics highlight the contemporary conflict between relevance and dependability and show how disclosures, professional scepticism, and governance are necessary for accurate depiction. To preserve confidence in financial reporting, accounting theory and practice must strike a balance between comparability, decision utility, and ethical transparency as business models and financial innovation continue to develop.</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CITATIONS (APA 7)</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M. E. Barth (2006). Incorporating future projections into the current financial accounts. Accounting Horizons, 20(3), 271-285.</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COSO (2013). Integrated framework for internal control. Committee of Treadway Commission Sponsoring Organisations.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Board for Financial Accounting Standards (FASB). (1978). Statement of Financial Accounting Concepts No. 1: Business enterprises' financial reporting goals.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Board for Financial Accounting Standards (FASB) (2010). financial reporting conceptual framework.</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Board for International Accounting Standards (IASB), 2018. financial reporting conceptual framework. Foundation for IFRS.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Board for International Accounting Standards (IASB). (2014). Financial instruments under IFRS 9. Foundation for IFRS.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Board for International Accounting Standards (IASB) (2014). IFRS 15: Revenue from customer contracts. Foundation for IFRS.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Board for International Accounting Standards (IASB), 2016. IFRS Foundation, IFRS 16: Leases.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Meckling, W. H., and Jensen, M. C. (1976). The firm's theory includes ownership structure, agency costs, and managerial behaviour. Financial Economics Journal, 3(4), 305-360.</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Littleton, A. C., and W. A. Paton (1940). corporate accounting standards overview. The American Accounting Association.</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S. H. Penman (2007). Is fair value a benefit or a drawback in terms of financial reporting quality? 37(sup1), 33–44, Accounting and Business Research.</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The Financial Accounting Standards Board (FASB) of the United States (2014). ASC 606: Income from client contracts.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Financial Accounting Standards Board of the United States (FASB). (2016). ASC 842: Leases.</w:t>
      </w:r>
      <w:r w:rsidRPr="00BD4F72">
        <w:rPr>
          <w:rFonts w:ascii="Times New Roman" w:hAnsi="Times New Roman" w:cs="Times New Roman"/>
        </w:rPr>
        <w:br/>
      </w:r>
      <w:r w:rsidRPr="00BD4F72">
        <w:rPr>
          <w:rFonts w:ascii="Times New Roman" w:eastAsia="Helvetica Neue" w:hAnsi="Times New Roman" w:cs="Times New Roman"/>
        </w:rPr>
        <w:t xml:space="preserve"> </w:t>
      </w:r>
      <w:r w:rsidRPr="00BD4F72">
        <w:rPr>
          <w:rFonts w:ascii="Times New Roman" w:hAnsi="Times New Roman" w:cs="Times New Roman"/>
        </w:rPr>
        <w:br/>
      </w:r>
      <w:r w:rsidRPr="00BD4F72">
        <w:rPr>
          <w:rFonts w:ascii="Times New Roman" w:eastAsia="Helvetica Neue" w:hAnsi="Times New Roman" w:cs="Times New Roman"/>
        </w:rPr>
        <w:t>(For a stronger 5000-word submission, include 6–10 more current peer-reviewed sources, particularly on governance, fair value discussions, and IFRS/GAAP comparison.)</w:t>
      </w:r>
    </w:p>
    <w:p w14:paraId="7659ABDF" w14:textId="4547A6F4" w:rsidR="28A0920A" w:rsidRPr="00BD4F72" w:rsidRDefault="28A0920A">
      <w:pPr>
        <w:rPr>
          <w:rFonts w:ascii="Times New Roman" w:hAnsi="Times New Roman" w:cs="Times New Roman"/>
        </w:rPr>
      </w:pPr>
    </w:p>
    <w:sectPr w:rsidR="28A0920A" w:rsidRPr="00BD4F7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Neue">
    <w:altName w:val="Arial"/>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1235D26"/>
    <w:rsid w:val="00211945"/>
    <w:rsid w:val="00224002"/>
    <w:rsid w:val="00BD4F72"/>
    <w:rsid w:val="00E1057E"/>
    <w:rsid w:val="0797736F"/>
    <w:rsid w:val="0BECFE61"/>
    <w:rsid w:val="1A364E77"/>
    <w:rsid w:val="232786FC"/>
    <w:rsid w:val="28A0920A"/>
    <w:rsid w:val="3E0C9951"/>
    <w:rsid w:val="41235D26"/>
    <w:rsid w:val="450B6310"/>
    <w:rsid w:val="4F6BC1FF"/>
    <w:rsid w:val="5A00B165"/>
    <w:rsid w:val="5E57F420"/>
    <w:rsid w:val="611ED9C5"/>
    <w:rsid w:val="6823499A"/>
    <w:rsid w:val="6C265E65"/>
    <w:rsid w:val="7434A286"/>
    <w:rsid w:val="74ACD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29158"/>
  <w15:chartTrackingRefBased/>
  <w15:docId w15:val="{507002FB-3F17-4A65-9BB3-9F1F4E7AA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C1DFD-C75F-49CA-847B-A4327032F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4947</Words>
  <Characters>28200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Hemant Hemant</dc:creator>
  <cp:keywords/>
  <dc:description/>
  <cp:lastModifiedBy>Happy's Laptop</cp:lastModifiedBy>
  <cp:revision>2</cp:revision>
  <dcterms:created xsi:type="dcterms:W3CDTF">2026-03-30T22:44:00Z</dcterms:created>
  <dcterms:modified xsi:type="dcterms:W3CDTF">2026-03-30T22:44:00Z</dcterms:modified>
</cp:coreProperties>
</file>