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Explain the concept of tourist consumer behaviour.</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4350F19E" w14:textId="77777777" w:rsidR="00372BBE" w:rsidRPr="00372BBE" w:rsidRDefault="00372BBE" w:rsidP="00372BBE">
      <w:pPr>
        <w:spacing w:line="480" w:lineRule="auto"/>
        <w:rPr>
          <w:rFonts w:asciiTheme="majorBidi" w:hAnsiTheme="majorBidi" w:cstheme="majorBidi"/>
          <w:b/>
          <w:bCs/>
        </w:rPr>
      </w:pPr>
      <w:r w:rsidRPr="00372BBE">
        <w:rPr>
          <w:rFonts w:asciiTheme="majorBidi" w:hAnsiTheme="majorBidi" w:cstheme="majorBidi"/>
          <w:b/>
          <w:bCs/>
        </w:rPr>
        <w:lastRenderedPageBreak/>
        <w:t>1. Explain the Concept of Tourist Consumer Behaviour</w:t>
      </w:r>
    </w:p>
    <w:p w14:paraId="135223AD"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Tourist consumer behaviour describes </w:t>
      </w:r>
      <w:r w:rsidRPr="00372BBE">
        <w:rPr>
          <w:rFonts w:asciiTheme="majorBidi" w:hAnsiTheme="majorBidi" w:cstheme="majorBidi"/>
          <w:b/>
          <w:bCs/>
        </w:rPr>
        <w:t>how travellers develop travel intentions and transform those intentions into choices and experiences</w:t>
      </w:r>
      <w:r w:rsidRPr="00372BBE">
        <w:rPr>
          <w:rFonts w:asciiTheme="majorBidi" w:hAnsiTheme="majorBidi" w:cstheme="majorBidi"/>
        </w:rPr>
        <w:t>. It covers decisions about destinations, transportation, accommodation, activities and expenditure, as well as tourists' reactions after consuming those services.</w:t>
      </w:r>
    </w:p>
    <w:p w14:paraId="512F5F31"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The process normally starts with motivation. A person may feel the need to escape work-related stress, spend time with family, experience another culture or participate in an adventure. However, motivation alone does not determine the destination. Travellers evaluate alternatives according to price, attractiveness, accessibility, safety, climate, available time and expected quality.</w:t>
      </w:r>
    </w:p>
    <w:p w14:paraId="2163AF3F"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Tourist decision-making is therefore not always a simple rational sequence. Small changes in circumstances can alter the final choice. Keshavarzian (2017), for example, found that destination attributes and tourists' feelings both influence destination choice, while some travellers may begin their planning according to practical opportunities such as available discounted air tickets.</w:t>
      </w:r>
    </w:p>
    <w:p w14:paraId="0846D291"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Perceived risk also matters. Travellers may evaluate health, crime, political instability, terrorism and natural hazards when comparing destinations. Karl et al. (2020) demonstrate that different forms of perceived travel risk can influence different stages of destination decision-making.</w:t>
      </w:r>
    </w:p>
    <w:p w14:paraId="2008AD84"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The digital environment has added another dimension. Tourists can now view destination content, compare prices and read the experiences of thousands of previous visitors. Armutcu et al. (2023) report that perceptions of the quality and accessibility of online destination content influence tourists' behavioural intentions. This means that a traveller's decision can be affected before direct contact with a tourism business occurs.</w:t>
      </w:r>
    </w:p>
    <w:p w14:paraId="07F55435"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lastRenderedPageBreak/>
        <w:t>Tourist behaviour continues at the destination itself. Plans may change because of weather, recommendations, available time or interactions with travelling companions. Hyde and Decrop (2011) argue that understanding tourism decision-making as an evolving process provides insights beyond simply examining the final destination choice.</w:t>
      </w:r>
    </w:p>
    <w:p w14:paraId="69AC3205"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Consequently, tourism organisations study consumer behaviour to understand motivations, anticipate demand, design suitable experiences and encourage satisfaction, repeat visits and positive recommendations.</w:t>
      </w:r>
    </w:p>
    <w:p w14:paraId="0E07CF93" w14:textId="77777777" w:rsidR="00372BBE" w:rsidRPr="00372BBE" w:rsidRDefault="00372BBE" w:rsidP="00372BBE">
      <w:pPr>
        <w:spacing w:line="480" w:lineRule="auto"/>
        <w:rPr>
          <w:rFonts w:asciiTheme="majorBidi" w:hAnsiTheme="majorBidi" w:cstheme="majorBidi"/>
          <w:b/>
          <w:bCs/>
        </w:rPr>
      </w:pPr>
      <w:r w:rsidRPr="00372BBE">
        <w:rPr>
          <w:rFonts w:asciiTheme="majorBidi" w:hAnsiTheme="majorBidi" w:cstheme="majorBidi"/>
          <w:b/>
          <w:bCs/>
        </w:rPr>
        <w:t>2. Explain the Difference Between Institutionalized and Non-Institutionalized Tourists</w:t>
      </w:r>
    </w:p>
    <w:p w14:paraId="5CB2E124"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Tourists can be distinguished according to how closely their travel is connected with organised tourism institutions. </w:t>
      </w:r>
      <w:r w:rsidRPr="00372BBE">
        <w:rPr>
          <w:rFonts w:asciiTheme="majorBidi" w:hAnsiTheme="majorBidi" w:cstheme="majorBidi"/>
          <w:b/>
          <w:bCs/>
        </w:rPr>
        <w:t>Institutionalized tourists</w:t>
      </w:r>
      <w:r w:rsidRPr="00372BBE">
        <w:rPr>
          <w:rFonts w:asciiTheme="majorBidi" w:hAnsiTheme="majorBidi" w:cstheme="majorBidi"/>
        </w:rPr>
        <w:t xml:space="preserve"> depend relatively heavily on formal providers and established tourism routes, whereas </w:t>
      </w:r>
      <w:r w:rsidRPr="00372BBE">
        <w:rPr>
          <w:rFonts w:asciiTheme="majorBidi" w:hAnsiTheme="majorBidi" w:cstheme="majorBidi"/>
          <w:b/>
          <w:bCs/>
        </w:rPr>
        <w:t>non-institutionalized tourists</w:t>
      </w:r>
      <w:r w:rsidRPr="00372BBE">
        <w:rPr>
          <w:rFonts w:asciiTheme="majorBidi" w:hAnsiTheme="majorBidi" w:cstheme="majorBidi"/>
        </w:rPr>
        <w:t xml:space="preserve"> organise more of their travel independently.</w:t>
      </w:r>
    </w:p>
    <w:p w14:paraId="5573F865"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An institutionalized tourist values convenience and reduced uncertainty. Flights, hotels, transfers and attractions may be selected or packaged by tourism businesses. Such arrangements can be particularly attractive to people visiting unfamiliar destinations or those who prefer predictable schedules.</w:t>
      </w:r>
    </w:p>
    <w:p w14:paraId="5D0D1E1F"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For example, a group travelling from Australia to Italy on a coach tour, with hotels, meals, museum tickets and sightseeing arranged by a tour operator, represents institutionalized tourism. The group experiences Italy mainly through a predetermined tourism programme.</w:t>
      </w:r>
    </w:p>
    <w:p w14:paraId="5B496686"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A non-institutionalized tourist has considerably more control over the journey. Rather than following a package itinerary, the traveller may select destinations while travelling, use local transport and choose smaller locally operated accommodation.</w:t>
      </w:r>
    </w:p>
    <w:p w14:paraId="29EF05A9"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For example, a university graduate spending six weeks independently travelling through Indonesia, staying in homestays and deciding each week's route according to </w:t>
      </w:r>
      <w:r w:rsidRPr="00372BBE">
        <w:rPr>
          <w:rFonts w:asciiTheme="majorBidi" w:hAnsiTheme="majorBidi" w:cstheme="majorBidi"/>
        </w:rPr>
        <w:lastRenderedPageBreak/>
        <w:t>recommendations from residents and other travellers, represents non-institutionalized tourism.</w:t>
      </w:r>
    </w:p>
    <w:p w14:paraId="51B8FC36"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Modern tourist behaviour makes these categories more fluid. Tourist decisions can be adjusted during the journey as circumstances change (McCabe et al., 2012). Furthermore, online booking has made it possible for highly independent tourists to purchase established tourism products directly.</w:t>
      </w:r>
    </w:p>
    <w:p w14:paraId="40B078F6"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The distinction should therefore not imply that one form is superior. Institutionalized tourism offers </w:t>
      </w:r>
      <w:r w:rsidRPr="00372BBE">
        <w:rPr>
          <w:rFonts w:asciiTheme="majorBidi" w:hAnsiTheme="majorBidi" w:cstheme="majorBidi"/>
          <w:b/>
          <w:bCs/>
        </w:rPr>
        <w:t>security, convenience and organisation</w:t>
      </w:r>
      <w:r w:rsidRPr="00372BBE">
        <w:rPr>
          <w:rFonts w:asciiTheme="majorBidi" w:hAnsiTheme="majorBidi" w:cstheme="majorBidi"/>
        </w:rPr>
        <w:t xml:space="preserve">, whereas non-institutionalized tourism offers </w:t>
      </w:r>
      <w:r w:rsidRPr="00372BBE">
        <w:rPr>
          <w:rFonts w:asciiTheme="majorBidi" w:hAnsiTheme="majorBidi" w:cstheme="majorBidi"/>
          <w:b/>
          <w:bCs/>
        </w:rPr>
        <w:t>flexibility, autonomy and opportunities for less structured experiences</w:t>
      </w:r>
      <w:r w:rsidRPr="00372BBE">
        <w:rPr>
          <w:rFonts w:asciiTheme="majorBidi" w:hAnsiTheme="majorBidi" w:cstheme="majorBidi"/>
        </w:rPr>
        <w:t>.</w:t>
      </w:r>
    </w:p>
    <w:p w14:paraId="4D1D4AEF" w14:textId="54DB1CDA" w:rsidR="00372BBE" w:rsidRPr="00372BBE" w:rsidRDefault="00372BBE" w:rsidP="00372BBE">
      <w:pPr>
        <w:spacing w:line="480" w:lineRule="auto"/>
        <w:rPr>
          <w:rFonts w:asciiTheme="majorBidi" w:hAnsiTheme="majorBidi" w:cstheme="majorBidi"/>
          <w:b/>
          <w:bCs/>
        </w:rPr>
      </w:pPr>
      <w:r w:rsidRPr="00372BBE">
        <w:rPr>
          <w:rFonts w:asciiTheme="majorBidi" w:hAnsiTheme="majorBidi" w:cstheme="majorBidi"/>
          <w:b/>
          <w:bCs/>
        </w:rPr>
        <w:t xml:space="preserve">References </w:t>
      </w:r>
    </w:p>
    <w:p w14:paraId="77D09D4B"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Armutcu, B., Tan, A., Amponsah, M., Parida, S., &amp; Ramkissoon, H. (2023). Tourist behaviour: The role of digital marketing and social media. </w:t>
      </w:r>
      <w:r w:rsidRPr="00372BBE">
        <w:rPr>
          <w:rFonts w:asciiTheme="majorBidi" w:hAnsiTheme="majorBidi" w:cstheme="majorBidi"/>
          <w:i/>
          <w:iCs/>
        </w:rPr>
        <w:t>Acta Psychologica, 240</w:t>
      </w:r>
      <w:r w:rsidRPr="00372BBE">
        <w:rPr>
          <w:rFonts w:asciiTheme="majorBidi" w:hAnsiTheme="majorBidi" w:cstheme="majorBidi"/>
        </w:rPr>
        <w:t xml:space="preserve">, 104025. </w:t>
      </w:r>
      <w:hyperlink r:id="rId6" w:tgtFrame="_new" w:history="1">
        <w:r w:rsidRPr="00372BBE">
          <w:rPr>
            <w:rStyle w:val="Hyperlink"/>
            <w:rFonts w:asciiTheme="majorBidi" w:hAnsiTheme="majorBidi" w:cstheme="majorBidi"/>
          </w:rPr>
          <w:t>https://doi.org/10.1016/j.actpsy.2023.104025</w:t>
        </w:r>
      </w:hyperlink>
      <w:r w:rsidRPr="00372BBE">
        <w:rPr>
          <w:rFonts w:asciiTheme="majorBidi" w:hAnsiTheme="majorBidi" w:cstheme="majorBidi"/>
        </w:rPr>
        <w:t xml:space="preserve"> </w:t>
      </w:r>
    </w:p>
    <w:p w14:paraId="192F4AB9"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Hyde, K. F., &amp; Decrop, A. (2011). New perspectives on vacation decision making. </w:t>
      </w:r>
      <w:r w:rsidRPr="00372BBE">
        <w:rPr>
          <w:rFonts w:asciiTheme="majorBidi" w:hAnsiTheme="majorBidi" w:cstheme="majorBidi"/>
          <w:i/>
          <w:iCs/>
        </w:rPr>
        <w:t>International Journal of Culture, Tourism and Hospitality Research, 5</w:t>
      </w:r>
      <w:r w:rsidRPr="00372BBE">
        <w:rPr>
          <w:rFonts w:asciiTheme="majorBidi" w:hAnsiTheme="majorBidi" w:cstheme="majorBidi"/>
        </w:rPr>
        <w:t>(2), 103–111.</w:t>
      </w:r>
    </w:p>
    <w:p w14:paraId="46525414"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Karl, M., Muskat, B., &amp; Ritchie, B. W. (2020). Which travel risks are more salient for destination choice? An examination of the tourist's decision-making process. </w:t>
      </w:r>
      <w:r w:rsidRPr="00372BBE">
        <w:rPr>
          <w:rFonts w:asciiTheme="majorBidi" w:hAnsiTheme="majorBidi" w:cstheme="majorBidi"/>
          <w:i/>
          <w:iCs/>
        </w:rPr>
        <w:t>Journal of Destination Marketing &amp; Management, 18</w:t>
      </w:r>
      <w:r w:rsidRPr="00372BBE">
        <w:rPr>
          <w:rFonts w:asciiTheme="majorBidi" w:hAnsiTheme="majorBidi" w:cstheme="majorBidi"/>
        </w:rPr>
        <w:t xml:space="preserve">, 100487. https://doi.org/10.1016/j.jdmm.2020.100487 </w:t>
      </w:r>
    </w:p>
    <w:p w14:paraId="5F7057EF" w14:textId="77777777" w:rsidR="00372BBE" w:rsidRPr="00372BBE" w:rsidRDefault="00372BBE" w:rsidP="00372BBE">
      <w:pPr>
        <w:spacing w:line="480" w:lineRule="auto"/>
        <w:rPr>
          <w:rFonts w:asciiTheme="majorBidi" w:hAnsiTheme="majorBidi" w:cstheme="majorBidi"/>
        </w:rPr>
      </w:pPr>
      <w:r w:rsidRPr="00372BBE">
        <w:rPr>
          <w:rFonts w:asciiTheme="majorBidi" w:hAnsiTheme="majorBidi" w:cstheme="majorBidi"/>
        </w:rPr>
        <w:t xml:space="preserve">McCabe, S., Li, C., &amp; Chen, Z. (2012). Dynamic in-destination decision-making: An adjustment model. </w:t>
      </w:r>
      <w:r w:rsidRPr="00372BBE">
        <w:rPr>
          <w:rFonts w:asciiTheme="majorBidi" w:hAnsiTheme="majorBidi" w:cstheme="majorBidi"/>
          <w:i/>
          <w:iCs/>
        </w:rPr>
        <w:t>Tourism Management, 33</w:t>
      </w:r>
      <w:r w:rsidRPr="00372BBE">
        <w:rPr>
          <w:rFonts w:asciiTheme="majorBidi" w:hAnsiTheme="majorBidi" w:cstheme="majorBidi"/>
        </w:rPr>
        <w:t xml:space="preserve">(3), 635–645. </w:t>
      </w:r>
      <w:hyperlink r:id="rId7" w:tgtFrame="_new" w:history="1">
        <w:r w:rsidRPr="00372BBE">
          <w:rPr>
            <w:rStyle w:val="Hyperlink"/>
            <w:rFonts w:asciiTheme="majorBidi" w:hAnsiTheme="majorBidi" w:cstheme="majorBidi"/>
          </w:rPr>
          <w:t>https://doi.org/10.1016/j.tourman.2011.07.005</w:t>
        </w:r>
      </w:hyperlink>
      <w:r w:rsidRPr="00372BBE">
        <w:rPr>
          <w:rFonts w:asciiTheme="majorBidi" w:hAnsiTheme="majorBidi" w:cstheme="majorBidi"/>
        </w:rPr>
        <w:t xml:space="preserve"> </w:t>
      </w:r>
    </w:p>
    <w:p w14:paraId="27B60576" w14:textId="77777777" w:rsidR="00372BBE" w:rsidRPr="00215386" w:rsidRDefault="00372BBE" w:rsidP="009969E1">
      <w:pPr>
        <w:spacing w:line="480" w:lineRule="auto"/>
        <w:rPr>
          <w:rFonts w:asciiTheme="majorBidi" w:hAnsiTheme="majorBidi" w:cstheme="majorBidi"/>
          <w:lang w:val="en-US"/>
        </w:rPr>
      </w:pPr>
    </w:p>
    <w:p w14:paraId="7B45B692" w14:textId="77777777" w:rsidR="00215386" w:rsidRPr="00215386" w:rsidRDefault="00215386" w:rsidP="009969E1">
      <w:pPr>
        <w:spacing w:line="480" w:lineRule="auto"/>
        <w:rPr>
          <w:rFonts w:asciiTheme="majorBidi" w:hAnsiTheme="majorBidi" w:cstheme="majorBidi"/>
          <w:lang w:val="en-US"/>
        </w:rPr>
      </w:pPr>
    </w:p>
    <w:p w14:paraId="5133D6ED" w14:textId="77777777" w:rsidR="00A505F4" w:rsidRPr="00215386" w:rsidRDefault="00A505F4" w:rsidP="009969E1">
      <w:pPr>
        <w:spacing w:line="480" w:lineRule="auto"/>
        <w:rPr>
          <w:rFonts w:asciiTheme="majorBidi" w:hAnsiTheme="majorBidi" w:cstheme="majorBidi"/>
        </w:rPr>
      </w:pPr>
    </w:p>
    <w:sectPr w:rsidR="00A505F4"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5F44BCA-CA17-4BC8-BD08-B8A0C6ABAF70}"/>
    <w:embedBold r:id="rId2" w:fontKey="{F797F1DA-9E6E-4577-9067-693853FF791B}"/>
    <w:embedItalic r:id="rId3" w:fontKey="{45E6417B-6C60-4967-B3A3-154684F4D4B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92B9706-2FBF-4C90-A7F4-CB9F39156928}"/>
  </w:font>
  <w:font w:name="Calibri Light">
    <w:panose1 w:val="020F0302020204030204"/>
    <w:charset w:val="00"/>
    <w:family w:val="swiss"/>
    <w:pitch w:val="variable"/>
    <w:sig w:usb0="E4002EFF" w:usb1="C000247B" w:usb2="00000009" w:usb3="00000000" w:csb0="000001FF" w:csb1="00000000"/>
    <w:embedRegular r:id="rId5" w:fontKey="{5D13AD43-7578-43AC-A965-EE41D55506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61306"/>
    <w:rsid w:val="00372BBE"/>
    <w:rsid w:val="00384E8A"/>
    <w:rsid w:val="003C5D74"/>
    <w:rsid w:val="003D1074"/>
    <w:rsid w:val="00426865"/>
    <w:rsid w:val="00477CAA"/>
    <w:rsid w:val="00502E29"/>
    <w:rsid w:val="00507879"/>
    <w:rsid w:val="005E458B"/>
    <w:rsid w:val="00672345"/>
    <w:rsid w:val="006E036E"/>
    <w:rsid w:val="00762633"/>
    <w:rsid w:val="007F69D5"/>
    <w:rsid w:val="00844EC2"/>
    <w:rsid w:val="008516FE"/>
    <w:rsid w:val="008C4360"/>
    <w:rsid w:val="00965EED"/>
    <w:rsid w:val="0099651A"/>
    <w:rsid w:val="009969E1"/>
    <w:rsid w:val="009C1D0A"/>
    <w:rsid w:val="00A044F7"/>
    <w:rsid w:val="00A505F4"/>
    <w:rsid w:val="00A8150E"/>
    <w:rsid w:val="00B20343"/>
    <w:rsid w:val="00B85EA7"/>
    <w:rsid w:val="00BE65DD"/>
    <w:rsid w:val="00C612A4"/>
    <w:rsid w:val="00CC6AD1"/>
    <w:rsid w:val="00DB7416"/>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ourman.2011.07.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ctpsy.2023.104025?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3</cp:revision>
  <dcterms:created xsi:type="dcterms:W3CDTF">2026-09-04T15:48:00Z</dcterms:created>
  <dcterms:modified xsi:type="dcterms:W3CDTF">2026-09-04T15:50:00Z</dcterms:modified>
</cp:coreProperties>
</file>