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BD1B3">
      <w:pPr>
        <w:jc w:val="center"/>
        <w:rPr>
          <w:b/>
          <w:bCs/>
        </w:rPr>
      </w:pPr>
    </w:p>
    <w:p w14:paraId="2D81289F">
      <w:pPr>
        <w:jc w:val="center"/>
        <w:rPr>
          <w:b/>
          <w:bCs/>
        </w:rPr>
      </w:pPr>
    </w:p>
    <w:p w14:paraId="70A132F9">
      <w:pPr>
        <w:jc w:val="center"/>
        <w:rPr>
          <w:b/>
          <w:bCs/>
        </w:rPr>
      </w:pPr>
    </w:p>
    <w:p w14:paraId="248CB397">
      <w:pPr>
        <w:jc w:val="center"/>
        <w:rPr>
          <w:rFonts w:hint="default"/>
          <w:b/>
          <w:bCs/>
          <w:lang w:val="de-DE"/>
        </w:rPr>
      </w:pPr>
      <w:r>
        <w:rPr>
          <w:rFonts w:hint="default"/>
          <w:b/>
          <w:bCs/>
          <w:lang w:val="de-DE"/>
        </w:rPr>
        <w:drawing>
          <wp:inline distT="0" distB="0" distL="114300" distR="114300">
            <wp:extent cx="5700395" cy="1991360"/>
            <wp:effectExtent l="0" t="0" r="0" b="0"/>
            <wp:docPr id="1" name="Picture 1" descr="eiI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iIET logo"/>
                    <pic:cNvPicPr>
                      <a:picLocks noChangeAspect="1"/>
                    </pic:cNvPicPr>
                  </pic:nvPicPr>
                  <pic:blipFill>
                    <a:blip r:embed="rId7"/>
                    <a:stretch>
                      <a:fillRect/>
                    </a:stretch>
                  </pic:blipFill>
                  <pic:spPr>
                    <a:xfrm>
                      <a:off x="0" y="0"/>
                      <a:ext cx="5700395" cy="1991360"/>
                    </a:xfrm>
                    <a:prstGeom prst="rect">
                      <a:avLst/>
                    </a:prstGeom>
                  </pic:spPr>
                </pic:pic>
              </a:graphicData>
            </a:graphic>
          </wp:inline>
        </w:drawing>
      </w:r>
    </w:p>
    <w:p w14:paraId="06139A0D">
      <w:pPr>
        <w:jc w:val="center"/>
        <w:rPr>
          <w:b/>
          <w:bCs/>
        </w:rPr>
      </w:pPr>
    </w:p>
    <w:p w14:paraId="3BE98852">
      <w:pPr>
        <w:jc w:val="center"/>
        <w:rPr>
          <w:b/>
          <w:bCs/>
        </w:rPr>
      </w:pPr>
    </w:p>
    <w:p w14:paraId="679B272D">
      <w:pPr>
        <w:jc w:val="center"/>
        <w:rPr>
          <w:b/>
          <w:bCs/>
        </w:rPr>
      </w:pPr>
    </w:p>
    <w:p w14:paraId="5B6F2E95">
      <w:pPr>
        <w:jc w:val="both"/>
        <w:rPr>
          <w:b/>
          <w:bCs/>
        </w:rPr>
      </w:pPr>
    </w:p>
    <w:p w14:paraId="1D021CDE">
      <w:pPr>
        <w:jc w:val="center"/>
        <w:rPr>
          <w:rFonts w:hint="default" w:ascii="Times New Roman Bold" w:hAnsi="Times New Roman Bold" w:cs="Times New Roman Bold"/>
          <w:b/>
          <w:bCs/>
          <w:sz w:val="32"/>
          <w:szCs w:val="32"/>
        </w:rPr>
      </w:pPr>
      <w:r>
        <w:rPr>
          <w:rFonts w:hint="default" w:ascii="Times New Roman Bold" w:hAnsi="Times New Roman Bold" w:cs="Times New Roman Bold"/>
          <w:b/>
          <w:bCs/>
          <w:sz w:val="32"/>
          <w:szCs w:val="32"/>
        </w:rPr>
        <w:t>Design of a Nutrition Communication Campaign for Wellness Tourism</w:t>
      </w:r>
    </w:p>
    <w:p w14:paraId="5D385E97">
      <w:pPr>
        <w:jc w:val="center"/>
        <w:rPr>
          <w:rFonts w:hint="default" w:ascii="Times New Roman Bold" w:hAnsi="Times New Roman Bold" w:cs="Times New Roman Bold"/>
          <w:b/>
          <w:bCs/>
          <w:sz w:val="32"/>
          <w:szCs w:val="32"/>
        </w:rPr>
      </w:pPr>
    </w:p>
    <w:p w14:paraId="344FBB1F">
      <w:pPr>
        <w:jc w:val="center"/>
      </w:pPr>
    </w:p>
    <w:p w14:paraId="4BFF2C03">
      <w:pPr>
        <w:jc w:val="center"/>
      </w:pPr>
    </w:p>
    <w:p w14:paraId="4961036D">
      <w:pPr>
        <w:jc w:val="center"/>
      </w:pPr>
    </w:p>
    <w:p w14:paraId="58B018BE">
      <w:pPr>
        <w:jc w:val="center"/>
      </w:pPr>
      <w:bookmarkStart w:id="30" w:name="_GoBack"/>
      <w:bookmarkEnd w:id="30"/>
    </w:p>
    <w:p w14:paraId="71CA6BED">
      <w:pPr>
        <w:jc w:val="center"/>
        <w:rPr>
          <w:rFonts w:hint="default"/>
          <w:lang w:val="de-DE"/>
        </w:rPr>
      </w:pPr>
      <w:r>
        <w:t xml:space="preserve">Student Name </w:t>
      </w:r>
      <w:r>
        <w:rPr>
          <w:rFonts w:hint="default"/>
          <w:lang w:val="de-DE"/>
        </w:rPr>
        <w:t>:Ajay Kumar</w:t>
      </w:r>
    </w:p>
    <w:p w14:paraId="7CB4016D">
      <w:pPr>
        <w:jc w:val="center"/>
        <w:rPr>
          <w:rFonts w:hint="default"/>
          <w:lang w:val="de-DE"/>
        </w:rPr>
      </w:pPr>
      <w:r>
        <w:rPr>
          <w:rFonts w:hint="default"/>
          <w:lang w:val="de-DE"/>
        </w:rPr>
        <w:t>Student ID : DE240022</w:t>
      </w:r>
    </w:p>
    <w:p w14:paraId="51C91F26">
      <w:pPr>
        <w:jc w:val="center"/>
        <w:rPr>
          <w:rFonts w:hint="default"/>
          <w:lang w:val="de-DE"/>
        </w:rPr>
      </w:pPr>
      <w:r>
        <w:rPr>
          <w:rFonts w:hint="default"/>
          <w:lang w:val="de-DE"/>
        </w:rPr>
        <w:t>Date : 05-05-2025</w:t>
      </w:r>
    </w:p>
    <w:p w14:paraId="7D9B50DD">
      <w:pPr>
        <w:jc w:val="both"/>
      </w:pPr>
    </w:p>
    <w:p w14:paraId="1DA3CD1F">
      <w:pPr>
        <w:spacing w:line="259" w:lineRule="auto"/>
        <w:jc w:val="left"/>
        <w:rPr>
          <w:rFonts w:eastAsiaTheme="majorEastAsia" w:cstheme="majorBidi"/>
          <w:b/>
          <w:szCs w:val="32"/>
        </w:rPr>
      </w:pPr>
    </w:p>
    <w:p w14:paraId="5649B4E2">
      <w:pPr>
        <w:spacing w:line="259" w:lineRule="auto"/>
        <w:jc w:val="left"/>
        <w:rPr>
          <w:rFonts w:eastAsiaTheme="majorEastAsia" w:cstheme="majorBidi"/>
          <w:b/>
          <w:szCs w:val="32"/>
        </w:rPr>
      </w:pPr>
      <w:r>
        <w:br w:type="page"/>
      </w:r>
    </w:p>
    <w:p w14:paraId="14FDC660">
      <w:pPr>
        <w:pStyle w:val="2"/>
        <w:jc w:val="center"/>
      </w:pPr>
      <w:bookmarkStart w:id="0" w:name="_Toc192071804"/>
      <w:bookmarkStart w:id="1" w:name="_Toc195700997"/>
      <w:bookmarkStart w:id="2" w:name="_Toc192069379"/>
      <w:bookmarkStart w:id="3" w:name="_Toc192082679"/>
      <w:bookmarkStart w:id="4" w:name="_Toc195705224"/>
      <w:bookmarkStart w:id="5" w:name="_Toc194759620"/>
      <w:bookmarkStart w:id="6" w:name="_Toc194756385"/>
      <w:bookmarkStart w:id="7" w:name="_Toc194417055"/>
      <w:bookmarkStart w:id="8" w:name="_Toc194679097"/>
      <w:bookmarkStart w:id="9" w:name="_Toc197006487"/>
      <w:bookmarkStart w:id="10" w:name="_Toc192078411"/>
      <w:bookmarkStart w:id="11" w:name="_Toc192681631"/>
      <w:bookmarkStart w:id="12" w:name="_Toc195535075"/>
      <w:r>
        <w:t>Table of Contents</w:t>
      </w:r>
      <w:bookmarkEnd w:id="0"/>
      <w:bookmarkEnd w:id="1"/>
      <w:bookmarkEnd w:id="2"/>
      <w:bookmarkEnd w:id="3"/>
      <w:bookmarkEnd w:id="4"/>
      <w:bookmarkEnd w:id="5"/>
      <w:bookmarkEnd w:id="6"/>
      <w:bookmarkEnd w:id="7"/>
      <w:bookmarkEnd w:id="8"/>
      <w:bookmarkEnd w:id="9"/>
      <w:bookmarkEnd w:id="10"/>
      <w:bookmarkEnd w:id="11"/>
      <w:bookmarkEnd w:id="12"/>
    </w:p>
    <w:sdt>
      <w:sdtPr>
        <w:id w:val="-1"/>
        <w:docPartObj>
          <w:docPartGallery w:val="Table of Contents"/>
          <w:docPartUnique/>
        </w:docPartObj>
      </w:sdtPr>
      <w:sdtEndPr>
        <w:rPr>
          <w:b/>
          <w:bCs/>
        </w:rPr>
      </w:sdtEndPr>
      <w:sdtContent>
        <w:p w14:paraId="0CB3DB29">
          <w:pPr>
            <w:pStyle w:val="15"/>
            <w:tabs>
              <w:tab w:val="right" w:leader="dot" w:pos="9016"/>
            </w:tabs>
            <w:rPr>
              <w:rFonts w:asciiTheme="minorHAnsi" w:hAnsiTheme="minorHAnsi" w:eastAsiaTheme="minorEastAsia"/>
              <w:szCs w:val="24"/>
              <w:lang w:val="en-IN" w:eastAsia="en-IN"/>
            </w:rPr>
          </w:pPr>
          <w:r>
            <w:rPr>
              <w:rFonts w:asciiTheme="majorHAnsi" w:hAnsiTheme="majorHAnsi" w:eastAsiaTheme="majorEastAsia" w:cstheme="majorBidi"/>
              <w:color w:val="2F5597" w:themeColor="accent1" w:themeShade="BF"/>
              <w:kern w:val="0"/>
              <w:sz w:val="32"/>
              <w:szCs w:val="32"/>
              <w:lang w:val="en-US"/>
              <w14:ligatures w14:val="none"/>
            </w:rPr>
            <w:fldChar w:fldCharType="begin"/>
          </w:r>
          <w:r>
            <w:instrText xml:space="preserve"> TOC \o "1-3" \h \z \u </w:instrText>
          </w:r>
          <w:r>
            <w:rPr>
              <w:rFonts w:asciiTheme="majorHAnsi" w:hAnsiTheme="majorHAnsi" w:eastAsiaTheme="majorEastAsia" w:cstheme="majorBidi"/>
              <w:color w:val="2F5597" w:themeColor="accent1" w:themeShade="BF"/>
              <w:kern w:val="0"/>
              <w:sz w:val="32"/>
              <w:szCs w:val="32"/>
              <w:lang w:val="en-US"/>
              <w14:ligatures w14:val="none"/>
            </w:rPr>
            <w:fldChar w:fldCharType="separate"/>
          </w:r>
          <w:r>
            <w:fldChar w:fldCharType="begin"/>
          </w:r>
          <w:r>
            <w:instrText xml:space="preserve"> HYPERLINK \l "_Toc197006487" </w:instrText>
          </w:r>
          <w:r>
            <w:fldChar w:fldCharType="separate"/>
          </w:r>
          <w:r>
            <w:fldChar w:fldCharType="end"/>
          </w:r>
        </w:p>
        <w:p w14:paraId="6AEB6B30">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"_Toc197006488" </w:instrText>
          </w:r>
          <w:r>
            <w:fldChar w:fldCharType="separate"/>
          </w:r>
          <w:r>
            <w:rPr>
              <w:rStyle w:val="11"/>
              <w:lang w:eastAsia="en-IN"/>
            </w:rPr>
            <w:t>Introduction</w:t>
          </w:r>
          <w:r>
            <w:tab/>
          </w:r>
          <w:r>
            <w:fldChar w:fldCharType="begin"/>
          </w:r>
          <w:r>
            <w:instrText xml:space="preserve"> PAGEREF _Toc197006488 \h </w:instrText>
          </w:r>
          <w:r>
            <w:fldChar w:fldCharType="separate"/>
          </w:r>
          <w:r>
            <w:t>3</w:t>
          </w:r>
          <w:r>
            <w:fldChar w:fldCharType="end"/>
          </w:r>
          <w:r>
            <w:fldChar w:fldCharType="end"/>
          </w:r>
        </w:p>
        <w:p w14:paraId="647C1296">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"_Toc197006489" </w:instrText>
          </w:r>
          <w:r>
            <w:fldChar w:fldCharType="separate"/>
          </w:r>
          <w:r>
            <w:rPr>
              <w:rStyle w:val="11"/>
              <w:rFonts w:eastAsia="Times New Roman"/>
              <w:lang w:eastAsia="en-IN"/>
            </w:rPr>
            <w:t>Campaign Objectives and Target Audience</w:t>
          </w:r>
          <w:r>
            <w:tab/>
          </w:r>
          <w:r>
            <w:fldChar w:fldCharType="begin"/>
          </w:r>
          <w:r>
            <w:instrText xml:space="preserve"> PAGEREF _Toc197006489 \h </w:instrText>
          </w:r>
          <w:r>
            <w:fldChar w:fldCharType="separate"/>
          </w:r>
          <w:r>
            <w:t>3</w:t>
          </w:r>
          <w:r>
            <w:fldChar w:fldCharType="end"/>
          </w:r>
          <w:r>
            <w:fldChar w:fldCharType="end"/>
          </w:r>
        </w:p>
        <w:p w14:paraId="06E1F1F7">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"_Toc197006490" </w:instrText>
          </w:r>
          <w:r>
            <w:fldChar w:fldCharType="separate"/>
          </w:r>
          <w:r>
            <w:rPr>
              <w:rStyle w:val="11"/>
              <w:rFonts w:eastAsia="Times New Roman"/>
              <w:lang w:val="en-IN" w:eastAsia="en-IN"/>
            </w:rPr>
            <w:t>Nutrition Education Toolkit Design</w:t>
          </w:r>
          <w:r>
            <w:tab/>
          </w:r>
          <w:r>
            <w:fldChar w:fldCharType="begin"/>
          </w:r>
          <w:r>
            <w:instrText xml:space="preserve"> PAGEREF _Toc197006490 \h </w:instrText>
          </w:r>
          <w:r>
            <w:fldChar w:fldCharType="separate"/>
          </w:r>
          <w:r>
            <w:t>4</w:t>
          </w:r>
          <w:r>
            <w:fldChar w:fldCharType="end"/>
          </w:r>
          <w:r>
            <w:fldChar w:fldCharType="end"/>
          </w:r>
        </w:p>
        <w:p w14:paraId="250C52AB">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"_Toc197006491" </w:instrText>
          </w:r>
          <w:r>
            <w:fldChar w:fldCharType="separate"/>
          </w:r>
          <w:r>
            <w:rPr>
              <w:rStyle w:val="11"/>
              <w:lang w:val="en-IN" w:eastAsia="en-IN"/>
            </w:rPr>
            <w:t>Posters and Slides: Visual Messaging and Universal Design</w:t>
          </w:r>
          <w:r>
            <w:tab/>
          </w:r>
          <w:r>
            <w:fldChar w:fldCharType="begin"/>
          </w:r>
          <w:r>
            <w:instrText xml:space="preserve"> PAGEREF _Toc197006491 \h </w:instrText>
          </w:r>
          <w:r>
            <w:fldChar w:fldCharType="separate"/>
          </w:r>
          <w:r>
            <w:t>4</w:t>
          </w:r>
          <w:r>
            <w:fldChar w:fldCharType="end"/>
          </w:r>
          <w:r>
            <w:fldChar w:fldCharType="end"/>
          </w:r>
        </w:p>
        <w:p w14:paraId="64CC3DF7">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"_Toc197006492" </w:instrText>
          </w:r>
          <w:r>
            <w:fldChar w:fldCharType="separate"/>
          </w:r>
          <w:r>
            <w:rPr>
              <w:rStyle w:val="11"/>
            </w:rPr>
            <w:t>Onboarding Script Summary: Tone and Key Messages</w:t>
          </w:r>
          <w:r>
            <w:tab/>
          </w:r>
          <w:r>
            <w:fldChar w:fldCharType="begin"/>
          </w:r>
          <w:r>
            <w:instrText xml:space="preserve"> PAGEREF _Toc197006492 \h </w:instrText>
          </w:r>
          <w:r>
            <w:fldChar w:fldCharType="separate"/>
          </w:r>
          <w:r>
            <w:t>5</w:t>
          </w:r>
          <w:r>
            <w:fldChar w:fldCharType="end"/>
          </w:r>
          <w:r>
            <w:fldChar w:fldCharType="end"/>
          </w:r>
        </w:p>
        <w:p w14:paraId="0A721064">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"_Toc197006493" </w:instrText>
          </w:r>
          <w:r>
            <w:fldChar w:fldCharType="separate"/>
          </w:r>
          <w:r>
            <w:rPr>
              <w:rStyle w:val="11"/>
            </w:rPr>
            <w:t>Food Labels &amp; Daily Nutritional Fact Sheets</w:t>
          </w:r>
          <w:r>
            <w:tab/>
          </w:r>
          <w:r>
            <w:fldChar w:fldCharType="begin"/>
          </w:r>
          <w:r>
            <w:instrText xml:space="preserve"> PAGEREF _Toc197006493 \h </w:instrText>
          </w:r>
          <w:r>
            <w:fldChar w:fldCharType="separate"/>
          </w:r>
          <w:r>
            <w:t>6</w:t>
          </w:r>
          <w:r>
            <w:fldChar w:fldCharType="end"/>
          </w:r>
          <w:r>
            <w:fldChar w:fldCharType="end"/>
          </w:r>
        </w:p>
        <w:p w14:paraId="54EB6FC5">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"_Toc197006494" </w:instrText>
          </w:r>
          <w:r>
            <w:fldChar w:fldCharType="separate"/>
          </w:r>
          <w:r>
            <w:rPr>
              <w:rStyle w:val="11"/>
            </w:rPr>
            <w:t>Cross-Cultural Communication Techniques</w:t>
          </w:r>
          <w:r>
            <w:tab/>
          </w:r>
          <w:r>
            <w:fldChar w:fldCharType="begin"/>
          </w:r>
          <w:r>
            <w:instrText xml:space="preserve"> PAGEREF _Toc197006494 \h </w:instrText>
          </w:r>
          <w:r>
            <w:fldChar w:fldCharType="separate"/>
          </w:r>
          <w:r>
            <w:t>6</w:t>
          </w:r>
          <w:r>
            <w:fldChar w:fldCharType="end"/>
          </w:r>
          <w:r>
            <w:fldChar w:fldCharType="end"/>
          </w:r>
        </w:p>
        <w:p w14:paraId="672BAF2E">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"_Toc197006495" </w:instrText>
          </w:r>
          <w:r>
            <w:fldChar w:fldCharType="separate"/>
          </w:r>
          <w:r>
            <w:rPr>
              <w:rStyle w:val="11"/>
              <w:rFonts w:eastAsia="Times New Roman"/>
              <w:lang w:val="en-IN" w:eastAsia="en-IN"/>
            </w:rPr>
            <w:t>7-Day Wellness Diet Plan</w:t>
          </w:r>
          <w:r>
            <w:tab/>
          </w:r>
          <w:r>
            <w:fldChar w:fldCharType="begin"/>
          </w:r>
          <w:r>
            <w:instrText xml:space="preserve"> PAGEREF _Toc197006495 \h </w:instrText>
          </w:r>
          <w:r>
            <w:fldChar w:fldCharType="separate"/>
          </w:r>
          <w:r>
            <w:t>7</w:t>
          </w:r>
          <w:r>
            <w:fldChar w:fldCharType="end"/>
          </w:r>
          <w:r>
            <w:fldChar w:fldCharType="end"/>
          </w:r>
        </w:p>
        <w:p w14:paraId="11EC7704">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"_Toc197006496" </w:instrText>
          </w:r>
          <w:r>
            <w:fldChar w:fldCharType="separate"/>
          </w:r>
          <w:r>
            <w:rPr>
              <w:rStyle w:val="11"/>
            </w:rPr>
            <w:t>Philosophy and Scientific Basis</w:t>
          </w:r>
          <w:r>
            <w:tab/>
          </w:r>
          <w:r>
            <w:fldChar w:fldCharType="begin"/>
          </w:r>
          <w:r>
            <w:instrText xml:space="preserve"> PAGEREF _Toc197006496 \h </w:instrText>
          </w:r>
          <w:r>
            <w:fldChar w:fldCharType="separate"/>
          </w:r>
          <w:r>
            <w:t>7</w:t>
          </w:r>
          <w:r>
            <w:fldChar w:fldCharType="end"/>
          </w:r>
          <w:r>
            <w:fldChar w:fldCharType="end"/>
          </w:r>
        </w:p>
        <w:p w14:paraId="379E9F3B">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"_Toc197006497" </w:instrText>
          </w:r>
          <w:r>
            <w:fldChar w:fldCharType="separate"/>
          </w:r>
          <w:r>
            <w:rPr>
              <w:rStyle w:val="11"/>
            </w:rPr>
            <w:t>Sample Meals (Days 1–2 Detailed)</w:t>
          </w:r>
          <w:r>
            <w:tab/>
          </w:r>
          <w:r>
            <w:fldChar w:fldCharType="begin"/>
          </w:r>
          <w:r>
            <w:instrText xml:space="preserve"> PAGEREF _Toc197006497 \h </w:instrText>
          </w:r>
          <w:r>
            <w:fldChar w:fldCharType="separate"/>
          </w:r>
          <w:r>
            <w:t>7</w:t>
          </w:r>
          <w:r>
            <w:fldChar w:fldCharType="end"/>
          </w:r>
          <w:r>
            <w:fldChar w:fldCharType="end"/>
          </w:r>
        </w:p>
        <w:p w14:paraId="5B4F7EE9">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"_Toc197006498" </w:instrText>
          </w:r>
          <w:r>
            <w:fldChar w:fldCharType="separate"/>
          </w:r>
          <w:r>
            <w:rPr>
              <w:rStyle w:val="11"/>
            </w:rPr>
            <w:t>Summary of Days 3–7</w:t>
          </w:r>
          <w:r>
            <w:tab/>
          </w:r>
          <w:r>
            <w:fldChar w:fldCharType="begin"/>
          </w:r>
          <w:r>
            <w:instrText xml:space="preserve"> PAGEREF _Toc197006498 \h </w:instrText>
          </w:r>
          <w:r>
            <w:fldChar w:fldCharType="separate"/>
          </w:r>
          <w:r>
            <w:t>8</w:t>
          </w:r>
          <w:r>
            <w:fldChar w:fldCharType="end"/>
          </w:r>
          <w:r>
            <w:fldChar w:fldCharType="end"/>
          </w:r>
        </w:p>
        <w:p w14:paraId="13C4A0BE">
          <w:pPr>
            <w:pStyle w:val="16"/>
            <w:tabs>
              <w:tab w:val="right" w:leader="dot" w:pos="9016"/>
            </w:tabs>
            <w:rPr>
              <w:rFonts w:asciiTheme="minorHAnsi" w:hAnsiTheme="minorHAnsi" w:eastAsiaTheme="minorEastAsia"/>
              <w:szCs w:val="24"/>
              <w:lang w:val="en-IN" w:eastAsia="en-IN"/>
            </w:rPr>
          </w:pPr>
          <w:r>
            <w:fldChar w:fldCharType="begin"/>
          </w:r>
          <w:r>
            <w:instrText xml:space="preserve"> HYPERLINK \l "_Toc197006499" </w:instrText>
          </w:r>
          <w:r>
            <w:fldChar w:fldCharType="separate"/>
          </w:r>
          <w:r>
            <w:rPr>
              <w:rStyle w:val="11"/>
            </w:rPr>
            <w:t>Inclusion Strategy</w:t>
          </w:r>
          <w:r>
            <w:tab/>
          </w:r>
          <w:r>
            <w:fldChar w:fldCharType="begin"/>
          </w:r>
          <w:r>
            <w:instrText xml:space="preserve"> PAGEREF _Toc197006499 \h </w:instrText>
          </w:r>
          <w:r>
            <w:fldChar w:fldCharType="separate"/>
          </w:r>
          <w:r>
            <w:t>8</w:t>
          </w:r>
          <w:r>
            <w:fldChar w:fldCharType="end"/>
          </w:r>
          <w:r>
            <w:fldChar w:fldCharType="end"/>
          </w:r>
        </w:p>
        <w:p w14:paraId="7957424E">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"_Toc197006500" </w:instrText>
          </w:r>
          <w:r>
            <w:fldChar w:fldCharType="separate"/>
          </w:r>
          <w:r>
            <w:rPr>
              <w:rStyle w:val="11"/>
              <w:rFonts w:eastAsia="Times New Roman"/>
              <w:lang w:val="en-IN" w:eastAsia="en-IN"/>
            </w:rPr>
            <w:t>KPIs and Evaluation Plan</w:t>
          </w:r>
          <w:r>
            <w:tab/>
          </w:r>
          <w:r>
            <w:fldChar w:fldCharType="begin"/>
          </w:r>
          <w:r>
            <w:instrText xml:space="preserve"> PAGEREF _Toc197006500 \h </w:instrText>
          </w:r>
          <w:r>
            <w:fldChar w:fldCharType="separate"/>
          </w:r>
          <w:r>
            <w:t>9</w:t>
          </w:r>
          <w:r>
            <w:fldChar w:fldCharType="end"/>
          </w:r>
          <w:r>
            <w:fldChar w:fldCharType="end"/>
          </w:r>
        </w:p>
        <w:p w14:paraId="2397ADC3">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"_Toc197006501" </w:instrText>
          </w:r>
          <w:r>
            <w:fldChar w:fldCharType="separate"/>
          </w:r>
          <w:r>
            <w:rPr>
              <w:rStyle w:val="11"/>
            </w:rPr>
            <w:t>Conclusion</w:t>
          </w:r>
          <w:r>
            <w:tab/>
          </w:r>
          <w:r>
            <w:fldChar w:fldCharType="begin"/>
          </w:r>
          <w:r>
            <w:instrText xml:space="preserve"> PAGEREF _Toc197006501 \h </w:instrText>
          </w:r>
          <w:r>
            <w:fldChar w:fldCharType="separate"/>
          </w:r>
          <w:r>
            <w:t>9</w:t>
          </w:r>
          <w:r>
            <w:fldChar w:fldCharType="end"/>
          </w:r>
          <w:r>
            <w:fldChar w:fldCharType="end"/>
          </w:r>
        </w:p>
        <w:p w14:paraId="0CF1DC66">
          <w:pPr>
            <w:pStyle w:val="15"/>
            <w:tabs>
              <w:tab w:val="right" w:leader="dot" w:pos="9016"/>
            </w:tabs>
            <w:rPr>
              <w:rFonts w:asciiTheme="minorHAnsi" w:hAnsiTheme="minorHAnsi" w:eastAsiaTheme="minorEastAsia"/>
              <w:szCs w:val="24"/>
              <w:lang w:val="en-IN" w:eastAsia="en-IN"/>
            </w:rPr>
          </w:pPr>
          <w:r>
            <w:fldChar w:fldCharType="begin"/>
          </w:r>
          <w:r>
            <w:instrText xml:space="preserve"> HYPERLINK \l "_Toc197006502" </w:instrText>
          </w:r>
          <w:r>
            <w:fldChar w:fldCharType="separate"/>
          </w:r>
          <w:r>
            <w:rPr>
              <w:rStyle w:val="11"/>
            </w:rPr>
            <w:t>References</w:t>
          </w:r>
          <w:r>
            <w:tab/>
          </w:r>
          <w:r>
            <w:fldChar w:fldCharType="begin"/>
          </w:r>
          <w:r>
            <w:instrText xml:space="preserve"> PAGEREF _Toc197006502 \h </w:instrText>
          </w:r>
          <w:r>
            <w:fldChar w:fldCharType="separate"/>
          </w:r>
          <w:r>
            <w:t>11</w:t>
          </w:r>
          <w:r>
            <w:fldChar w:fldCharType="end"/>
          </w:r>
          <w:r>
            <w:fldChar w:fldCharType="end"/>
          </w:r>
        </w:p>
        <w:p w14:paraId="1744B1B5">
          <w:r>
            <w:rPr>
              <w:b/>
              <w:bCs/>
            </w:rPr>
            <w:fldChar w:fldCharType="end"/>
          </w:r>
        </w:p>
      </w:sdtContent>
    </w:sdt>
    <w:p w14:paraId="1B41F31A">
      <w:pPr>
        <w:rPr>
          <w:lang w:eastAsia="en-IN"/>
        </w:rPr>
      </w:pPr>
    </w:p>
    <w:p w14:paraId="14FCC6BC">
      <w:pPr>
        <w:pStyle w:val="2"/>
        <w:jc w:val="center"/>
        <w:rPr>
          <w:lang w:eastAsia="en-IN"/>
        </w:rPr>
      </w:pPr>
      <w:bookmarkStart w:id="13" w:name="_Toc195535076"/>
      <w:r>
        <w:rPr>
          <w:lang w:eastAsia="en-IN"/>
        </w:rPr>
        <w:br w:type="page"/>
      </w:r>
      <w:bookmarkStart w:id="14" w:name="_Toc195543963"/>
    </w:p>
    <w:bookmarkEnd w:id="14"/>
    <w:p w14:paraId="40E6C41E">
      <w:pPr>
        <w:pStyle w:val="2"/>
        <w:jc w:val="center"/>
        <w:rPr>
          <w:lang w:eastAsia="en-IN"/>
        </w:rPr>
      </w:pPr>
      <w:bookmarkStart w:id="15" w:name="_Toc197006488"/>
      <w:r>
        <w:rPr>
          <w:lang w:eastAsia="en-IN"/>
        </w:rPr>
        <w:t>Introduction</w:t>
      </w:r>
      <w:bookmarkEnd w:id="15"/>
    </w:p>
    <w:p w14:paraId="1D609052">
      <w:pPr>
        <w:ind w:firstLine="720"/>
        <w:rPr>
          <w:lang w:eastAsia="en-IN"/>
        </w:rPr>
      </w:pPr>
      <w:r>
        <w:rPr>
          <w:lang w:eastAsia="en-IN"/>
        </w:rPr>
        <w:t>People today seek health-related vacations as wellness and detox tourism expand because they want to be healthier while travelling. Wellness travel programs support good health through combined practices of healthy eating, stress relief, and physical exercise. Body detoxification tourism works through specific diet and cleansing methods to get rid of toxins (Sylchuk et al., 2023).</w:t>
      </w:r>
    </w:p>
    <w:p w14:paraId="74F0CED4">
      <w:pPr>
        <w:ind w:firstLine="720"/>
        <w:rPr>
          <w:lang w:eastAsia="en-IN"/>
        </w:rPr>
      </w:pPr>
      <w:r>
        <w:rPr>
          <w:lang w:eastAsia="en-IN"/>
        </w:rPr>
        <w:t>People who prioritize wellness in their hospitality experiences need nutrition information tailored to their cultural background to build better relationships and trust. Communication tools that help people from different countries learn about food benefits have become crucial for tourism businesses to attract customers (Blahopoluchna et al., 2022).</w:t>
      </w:r>
    </w:p>
    <w:p w14:paraId="0CEEF5D9">
      <w:pPr>
        <w:ind w:firstLine="720"/>
        <w:rPr>
          <w:lang w:eastAsia="en-IN"/>
        </w:rPr>
      </w:pPr>
      <w:r>
        <w:rPr>
          <w:lang w:eastAsia="en-IN"/>
        </w:rPr>
        <w:t>This proposal creates a communication strategy to launch a resort's wellness tourism package. The plan creates a wellness diet education package with scientific food recommendations and 7-day plans, together with performance indicators to monitor guest participation results. Every part of our approach follows cross-cultural design rules so guests across all backgrounds can use our services.</w:t>
      </w:r>
    </w:p>
    <w:p w14:paraId="3352AF99">
      <w:pPr>
        <w:pStyle w:val="2"/>
        <w:jc w:val="center"/>
        <w:rPr>
          <w:rFonts w:eastAsia="Times New Roman"/>
          <w:lang w:eastAsia="en-IN"/>
        </w:rPr>
      </w:pPr>
      <w:bookmarkStart w:id="16" w:name="_Toc197006489"/>
      <w:r>
        <w:rPr>
          <w:rFonts w:eastAsia="Times New Roman"/>
          <w:lang w:eastAsia="en-IN"/>
        </w:rPr>
        <w:t>Campaign Objectives and Target Audience</w:t>
      </w:r>
      <w:bookmarkEnd w:id="16"/>
    </w:p>
    <w:p w14:paraId="2448C638">
      <w:pPr>
        <w:ind w:firstLine="720"/>
        <w:rPr>
          <w:lang w:eastAsia="en-IN"/>
        </w:rPr>
      </w:pPr>
      <w:r>
        <w:rPr>
          <w:lang w:eastAsia="en-IN"/>
        </w:rPr>
        <w:t>This wellness nutrition communication campaign helps international resort guests, primarily from health-conscious Berlin, better understand scientific nutrition to improve their health and wellness. The campaign works to improve guest trust while placing guests in detox programs and teaching them about healthy nutrition. It uses guides designed to suit local needs and easy-to-understand materials.</w:t>
      </w:r>
    </w:p>
    <w:p w14:paraId="09510442">
      <w:pPr>
        <w:ind w:firstLine="720"/>
        <w:rPr>
          <w:lang w:eastAsia="en-IN"/>
        </w:rPr>
      </w:pPr>
      <w:r>
        <w:rPr>
          <w:lang w:eastAsia="en-IN"/>
        </w:rPr>
        <w:t>The global wellness tourism market now offers complete well-being services that care for the physical self and provide emotional and mental support while exploring different locations (Sousa et al., 2024). Many tourists from Europe now visit to have educational learning sessions while relaxing and getting individual wellness services. The research shows that wellness travellers are mostly educated middle-aged women working in Germany who fit Berlin's organic, eco-conscious environment and community (Quintela et al., 2023).</w:t>
      </w:r>
    </w:p>
    <w:p w14:paraId="1D51FC87">
      <w:pPr>
        <w:ind w:firstLine="720"/>
        <w:jc w:val="center"/>
        <w:rPr>
          <w:lang w:eastAsia="en-IN"/>
        </w:rPr>
      </w:pPr>
      <w:r>
        <w:rPr>
          <w:lang w:eastAsia="en-IN"/>
        </w:rPr>
        <w:drawing>
          <wp:inline distT="0" distB="0" distL="0" distR="0">
            <wp:extent cx="3536950" cy="1783080"/>
            <wp:effectExtent l="0" t="0" r="6350" b="7620"/>
            <wp:docPr id="1647238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38922" name="Picture 1"/>
                    <pic:cNvPicPr>
                      <a:picLocks noChangeAspect="1"/>
                    </pic:cNvPicPr>
                  </pic:nvPicPr>
                  <pic:blipFill>
                    <a:blip r:embed="rId8"/>
                    <a:stretch>
                      <a:fillRect/>
                    </a:stretch>
                  </pic:blipFill>
                  <pic:spPr>
                    <a:xfrm>
                      <a:off x="0" y="0"/>
                      <a:ext cx="3549116" cy="1789499"/>
                    </a:xfrm>
                    <a:prstGeom prst="rect">
                      <a:avLst/>
                    </a:prstGeom>
                  </pic:spPr>
                </pic:pic>
              </a:graphicData>
            </a:graphic>
          </wp:inline>
        </w:drawing>
      </w:r>
    </w:p>
    <w:p w14:paraId="646A4562">
      <w:pPr>
        <w:ind w:firstLine="720"/>
        <w:jc w:val="center"/>
        <w:rPr>
          <w:i/>
          <w:iCs/>
          <w:lang w:eastAsia="en-IN"/>
        </w:rPr>
      </w:pPr>
      <w:r>
        <w:rPr>
          <w:i/>
          <w:iCs/>
          <w:lang w:eastAsia="en-IN"/>
        </w:rPr>
        <w:t>Figure 1: Global Wellness Tourism Market</w:t>
      </w:r>
    </w:p>
    <w:p w14:paraId="132D5EE8">
      <w:pPr>
        <w:ind w:firstLine="720"/>
        <w:jc w:val="center"/>
        <w:rPr>
          <w:i/>
          <w:iCs/>
          <w:lang w:eastAsia="en-IN"/>
        </w:rPr>
      </w:pPr>
      <w:r>
        <w:rPr>
          <w:i/>
          <w:iCs/>
          <w:lang w:eastAsia="en-IN"/>
        </w:rPr>
        <w:t>Source: (Market.us, 2023)</w:t>
      </w:r>
    </w:p>
    <w:p w14:paraId="6C74EE78">
      <w:pPr>
        <w:ind w:firstLine="720"/>
        <w:rPr>
          <w:lang w:eastAsia="en-IN"/>
        </w:rPr>
      </w:pPr>
      <w:r>
        <w:rPr>
          <w:lang w:eastAsia="en-IN"/>
        </w:rPr>
        <w:t>Health literacy and cultural understanding determine the best way to talk to visitors from these markets. German guests possess good food knowledge and depend on clear information about where their food comes from and what nutrients it contains. International guests often use different knowledge when it comes to scientific food terms and eating systems. The promotional materials will use multiple languages while adding universal visual signs and simple infographics to make information understandable in any cultural setting.</w:t>
      </w:r>
    </w:p>
    <w:p w14:paraId="1B111DFF">
      <w:pPr>
        <w:ind w:firstLine="720"/>
        <w:rPr>
          <w:lang w:eastAsia="en-IN"/>
        </w:rPr>
      </w:pPr>
      <w:r>
        <w:rPr>
          <w:lang w:eastAsia="en-IN"/>
        </w:rPr>
        <w:t>This segment presents our campaign's communication purpose along with a complete description of our target audience to establish proper nutritional messages and toolkit items. We will achieve greater guest satisfaction when we combine educational materials with our understanding of the market, as well as communication theories.</w:t>
      </w:r>
    </w:p>
    <w:p w14:paraId="694C51F8">
      <w:pPr>
        <w:pStyle w:val="2"/>
        <w:jc w:val="center"/>
        <w:rPr>
          <w:rFonts w:eastAsia="Times New Roman"/>
          <w:lang w:val="en-IN" w:eastAsia="en-IN"/>
        </w:rPr>
      </w:pPr>
      <w:bookmarkStart w:id="17" w:name="_Toc197006490"/>
      <w:r>
        <w:rPr>
          <w:rFonts w:eastAsia="Times New Roman"/>
          <w:lang w:val="en-IN" w:eastAsia="en-IN"/>
        </w:rPr>
        <w:t>Nutrition Education Toolkit Design</w:t>
      </w:r>
      <w:bookmarkEnd w:id="17"/>
    </w:p>
    <w:p w14:paraId="4774723F">
      <w:pPr>
        <w:ind w:firstLine="720"/>
        <w:rPr>
          <w:lang w:val="en-IN" w:eastAsia="en-IN"/>
        </w:rPr>
      </w:pPr>
      <w:r>
        <w:rPr>
          <w:lang w:val="en-IN" w:eastAsia="en-IN"/>
        </w:rPr>
        <w:t>An international wellness resort nutrition toolkit must help readers understand the information clearly while also respecting different cultures using proven scientific methods and triggering active interest. This section explains our four main designs, which are big poster displays, digital media, script menu labels, and cultural communication strategies. The tools convey healthy eating advice to both highly knowledgeable and internationally diverse guests, such as those from Berlin, Germany.</w:t>
      </w:r>
    </w:p>
    <w:p w14:paraId="61341C7C">
      <w:pPr>
        <w:pStyle w:val="3"/>
        <w:rPr>
          <w:lang w:val="en-IN" w:eastAsia="en-IN"/>
        </w:rPr>
      </w:pPr>
      <w:bookmarkStart w:id="18" w:name="_Toc197006491"/>
      <w:r>
        <w:rPr>
          <w:lang w:val="en-IN" w:eastAsia="en-IN"/>
        </w:rPr>
        <w:t>Posters and Slides: Visual Messaging and Universal Design</w:t>
      </w:r>
      <w:bookmarkEnd w:id="18"/>
    </w:p>
    <w:p w14:paraId="27359B0A">
      <w:pPr>
        <w:ind w:firstLine="720"/>
        <w:rPr>
          <w:lang w:val="en-IN" w:eastAsia="en-IN"/>
        </w:rPr>
      </w:pPr>
      <w:r>
        <w:rPr>
          <w:lang w:val="en-IN" w:eastAsia="en-IN"/>
        </w:rPr>
        <w:t>The health materials must display these messages through prioritized images and easy words while presenting key nutritional topics. The use of easy-to-understand icons and short headlines, along with visual photos, helps multicultural visitors understand health messages even if they depend on translation. Text and relevant images together create better learning results for international visitors, per studies in multicultural tourism by Messner (2024).</w:t>
      </w:r>
    </w:p>
    <w:p w14:paraId="0D2E93E4">
      <w:pPr>
        <w:ind w:firstLine="720"/>
        <w:rPr>
          <w:lang w:val="en-IN" w:eastAsia="en-IN"/>
        </w:rPr>
      </w:pPr>
      <w:r>
        <w:rPr>
          <w:lang w:val="en-IN" w:eastAsia="en-IN"/>
        </w:rPr>
        <w:t>The design needs to use health symbols that work everywhere, such as a water drop for hydration and a green leaf for plant-based items, with safe images that do not use cultural elements. German visitors in Europe tend to trust visual presentations that use scientific symbols when displaying minimal aesthetics (Juber et al., 2025).</w:t>
      </w:r>
    </w:p>
    <w:p w14:paraId="578AC5C2">
      <w:pPr>
        <w:rPr>
          <w:lang w:val="en-IN" w:eastAsia="en-IN"/>
        </w:rPr>
      </w:pPr>
      <w:r>
        <w:rPr>
          <w:lang w:val="en-IN" w:eastAsia="en-IN"/>
        </w:rPr>
        <w:t>Key poster topics include:</w:t>
      </w:r>
    </w:p>
    <w:p w14:paraId="600018B9">
      <w:pPr>
        <w:pStyle w:val="23"/>
        <w:numPr>
          <w:ilvl w:val="0"/>
          <w:numId w:val="1"/>
        </w:numPr>
        <w:rPr>
          <w:lang w:val="en-IN" w:eastAsia="en-IN"/>
        </w:rPr>
      </w:pPr>
      <w:r>
        <w:rPr>
          <w:lang w:val="en-IN" w:eastAsia="en-IN"/>
        </w:rPr>
        <w:t>The poster “Start Your Day Hydrated” features pictures of infused water alongside its health advantages.</w:t>
      </w:r>
    </w:p>
    <w:p w14:paraId="581597C9">
      <w:pPr>
        <w:pStyle w:val="23"/>
        <w:numPr>
          <w:ilvl w:val="0"/>
          <w:numId w:val="1"/>
        </w:numPr>
        <w:rPr>
          <w:lang w:val="en-IN" w:eastAsia="en-IN"/>
        </w:rPr>
      </w:pPr>
      <w:r>
        <w:rPr>
          <w:lang w:val="en-IN" w:eastAsia="en-IN"/>
        </w:rPr>
        <w:t>“The Power of Plants” - Antioxidant-rich meals like berries, leafy greens</w:t>
      </w:r>
    </w:p>
    <w:p w14:paraId="1C44F964">
      <w:pPr>
        <w:pStyle w:val="23"/>
        <w:numPr>
          <w:ilvl w:val="0"/>
          <w:numId w:val="1"/>
        </w:numPr>
        <w:rPr>
          <w:lang w:val="en-IN" w:eastAsia="en-IN"/>
        </w:rPr>
      </w:pPr>
      <w:r>
        <w:rPr>
          <w:lang w:val="en-IN" w:eastAsia="en-IN"/>
        </w:rPr>
        <w:t>“Fermented Foods &amp; Gut Health” - Gut health and fermented foods showing sauerkraut and yogurt plus kefir as probiotic options</w:t>
      </w:r>
    </w:p>
    <w:p w14:paraId="5B16E460">
      <w:pPr>
        <w:pStyle w:val="3"/>
      </w:pPr>
      <w:bookmarkStart w:id="19" w:name="_Toc197006492"/>
      <w:r>
        <w:t>Onboarding Script Summary: Tone and Key Messages</w:t>
      </w:r>
      <w:bookmarkEnd w:id="19"/>
    </w:p>
    <w:p w14:paraId="08319438">
      <w:pPr>
        <w:ind w:firstLine="720"/>
        <w:rPr>
          <w:lang w:val="en-IN" w:eastAsia="en-IN"/>
        </w:rPr>
      </w:pPr>
      <w:r>
        <w:rPr>
          <w:lang w:val="en-IN" w:eastAsia="en-IN"/>
        </w:rPr>
        <w:t>At the beginning of their stay, guests receive a video or team member introduction that presents the detox program and shows how to use their toolkit items. The overall approach needs to inspire and support German guests who expect straightforward information.</w:t>
      </w:r>
    </w:p>
    <w:p w14:paraId="1B5AEDBA">
      <w:pPr>
        <w:rPr>
          <w:lang w:val="en-IN" w:eastAsia="en-IN"/>
        </w:rPr>
      </w:pPr>
      <w:r>
        <w:rPr>
          <w:lang w:val="en-IN" w:eastAsia="en-IN"/>
        </w:rPr>
        <w:t>Suggested sequence:</w:t>
      </w:r>
    </w:p>
    <w:p w14:paraId="6C4BC1EB">
      <w:pPr>
        <w:pStyle w:val="23"/>
        <w:numPr>
          <w:ilvl w:val="0"/>
          <w:numId w:val="2"/>
        </w:numPr>
        <w:rPr>
          <w:lang w:val="en-IN" w:eastAsia="en-IN"/>
        </w:rPr>
      </w:pPr>
      <w:r>
        <w:rPr>
          <w:lang w:val="en-IN" w:eastAsia="en-IN"/>
        </w:rPr>
        <w:t>Welcome and orientation to the wellness experience</w:t>
      </w:r>
    </w:p>
    <w:p w14:paraId="1524DB78">
      <w:pPr>
        <w:pStyle w:val="23"/>
        <w:numPr>
          <w:ilvl w:val="0"/>
          <w:numId w:val="2"/>
        </w:numPr>
        <w:rPr>
          <w:lang w:val="en-IN" w:eastAsia="en-IN"/>
        </w:rPr>
      </w:pPr>
      <w:r>
        <w:rPr>
          <w:lang w:val="en-IN" w:eastAsia="en-IN"/>
        </w:rPr>
        <w:t>Explanation of the detox program’s goals and dietary foundations (e.g., anti-inflammatory, plant-forward)</w:t>
      </w:r>
    </w:p>
    <w:p w14:paraId="39241AD2">
      <w:pPr>
        <w:pStyle w:val="23"/>
        <w:numPr>
          <w:ilvl w:val="0"/>
          <w:numId w:val="2"/>
        </w:numPr>
        <w:rPr>
          <w:lang w:val="en-IN" w:eastAsia="en-IN"/>
        </w:rPr>
      </w:pPr>
      <w:r>
        <w:rPr>
          <w:lang w:val="en-IN" w:eastAsia="en-IN"/>
        </w:rPr>
        <w:t>We present our toolkit contents as posters and labels with web factsheets accessible through QR codes</w:t>
      </w:r>
    </w:p>
    <w:p w14:paraId="3925CBFF">
      <w:pPr>
        <w:pStyle w:val="23"/>
        <w:numPr>
          <w:ilvl w:val="0"/>
          <w:numId w:val="2"/>
        </w:numPr>
        <w:rPr>
          <w:lang w:val="en-IN" w:eastAsia="en-IN"/>
        </w:rPr>
      </w:pPr>
      <w:r>
        <w:rPr>
          <w:lang w:val="en-IN" w:eastAsia="en-IN"/>
        </w:rPr>
        <w:t>Staff members stand ready to help when guests ask about the program or want personal changes to their programs.</w:t>
      </w:r>
    </w:p>
    <w:p w14:paraId="5942DAEF">
      <w:pPr>
        <w:ind w:firstLine="720"/>
        <w:rPr>
          <w:lang w:val="en-IN" w:eastAsia="en-IN"/>
        </w:rPr>
      </w:pPr>
      <w:r>
        <w:rPr>
          <w:lang w:val="en-IN" w:eastAsia="en-IN"/>
        </w:rPr>
        <w:t>People need to see both evidence from science plus emotional appeal in their interactions. The addition of evidence-supported health messages builds trust strongly when presented through images along with direct, easy-to-follow instructions, as reported by Scott (2023).</w:t>
      </w:r>
    </w:p>
    <w:p w14:paraId="331E04D4">
      <w:pPr>
        <w:pStyle w:val="3"/>
      </w:pPr>
      <w:bookmarkStart w:id="20" w:name="_Toc197006493"/>
      <w:r>
        <w:t>Food Labels &amp; Daily Nutritional Fact Sheets</w:t>
      </w:r>
      <w:bookmarkEnd w:id="20"/>
    </w:p>
    <w:p w14:paraId="3949687E">
      <w:pPr>
        <w:ind w:firstLine="720"/>
      </w:pPr>
      <w:r>
        <w:t>Consumer understanding of nutrition details during buying actions changes their food decisions. Front-of-pack labels that include traffic lights, nutrient icons, or detailed information from QR codes become more understandable to all guests (Roberto et al., 2021).</w:t>
      </w:r>
    </w:p>
    <w:p w14:paraId="7C1B9EBE">
      <w:pPr>
        <w:ind w:firstLine="720"/>
      </w:pPr>
      <w:r>
        <w:t>Users can download food facts every day through printed materials or app access. They get this information in simple formats that include:</w:t>
      </w:r>
    </w:p>
    <w:p w14:paraId="59F2B47C">
      <w:pPr>
        <w:pStyle w:val="23"/>
        <w:numPr>
          <w:ilvl w:val="0"/>
          <w:numId w:val="3"/>
        </w:numPr>
      </w:pPr>
      <w:r>
        <w:t>Macronutrient breakdown (simple pie charts)</w:t>
      </w:r>
    </w:p>
    <w:p w14:paraId="3ED64CCB">
      <w:pPr>
        <w:pStyle w:val="23"/>
        <w:numPr>
          <w:ilvl w:val="0"/>
          <w:numId w:val="3"/>
        </w:numPr>
      </w:pPr>
      <w:r>
        <w:t>The product supports digestive system wellness.</w:t>
      </w:r>
    </w:p>
    <w:p w14:paraId="286E1289">
      <w:pPr>
        <w:pStyle w:val="23"/>
        <w:numPr>
          <w:ilvl w:val="0"/>
          <w:numId w:val="3"/>
        </w:numPr>
      </w:pPr>
      <w:r>
        <w:t>The system shows the right quantity using plates and hand-sized images as guidance.</w:t>
      </w:r>
    </w:p>
    <w:p w14:paraId="0B9BD065">
      <w:pPr>
        <w:pStyle w:val="23"/>
        <w:numPr>
          <w:ilvl w:val="0"/>
          <w:numId w:val="3"/>
        </w:numPr>
      </w:pPr>
      <w:r>
        <w:t>WHO-aligned nutrient density scoring</w:t>
      </w:r>
    </w:p>
    <w:p w14:paraId="5A526D6B">
      <w:pPr>
        <w:ind w:firstLine="720"/>
      </w:pPr>
      <w:r>
        <w:t>Guests from Berlin want to know where their food comes from and support local businesses, so add these details and sustainability labels to the menu (Ivashura et al., 2021).</w:t>
      </w:r>
    </w:p>
    <w:p w14:paraId="562F091E">
      <w:pPr>
        <w:pStyle w:val="3"/>
      </w:pPr>
      <w:bookmarkStart w:id="21" w:name="_Toc197006494"/>
      <w:r>
        <w:t>Cross-Cultural Communication Techniques</w:t>
      </w:r>
      <w:bookmarkEnd w:id="21"/>
    </w:p>
    <w:p w14:paraId="1EA63282">
      <w:pPr>
        <w:ind w:firstLine="720"/>
      </w:pPr>
      <w:r>
        <w:t>The resort needs to communicate smoothly with all its international guests to prevent mistakes and create a welcoming experience for everyone. Key techniques include:</w:t>
      </w:r>
    </w:p>
    <w:p w14:paraId="4FB7702E">
      <w:pPr>
        <w:pStyle w:val="23"/>
        <w:numPr>
          <w:ilvl w:val="0"/>
          <w:numId w:val="4"/>
        </w:numPr>
      </w:pPr>
      <w:r>
        <w:rPr>
          <w:rStyle w:val="13"/>
        </w:rPr>
        <w:t>Simple Language</w:t>
      </w:r>
      <w:r>
        <w:t>: Use "phytonutrients" only when defining what they mean.</w:t>
      </w:r>
    </w:p>
    <w:p w14:paraId="75F954B7">
      <w:pPr>
        <w:pStyle w:val="23"/>
        <w:numPr>
          <w:ilvl w:val="0"/>
          <w:numId w:val="4"/>
        </w:numPr>
      </w:pPr>
      <w:r>
        <w:rPr>
          <w:rStyle w:val="13"/>
        </w:rPr>
        <w:t>Icons and Infographics</w:t>
      </w:r>
      <w:r>
        <w:t>: Clickable graphics take the place of difficult words.</w:t>
      </w:r>
    </w:p>
    <w:p w14:paraId="59F86C0F">
      <w:pPr>
        <w:pStyle w:val="23"/>
        <w:numPr>
          <w:ilvl w:val="0"/>
          <w:numId w:val="4"/>
        </w:numPr>
      </w:pPr>
      <w:r>
        <w:rPr>
          <w:rStyle w:val="13"/>
        </w:rPr>
        <w:t>Colour and Image Sensitivity</w:t>
      </w:r>
      <w:r>
        <w:t>: Use neutral colours and images without cultural associations in different regions.</w:t>
      </w:r>
    </w:p>
    <w:p w14:paraId="4FECE8B5">
      <w:pPr>
        <w:pStyle w:val="23"/>
        <w:numPr>
          <w:ilvl w:val="0"/>
          <w:numId w:val="4"/>
        </w:numPr>
      </w:pPr>
      <w:r>
        <w:rPr>
          <w:b/>
          <w:bCs/>
        </w:rPr>
        <w:t>Language Versions:</w:t>
      </w:r>
      <w:r>
        <w:t xml:space="preserve"> Provide German, English, French, and potentially pictorial “no text” versions.</w:t>
      </w:r>
    </w:p>
    <w:p w14:paraId="4EA83634">
      <w:pPr>
        <w:ind w:firstLine="720"/>
      </w:pPr>
      <w:r>
        <w:t>Studies show that messages involving communication need to match European audience expectations of both language and visual elements. According to Jack et al. (2020), German visitors choose factual information, but other guests like to view emotional stories.</w:t>
      </w:r>
    </w:p>
    <w:p w14:paraId="3EF665D6">
      <w:pPr>
        <w:ind w:firstLine="720"/>
      </w:pPr>
      <w:r>
        <w:t>Teaching staff to talk using inclusive terms and understand food preferences makes communication work better between people.</w:t>
      </w:r>
    </w:p>
    <w:p w14:paraId="599623B4">
      <w:pPr>
        <w:ind w:firstLine="720"/>
      </w:pPr>
      <w:r>
        <w:t>Through its comprehensive content and user-friendly layout, the toolkit serves everyone who seeks wellness knowledge while remaining appropriate for European travellers from Berlin.</w:t>
      </w:r>
    </w:p>
    <w:p w14:paraId="28670884">
      <w:pPr>
        <w:pStyle w:val="2"/>
        <w:jc w:val="center"/>
        <w:rPr>
          <w:rFonts w:eastAsia="Times New Roman"/>
          <w:lang w:val="en-IN" w:eastAsia="en-IN"/>
        </w:rPr>
      </w:pPr>
      <w:bookmarkStart w:id="22" w:name="_Toc197006495"/>
      <w:r>
        <w:rPr>
          <w:rFonts w:eastAsia="Times New Roman"/>
          <w:lang w:val="en-IN" w:eastAsia="en-IN"/>
        </w:rPr>
        <w:t>7-Day Wellness Diet Plan</w:t>
      </w:r>
      <w:bookmarkEnd w:id="22"/>
    </w:p>
    <w:p w14:paraId="668D28CB">
      <w:pPr>
        <w:pStyle w:val="3"/>
      </w:pPr>
      <w:bookmarkStart w:id="23" w:name="_Toc197006496"/>
      <w:r>
        <w:t>Philosophy and Scientific Basis</w:t>
      </w:r>
      <w:bookmarkEnd w:id="23"/>
    </w:p>
    <w:p w14:paraId="0EBEEBD3">
      <w:pPr>
        <w:ind w:firstLine="720"/>
      </w:pPr>
      <w:r>
        <w:t>This 7-day wellness diet plan relies on three core elements, which include water consumption, anti-inflammatory eating habits, and even protein-carbohydrate-fat ratios. Drinking enough water boosts detox tasks and makes you feel well in your body throughout your wellness trip. The diet includes anti-inflammatory foods from red berries to leafy greens and nuts, plus fatty fish because these items fight inflammation while supporting gut health and boosting immune protection (Tkach et al., 2024).</w:t>
      </w:r>
    </w:p>
    <w:p w14:paraId="6ABFF087">
      <w:pPr>
        <w:ind w:firstLine="720"/>
      </w:pPr>
      <w:r>
        <w:t>When you maintain even nutritional ratios of calories from different food types, you produce steady energy while protecting your brain and physical performance, plus keeping your blood sugar in control. The essential elements of the diet consist of using quinoa and sweet potatoes as complex carbohydrates paired with lean proteins from legumes and tofu, together with healthy fats from olive oil and avocado. Eating plans that include fibre, polyunsaturated fats, and antioxidants help both the gut microbiome and reduce body-wide swelling according to research by Melzer et al. (2021).</w:t>
      </w:r>
    </w:p>
    <w:p w14:paraId="791EC972">
      <w:pPr>
        <w:ind w:firstLine="720"/>
      </w:pPr>
      <w:r>
        <w:t>People from Berlin who visit wellness centres embrace this diet plan because plant-based nutrition and health benefits match local eating patterns and contemporary preventive healthcare beliefs (Günşen &amp; Atan, 2020).</w:t>
      </w:r>
    </w:p>
    <w:p w14:paraId="341D6F77">
      <w:pPr>
        <w:pStyle w:val="3"/>
      </w:pPr>
      <w:bookmarkStart w:id="24" w:name="_Toc197006497"/>
      <w:r>
        <w:t>Sample Meals (Days 1–2 Detailed)</w:t>
      </w:r>
      <w:bookmarkEnd w:id="24"/>
    </w:p>
    <w:p w14:paraId="6849E49F">
      <w:pPr>
        <w:rPr>
          <w:b/>
          <w:bCs/>
          <w:i/>
          <w:iCs/>
        </w:rPr>
      </w:pPr>
      <w:r>
        <w:rPr>
          <w:b/>
          <w:bCs/>
          <w:i/>
          <w:iCs/>
        </w:rPr>
        <w:t>Day 1: Anti-Inflammatory Kickoff</w:t>
      </w:r>
    </w:p>
    <w:p w14:paraId="76CCE7F9">
      <w:pPr>
        <w:pStyle w:val="23"/>
        <w:numPr>
          <w:ilvl w:val="0"/>
          <w:numId w:val="5"/>
        </w:numPr>
      </w:pPr>
      <w:r>
        <w:rPr>
          <w:b/>
          <w:bCs/>
        </w:rPr>
        <w:t>Breakfast:</w:t>
      </w:r>
      <w:r>
        <w:t xml:space="preserve"> Warm lemon water, overnight oats with chia seeds, blueberries, walnuts</w:t>
      </w:r>
    </w:p>
    <w:p w14:paraId="59EA9D74">
      <w:pPr>
        <w:pStyle w:val="23"/>
        <w:numPr>
          <w:ilvl w:val="0"/>
          <w:numId w:val="5"/>
        </w:numPr>
      </w:pPr>
      <w:r>
        <w:rPr>
          <w:b/>
          <w:bCs/>
        </w:rPr>
        <w:t>Lunch:</w:t>
      </w:r>
      <w:r>
        <w:t xml:space="preserve"> Our menu includes grilled salmon topped with olive oil dressing alongside steamed spinach and quinoa tabbouleh.</w:t>
      </w:r>
    </w:p>
    <w:p w14:paraId="63814931">
      <w:pPr>
        <w:pStyle w:val="23"/>
        <w:numPr>
          <w:ilvl w:val="0"/>
          <w:numId w:val="5"/>
        </w:numPr>
      </w:pPr>
      <w:r>
        <w:rPr>
          <w:b/>
          <w:bCs/>
        </w:rPr>
        <w:t>Snack:</w:t>
      </w:r>
      <w:r>
        <w:t xml:space="preserve"> Green tea, cucumber-avocado hummus on rice cakes</w:t>
      </w:r>
    </w:p>
    <w:p w14:paraId="7C9B5290">
      <w:pPr>
        <w:pStyle w:val="23"/>
        <w:numPr>
          <w:ilvl w:val="0"/>
          <w:numId w:val="5"/>
        </w:numPr>
      </w:pPr>
      <w:r>
        <w:rPr>
          <w:b/>
          <w:bCs/>
        </w:rPr>
        <w:t>Dinner:</w:t>
      </w:r>
      <w:r>
        <w:t xml:space="preserve"> Dinner consists of lentil soup cooked with mixed greens and tahini dressing served beside roasted sweet potatoes.</w:t>
      </w:r>
    </w:p>
    <w:p w14:paraId="48E936E8">
      <w:pPr>
        <w:pStyle w:val="23"/>
        <w:numPr>
          <w:ilvl w:val="0"/>
          <w:numId w:val="5"/>
        </w:numPr>
      </w:pPr>
      <w:r>
        <w:rPr>
          <w:b/>
          <w:bCs/>
        </w:rPr>
        <w:t>Hydration goal:</w:t>
      </w:r>
      <w:r>
        <w:t xml:space="preserve"> To stay hydrated the person needs to drink 2.5 litres of water infused with lemon cucumber and mint.</w:t>
      </w:r>
    </w:p>
    <w:p w14:paraId="4207CBBA">
      <w:pPr>
        <w:rPr>
          <w:b/>
          <w:bCs/>
          <w:i/>
          <w:iCs/>
        </w:rPr>
      </w:pPr>
      <w:r>
        <w:rPr>
          <w:b/>
          <w:bCs/>
          <w:i/>
          <w:iCs/>
        </w:rPr>
        <w:t>Day 2: Gut Health Focus</w:t>
      </w:r>
    </w:p>
    <w:p w14:paraId="140A526C">
      <w:pPr>
        <w:pStyle w:val="23"/>
        <w:numPr>
          <w:ilvl w:val="0"/>
          <w:numId w:val="6"/>
        </w:numPr>
      </w:pPr>
      <w:r>
        <w:rPr>
          <w:b/>
          <w:bCs/>
        </w:rPr>
        <w:t>Breakfast:</w:t>
      </w:r>
      <w:r>
        <w:t xml:space="preserve"> Starting the day with herbal tea and a nutritious muesli mix that includes fermented products</w:t>
      </w:r>
    </w:p>
    <w:p w14:paraId="1F560CEC">
      <w:pPr>
        <w:pStyle w:val="23"/>
        <w:numPr>
          <w:ilvl w:val="0"/>
          <w:numId w:val="6"/>
        </w:numPr>
      </w:pPr>
      <w:r>
        <w:rPr>
          <w:b/>
          <w:bCs/>
        </w:rPr>
        <w:t>Lunch:</w:t>
      </w:r>
      <w:r>
        <w:t xml:space="preserve"> Miso-glazed tofu, buckwheat noodles, stir-fried vegetables (broccoli, bell peppers)</w:t>
      </w:r>
    </w:p>
    <w:p w14:paraId="433A7DEB">
      <w:pPr>
        <w:pStyle w:val="23"/>
        <w:numPr>
          <w:ilvl w:val="0"/>
          <w:numId w:val="6"/>
        </w:numPr>
      </w:pPr>
      <w:r>
        <w:rPr>
          <w:b/>
          <w:bCs/>
        </w:rPr>
        <w:t>Snack:</w:t>
      </w:r>
      <w:r>
        <w:t xml:space="preserve"> Includes turmeric almond latte and apple slices dipped in almond butter</w:t>
      </w:r>
    </w:p>
    <w:p w14:paraId="59F567E4">
      <w:pPr>
        <w:pStyle w:val="23"/>
        <w:numPr>
          <w:ilvl w:val="0"/>
          <w:numId w:val="6"/>
        </w:numPr>
      </w:pPr>
      <w:r>
        <w:rPr>
          <w:b/>
          <w:bCs/>
        </w:rPr>
        <w:t>Dinner:</w:t>
      </w:r>
      <w:r>
        <w:t xml:space="preserve"> Baked cod with ginger-lime marinade, wild rice, sautéed kale</w:t>
      </w:r>
    </w:p>
    <w:p w14:paraId="046F0023">
      <w:pPr>
        <w:pStyle w:val="23"/>
        <w:numPr>
          <w:ilvl w:val="0"/>
          <w:numId w:val="6"/>
        </w:numPr>
      </w:pPr>
      <w:r>
        <w:rPr>
          <w:b/>
          <w:bCs/>
        </w:rPr>
        <w:t xml:space="preserve">Hydration Goal: </w:t>
      </w:r>
      <w:r>
        <w:t>2L warm herbal water (fennel or dandelion root)</w:t>
      </w:r>
    </w:p>
    <w:p w14:paraId="3164F4F7">
      <w:pPr>
        <w:pStyle w:val="3"/>
      </w:pPr>
      <w:bookmarkStart w:id="25" w:name="_Toc197006498"/>
      <w:r>
        <w:t>Summary of Days 3–7</w:t>
      </w:r>
      <w:bookmarkEnd w:id="25"/>
    </w:p>
    <w:p w14:paraId="3CA1304D">
      <w:pPr>
        <w:pStyle w:val="23"/>
        <w:numPr>
          <w:ilvl w:val="0"/>
          <w:numId w:val="7"/>
        </w:numPr>
      </w:pPr>
      <w:r>
        <w:rPr>
          <w:b/>
          <w:bCs/>
        </w:rPr>
        <w:t>Day 3:</w:t>
      </w:r>
      <w:r>
        <w:t xml:space="preserve"> Follow Mediterranean cuisine and use tomato, oregano, and chickpeas with olive oil.</w:t>
      </w:r>
    </w:p>
    <w:p w14:paraId="7D0EE05A">
      <w:pPr>
        <w:pStyle w:val="23"/>
        <w:numPr>
          <w:ilvl w:val="0"/>
          <w:numId w:val="7"/>
        </w:numPr>
      </w:pPr>
      <w:r>
        <w:rPr>
          <w:b/>
          <w:bCs/>
        </w:rPr>
        <w:t>Day 4:</w:t>
      </w:r>
      <w:r>
        <w:t xml:space="preserve"> Consume foods that deliver fibre such as oatmeal, beans, artichokes, and ground flaxseeds.</w:t>
      </w:r>
    </w:p>
    <w:p w14:paraId="2CEB44D2">
      <w:pPr>
        <w:pStyle w:val="23"/>
        <w:numPr>
          <w:ilvl w:val="0"/>
          <w:numId w:val="7"/>
        </w:numPr>
      </w:pPr>
      <w:r>
        <w:rPr>
          <w:b/>
          <w:bCs/>
        </w:rPr>
        <w:t>Day 5:</w:t>
      </w:r>
      <w:r>
        <w:t xml:space="preserve"> Light detox with soups and smoothies (e.g., spinach-celery-pear smoothie)</w:t>
      </w:r>
    </w:p>
    <w:p w14:paraId="409D0DA7">
      <w:pPr>
        <w:pStyle w:val="23"/>
        <w:numPr>
          <w:ilvl w:val="0"/>
          <w:numId w:val="7"/>
        </w:numPr>
      </w:pPr>
      <w:r>
        <w:rPr>
          <w:b/>
          <w:bCs/>
        </w:rPr>
        <w:t>Day 6:</w:t>
      </w:r>
      <w:r>
        <w:t xml:space="preserve"> Antioxidant boost—berries, red cabbage, turmeric, dark chocolate</w:t>
      </w:r>
    </w:p>
    <w:p w14:paraId="64218C65">
      <w:pPr>
        <w:pStyle w:val="23"/>
        <w:numPr>
          <w:ilvl w:val="0"/>
          <w:numId w:val="7"/>
        </w:numPr>
      </w:pPr>
      <w:r>
        <w:rPr>
          <w:b/>
          <w:bCs/>
        </w:rPr>
        <w:t>Day 7:</w:t>
      </w:r>
      <w:r>
        <w:t xml:space="preserve"> Calming foods for emotional wellness—chamomile tea, pumpkin seeds, magnesium-rich leafy greens</w:t>
      </w:r>
    </w:p>
    <w:p w14:paraId="67BDF7CE">
      <w:pPr>
        <w:ind w:firstLine="720"/>
      </w:pPr>
      <w:r>
        <w:t>Every dish sticks to anti-inflammatory nutrition standards by staying away from added sugars and processed carbohydrates while deleting animal-based meats (Sousa et al., 2023).</w:t>
      </w:r>
    </w:p>
    <w:p w14:paraId="7DD87612">
      <w:pPr>
        <w:pStyle w:val="3"/>
      </w:pPr>
      <w:bookmarkStart w:id="26" w:name="_Toc197006499"/>
      <w:r>
        <w:t>Inclusion Strategy</w:t>
      </w:r>
      <w:bookmarkEnd w:id="26"/>
    </w:p>
    <w:p w14:paraId="6A0E555B">
      <w:r>
        <w:t>The diet plan fits different diets, including vegetarianism, gluten-free lifestyles, and religious preferences.</w:t>
      </w:r>
    </w:p>
    <w:p w14:paraId="295FF966">
      <w:pPr>
        <w:pStyle w:val="23"/>
        <w:numPr>
          <w:ilvl w:val="0"/>
          <w:numId w:val="8"/>
        </w:numPr>
      </w:pPr>
      <w:r>
        <w:t>Every day, our menu features vegetables as meat substitutes, such as vegetables with beans or tempeh and eggs.</w:t>
      </w:r>
    </w:p>
    <w:p w14:paraId="3BF9E806">
      <w:pPr>
        <w:pStyle w:val="23"/>
        <w:numPr>
          <w:ilvl w:val="0"/>
          <w:numId w:val="8"/>
        </w:numPr>
      </w:pPr>
      <w:r>
        <w:t>Our menu uses different gluten-free grains such as quinoa, brown rice, and millet at each stage.</w:t>
      </w:r>
    </w:p>
    <w:p w14:paraId="2916F8F9">
      <w:pPr>
        <w:pStyle w:val="23"/>
        <w:numPr>
          <w:ilvl w:val="0"/>
          <w:numId w:val="8"/>
        </w:numPr>
      </w:pPr>
      <w:r>
        <w:t>Workers can prepare Halal-compliant and kosher meals by using pure ingredients and correct preparation procedures.</w:t>
      </w:r>
    </w:p>
    <w:p w14:paraId="715A3182">
      <w:pPr>
        <w:ind w:firstLine="720"/>
      </w:pPr>
      <w:r>
        <w:t>New hires can create their menu through quick response codes on selection forms that address their dietary requirements and background.</w:t>
      </w:r>
    </w:p>
    <w:p w14:paraId="6DBC0F2F">
      <w:pPr>
        <w:ind w:firstLine="720"/>
      </w:pPr>
      <w:r>
        <w:t>This 7-day menu combines scientific dietary knowledge and meets current knowledge about nutrition for inflammation and immune function while offering international guests food that tastes good.</w:t>
      </w:r>
    </w:p>
    <w:p w14:paraId="416ED57B">
      <w:pPr>
        <w:pStyle w:val="2"/>
        <w:ind w:firstLine="720"/>
        <w:jc w:val="center"/>
        <w:rPr>
          <w:rFonts w:eastAsia="Times New Roman"/>
          <w:lang w:val="en-IN" w:eastAsia="en-IN"/>
        </w:rPr>
      </w:pPr>
      <w:bookmarkStart w:id="27" w:name="_Toc197006500"/>
      <w:r>
        <w:rPr>
          <w:rFonts w:eastAsia="Times New Roman"/>
          <w:lang w:val="en-IN" w:eastAsia="en-IN"/>
        </w:rPr>
        <w:t>KPIs and Evaluation Plan</w:t>
      </w:r>
      <w:bookmarkEnd w:id="27"/>
    </w:p>
    <w:p w14:paraId="2CB4F45F">
      <w:pPr>
        <w:ind w:firstLine="720"/>
        <w:rPr>
          <w:lang w:val="en-IN" w:eastAsia="en-IN"/>
        </w:rPr>
      </w:pPr>
      <w:r>
        <w:rPr>
          <w:lang w:val="en-IN" w:eastAsia="en-IN"/>
        </w:rPr>
        <w:t>Our wellness nutrition communication campaign needs specific Key Performance Indicators to monitor guest reactions and their experience of understanding. Health-conscious tourists especially Berlin visitors need these measurement systems to show them actual outcomes and environmentally friendly results.</w:t>
      </w:r>
    </w:p>
    <w:p w14:paraId="021C5700">
      <w:pPr>
        <w:ind w:firstLine="720"/>
        <w:rPr>
          <w:lang w:val="en-IN" w:eastAsia="en-IN"/>
        </w:rPr>
      </w:pPr>
      <w:r>
        <w:rPr>
          <w:lang w:val="en-IN" w:eastAsia="en-IN"/>
        </w:rPr>
        <w:t>The number of guests scanning digital materials with QR codes reflects our measurement standard. The system reports connection times with our materials. Short multilingual surveys at guest in and out locations test if guests learned important health facts. Guest satisfaction will arise from collecting digital and staff-led feedback that focuses on how clearly information is presented and whether health materials help achieve their goals.</w:t>
      </w:r>
    </w:p>
    <w:p w14:paraId="0BF4D96D">
      <w:pPr>
        <w:ind w:firstLine="720"/>
        <w:rPr>
          <w:lang w:val="en-IN" w:eastAsia="en-IN"/>
        </w:rPr>
      </w:pPr>
      <w:r>
        <w:rPr>
          <w:lang w:val="en-IN" w:eastAsia="en-IN"/>
        </w:rPr>
        <w:t>Staff members conducting live observations will participate in data collection, particularly during meal times when food labels and information sheets are displayed. Staff may use client input to make content changes straightaway.</w:t>
      </w:r>
    </w:p>
    <w:p w14:paraId="52B00D36">
      <w:pPr>
        <w:ind w:firstLine="720"/>
        <w:rPr>
          <w:lang w:val="en-IN" w:eastAsia="en-IN"/>
        </w:rPr>
      </w:pPr>
      <w:r>
        <w:rPr>
          <w:lang w:val="en-IN" w:eastAsia="en-IN"/>
        </w:rPr>
        <w:t>Tourism communication professionals recommend that health campaigns work best when guest responses guide updates to performance (Garcia, 2024). Regular quality reviews of our activity materials guide us to update our campaign elements, specifically posters, staff scripts, and menu labels, so they stay relevant to guests (Romanіuk &amp; Kucherenko, 2022).</w:t>
      </w:r>
    </w:p>
    <w:p w14:paraId="555AB905">
      <w:pPr>
        <w:ind w:firstLine="720"/>
        <w:rPr>
          <w:lang w:val="en-IN" w:eastAsia="en-IN"/>
        </w:rPr>
      </w:pPr>
      <w:r>
        <w:rPr>
          <w:lang w:val="en-IN" w:eastAsia="en-IN"/>
        </w:rPr>
        <w:t>This KPI system links digital innovation to personal hospitality to create a flexible and effective wellness communication plan.</w:t>
      </w:r>
    </w:p>
    <w:p w14:paraId="71638547">
      <w:pPr>
        <w:pStyle w:val="2"/>
        <w:jc w:val="center"/>
      </w:pPr>
      <w:bookmarkStart w:id="28" w:name="_Toc197006501"/>
      <w:r>
        <w:t>Conclusion</w:t>
      </w:r>
      <w:bookmarkEnd w:id="28"/>
    </w:p>
    <w:p w14:paraId="0323B647">
      <w:pPr>
        <w:ind w:firstLine="720"/>
      </w:pPr>
      <w:r>
        <w:t>A nutrition communication campaign that understands different cultures offers new strategies for hospitality companies worldwide. The resort ensures international guests, especially from Berlin, appreciate their wellness experience through its approach of promoting hydration and anti-inflammatory diets alongside meaningful conversations. High-quality messages shared through printed materials and staff interactions on the property allow visitors to understand and take part in wellness activities.</w:t>
      </w:r>
    </w:p>
    <w:p w14:paraId="069638BF">
      <w:pPr>
        <w:ind w:firstLine="720"/>
      </w:pPr>
      <w:r>
        <w:t>Involved nutrition communication benefits hotel guests by making them more satisfied and strengthens trust between the business and its audience while driving eco-friendly travel growth. The health-promoting strategies will lead visitors from being passengers to being participants in their hospitality adventures.</w:t>
      </w:r>
    </w:p>
    <w:p w14:paraId="75168238">
      <w:pPr>
        <w:ind w:firstLine="720"/>
      </w:pPr>
      <w:r>
        <w:t>Health-focused strategies for communicating nutrition will remain essential to provide tourists with enjoyable and healthy vacation experiences.</w:t>
      </w:r>
    </w:p>
    <w:p w14:paraId="2C1E8C7C"/>
    <w:p w14:paraId="164D8F0A"/>
    <w:p w14:paraId="31E78B5B">
      <w:pPr>
        <w:rPr>
          <w:lang w:eastAsia="en-IN"/>
        </w:rPr>
      </w:pPr>
    </w:p>
    <w:p w14:paraId="4230A846">
      <w:pPr>
        <w:rPr>
          <w:lang w:eastAsia="en-IN"/>
        </w:rPr>
      </w:pPr>
    </w:p>
    <w:p w14:paraId="70FCEC6F">
      <w:pPr>
        <w:rPr>
          <w:lang w:eastAsia="en-IN"/>
        </w:rPr>
      </w:pPr>
    </w:p>
    <w:p w14:paraId="4B2CD08C">
      <w:pPr>
        <w:rPr>
          <w:lang w:eastAsia="en-IN"/>
        </w:rPr>
      </w:pPr>
    </w:p>
    <w:p w14:paraId="5A20B9AF"/>
    <w:p w14:paraId="4342E379">
      <w:pPr>
        <w:spacing w:line="259" w:lineRule="auto"/>
        <w:jc w:val="left"/>
        <w:rPr>
          <w:rFonts w:eastAsiaTheme="majorEastAsia" w:cstheme="majorBidi"/>
          <w:b/>
          <w:szCs w:val="32"/>
        </w:rPr>
      </w:pPr>
      <w:r>
        <w:br w:type="page"/>
      </w:r>
    </w:p>
    <w:p w14:paraId="56271278">
      <w:pPr>
        <w:pStyle w:val="2"/>
        <w:jc w:val="center"/>
      </w:pPr>
      <w:bookmarkStart w:id="29" w:name="_Toc197006502"/>
      <w:r>
        <w:t>References</w:t>
      </w:r>
      <w:bookmarkEnd w:id="29"/>
    </w:p>
    <w:p w14:paraId="3279D1A9">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Blahopoluchna, A. H., Kyryliuk, I. M., Povorozniuk, I. M., Liakhovska, N. O., &amp; Lytvyn, O. V. (2022). CULTURE OF PROFESSIONAL COMMUNICATION IN THE HOSPITALITY INDUSTRY: ITS SIGNIFICANCE AND INFLUENCE. </w:t>
      </w:r>
      <w:r>
        <w:rPr>
          <w:rFonts w:eastAsia="Times New Roman" w:cs="Times New Roman"/>
          <w:i/>
          <w:iCs/>
          <w:kern w:val="0"/>
          <w:szCs w:val="24"/>
          <w:lang w:val="en-IN" w:eastAsia="en-IN"/>
          <w14:ligatures w14:val="none"/>
        </w:rPr>
        <w:t>Economies’ Horizons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w:t>
      </w:r>
      <w:r>
        <w:rPr>
          <w:rFonts w:eastAsia="Times New Roman" w:cs="Times New Roman"/>
          <w:kern w:val="0"/>
          <w:szCs w:val="24"/>
          <w:lang w:val="en-IN" w:eastAsia="en-IN"/>
          <w14:ligatures w14:val="none"/>
        </w:rPr>
        <w:t>(20), 4–11. http://eh.udpu.edu.ua/article/download/261844/258622</w:t>
      </w:r>
    </w:p>
    <w:p w14:paraId="066CFD7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Garcia, G. Z. (2024). Persuasive Rhetoric in Health Tourism Websites: Effective Verbal Strategies for Customer Engagement. </w:t>
      </w:r>
      <w:r>
        <w:rPr>
          <w:rFonts w:eastAsia="Times New Roman" w:cs="Times New Roman"/>
          <w:i/>
          <w:iCs/>
          <w:kern w:val="0"/>
          <w:szCs w:val="24"/>
          <w:lang w:val="en-IN" w:eastAsia="en-IN"/>
          <w14:ligatures w14:val="none"/>
        </w:rPr>
        <w:t>Journal of Vasyl Stefanyk Precarpathian National University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11</w:t>
      </w:r>
      <w:r>
        <w:rPr>
          <w:rFonts w:eastAsia="Times New Roman" w:cs="Times New Roman"/>
          <w:kern w:val="0"/>
          <w:szCs w:val="24"/>
          <w:lang w:val="en-IN" w:eastAsia="en-IN"/>
          <w14:ligatures w14:val="none"/>
        </w:rPr>
        <w:t>(4), 16–25. https://doi.org/10.15330/jpnu.11.4.16-25</w:t>
      </w:r>
    </w:p>
    <w:p w14:paraId="1E447322">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Günşen, U., &amp; t Atan, R. M. (2020). Macronutrients Having Pro-/Anti-Inflammatory Properties. </w:t>
      </w:r>
      <w:r>
        <w:rPr>
          <w:rFonts w:eastAsia="Times New Roman" w:cs="Times New Roman"/>
          <w:i/>
          <w:iCs/>
          <w:kern w:val="0"/>
          <w:szCs w:val="24"/>
          <w:lang w:val="en-IN" w:eastAsia="en-IN"/>
          <w14:ligatures w14:val="none"/>
        </w:rPr>
        <w:t>Advances in Medical Diagnosis, Treatment, and Care (AMDTC) Book Series</w:t>
      </w:r>
      <w:r>
        <w:rPr>
          <w:rFonts w:eastAsia="Times New Roman" w:cs="Times New Roman"/>
          <w:kern w:val="0"/>
          <w:szCs w:val="24"/>
          <w:lang w:val="en-IN" w:eastAsia="en-IN"/>
          <w14:ligatures w14:val="none"/>
        </w:rPr>
        <w:t>, 46–79. https://doi.org/10.4018/978-1-7998-3594-3.ch003</w:t>
      </w:r>
    </w:p>
    <w:p w14:paraId="43019BF8">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Ivashura, A., Borysenko, O., &amp; Soldatenko, A. (2021). SUSTAINABLE FOOD AS AN ENVIRONMENTAL MARKER IN THE FOOD TOURISM INDUSTRY. </w:t>
      </w:r>
      <w:r>
        <w:rPr>
          <w:rFonts w:eastAsia="Times New Roman" w:cs="Times New Roman"/>
          <w:i/>
          <w:iCs/>
          <w:kern w:val="0"/>
          <w:szCs w:val="24"/>
          <w:lang w:val="en-IN" w:eastAsia="en-IN"/>
          <w14:ligatures w14:val="none"/>
        </w:rPr>
        <w:t>Series: Economic Science</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5</w:t>
      </w:r>
      <w:r>
        <w:rPr>
          <w:rFonts w:eastAsia="Times New Roman" w:cs="Times New Roman"/>
          <w:kern w:val="0"/>
          <w:szCs w:val="24"/>
          <w:lang w:val="en-IN" w:eastAsia="en-IN"/>
          <w14:ligatures w14:val="none"/>
        </w:rPr>
        <w:t>(165), 50–55. https://doi.org/10.33042/2522-1809-2021-5-165-50-55</w:t>
      </w:r>
    </w:p>
    <w:p w14:paraId="2FC950E9">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Jack, G., Phipps, A., &amp; Arriaga, O. B. (2020). Intercultural communication in tourism. </w:t>
      </w:r>
      <w:r>
        <w:rPr>
          <w:rFonts w:eastAsia="Times New Roman" w:cs="Times New Roman"/>
          <w:i/>
          <w:iCs/>
          <w:kern w:val="0"/>
          <w:szCs w:val="24"/>
          <w:lang w:val="en-IN" w:eastAsia="en-IN"/>
          <w14:ligatures w14:val="none"/>
        </w:rPr>
        <w:t>The Routledge Handbook of Language and Intercultural Communication</w:t>
      </w:r>
      <w:r>
        <w:rPr>
          <w:rFonts w:eastAsia="Times New Roman" w:cs="Times New Roman"/>
          <w:kern w:val="0"/>
          <w:szCs w:val="24"/>
          <w:lang w:val="en-IN" w:eastAsia="en-IN"/>
          <w14:ligatures w14:val="none"/>
        </w:rPr>
        <w:t>, 535–552. https://doi.org/10.4324/9781003036210-40</w:t>
      </w:r>
    </w:p>
    <w:p w14:paraId="5931CFFD">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Juber, J., Montez, R., Kreher, J., Rademacher, C., &amp; Brombach, C. (2025). Cross-National Survey About Nutrition and Nutrition Communication Among Older Adults Aged 60 Years and Above. </w:t>
      </w:r>
      <w:r>
        <w:rPr>
          <w:rFonts w:eastAsia="Times New Roman" w:cs="Times New Roman"/>
          <w:i/>
          <w:iCs/>
          <w:kern w:val="0"/>
          <w:szCs w:val="24"/>
          <w:lang w:val="en-IN" w:eastAsia="en-IN"/>
          <w14:ligatures w14:val="none"/>
        </w:rPr>
        <w:t>Nutrients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17</w:t>
      </w:r>
      <w:r>
        <w:rPr>
          <w:rFonts w:eastAsia="Times New Roman" w:cs="Times New Roman"/>
          <w:kern w:val="0"/>
          <w:szCs w:val="24"/>
          <w:lang w:val="en-IN" w:eastAsia="en-IN"/>
          <w14:ligatures w14:val="none"/>
        </w:rPr>
        <w:t>(2), 315–315. https://doi.org/10.3390/nu17020315</w:t>
      </w:r>
    </w:p>
    <w:p w14:paraId="235B3414">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Market.us. (2023, October 19). </w:t>
      </w:r>
      <w:r>
        <w:rPr>
          <w:rFonts w:eastAsia="Times New Roman" w:cs="Times New Roman"/>
          <w:i/>
          <w:iCs/>
          <w:kern w:val="0"/>
          <w:szCs w:val="24"/>
          <w:lang w:val="en-IN" w:eastAsia="en-IN"/>
          <w14:ligatures w14:val="none"/>
        </w:rPr>
        <w:t>Wellness Tourism Market</w:t>
      </w:r>
      <w:r>
        <w:rPr>
          <w:rFonts w:eastAsia="Times New Roman" w:cs="Times New Roman"/>
          <w:kern w:val="0"/>
          <w:szCs w:val="24"/>
          <w:lang w:val="en-IN" w:eastAsia="en-IN"/>
          <w14:ligatures w14:val="none"/>
        </w:rPr>
        <w:t>. Market.us. https://market.us/report/wellness-tourism-market/</w:t>
      </w:r>
    </w:p>
    <w:p w14:paraId="6704F27A">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Melzer, T. M., Manosso, L. M., Yau, S., Gil-Mohapel, J., &amp; Brocardo, P. S. (2021). In Pursuit of Healthy Aging: Effects of Nutrition on Brain Function. </w:t>
      </w:r>
      <w:r>
        <w:rPr>
          <w:rFonts w:eastAsia="Times New Roman" w:cs="Times New Roman"/>
          <w:i/>
          <w:iCs/>
          <w:kern w:val="0"/>
          <w:szCs w:val="24"/>
          <w:lang w:val="en-IN" w:eastAsia="en-IN"/>
          <w14:ligatures w14:val="none"/>
        </w:rPr>
        <w:t>International Journal of Molecular Sciences</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22</w:t>
      </w:r>
      <w:r>
        <w:rPr>
          <w:rFonts w:eastAsia="Times New Roman" w:cs="Times New Roman"/>
          <w:kern w:val="0"/>
          <w:szCs w:val="24"/>
          <w:lang w:val="en-IN" w:eastAsia="en-IN"/>
          <w14:ligatures w14:val="none"/>
        </w:rPr>
        <w:t>(9), 5026. https://doi.org/10.3390/ijms22095026</w:t>
      </w:r>
    </w:p>
    <w:p w14:paraId="43D71CCB">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Messner, M. (2024). Harmony in diversity: exploring cross-linguistic, cross-cultural and multimodal dimensions of temporality within tourism discourse. </w:t>
      </w:r>
      <w:r>
        <w:rPr>
          <w:rFonts w:eastAsia="Times New Roman" w:cs="Times New Roman"/>
          <w:i/>
          <w:iCs/>
          <w:kern w:val="0"/>
          <w:szCs w:val="24"/>
          <w:lang w:val="en-IN" w:eastAsia="en-IN"/>
          <w14:ligatures w14:val="none"/>
        </w:rPr>
        <w:t>Multimodal Communication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0</w:t>
      </w:r>
      <w:r>
        <w:rPr>
          <w:rFonts w:eastAsia="Times New Roman" w:cs="Times New Roman"/>
          <w:kern w:val="0"/>
          <w:szCs w:val="24"/>
          <w:lang w:val="en-IN" w:eastAsia="en-IN"/>
          <w14:ligatures w14:val="none"/>
        </w:rPr>
        <w:t>(0). https://doi.org/10.1515/mc-2024-0019</w:t>
      </w:r>
    </w:p>
    <w:p w14:paraId="2E7875DC">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Quintela, J. A., Costa, C., &amp; Correia, A. (2023). Health, Wellness, and Happiness: A Demand Analysis. </w:t>
      </w:r>
      <w:r>
        <w:rPr>
          <w:rFonts w:eastAsia="Times New Roman" w:cs="Times New Roman"/>
          <w:i/>
          <w:iCs/>
          <w:kern w:val="0"/>
          <w:szCs w:val="24"/>
          <w:lang w:val="en-IN" w:eastAsia="en-IN"/>
          <w14:ligatures w14:val="none"/>
        </w:rPr>
        <w:t>International Conference on Tourism Research</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6</w:t>
      </w:r>
      <w:r>
        <w:rPr>
          <w:rFonts w:eastAsia="Times New Roman" w:cs="Times New Roman"/>
          <w:kern w:val="0"/>
          <w:szCs w:val="24"/>
          <w:lang w:val="en-IN" w:eastAsia="en-IN"/>
          <w14:ligatures w14:val="none"/>
        </w:rPr>
        <w:t>(1), 241–250. https://papers.academic-conferences.org/index.php/ictr/article/download/1330/1109</w:t>
      </w:r>
    </w:p>
    <w:p w14:paraId="5E4E31CA">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Roberto, C. A., Ng, S. W., Ganderats-Fuentes, M., Hammond, D., Barquera, S., Jauregui, A., &amp; Taillie, L. S. (2021). The Influence of Front-of-Package Nutrition Labeling on Consumer Behavior and Product Reformulation. </w:t>
      </w:r>
      <w:r>
        <w:rPr>
          <w:rFonts w:eastAsia="Times New Roman" w:cs="Times New Roman"/>
          <w:i/>
          <w:iCs/>
          <w:kern w:val="0"/>
          <w:szCs w:val="24"/>
          <w:lang w:val="en-IN" w:eastAsia="en-IN"/>
          <w14:ligatures w14:val="none"/>
        </w:rPr>
        <w:t>Annual Review of Nutrition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41</w:t>
      </w:r>
      <w:r>
        <w:rPr>
          <w:rFonts w:eastAsia="Times New Roman" w:cs="Times New Roman"/>
          <w:kern w:val="0"/>
          <w:szCs w:val="24"/>
          <w:lang w:val="en-IN" w:eastAsia="en-IN"/>
          <w14:ligatures w14:val="none"/>
        </w:rPr>
        <w:t>(1), 529–550. https://doi.org/10.1146/annurev-nutr-111120-094932</w:t>
      </w:r>
    </w:p>
    <w:p w14:paraId="78D90D69">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Romanіuk, I., &amp; Kucherenko, S. (2022). Development of marketing communications and organization of advertising campaigns in tourist enterprises. </w:t>
      </w:r>
      <w:r>
        <w:rPr>
          <w:rFonts w:eastAsia="Times New Roman" w:cs="Times New Roman"/>
          <w:i/>
          <w:iCs/>
          <w:kern w:val="0"/>
          <w:szCs w:val="24"/>
          <w:lang w:val="en-IN" w:eastAsia="en-IN"/>
          <w14:ligatures w14:val="none"/>
        </w:rPr>
        <w:t>University Economic Bulletin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55</w:t>
      </w:r>
      <w:r>
        <w:rPr>
          <w:rFonts w:eastAsia="Times New Roman" w:cs="Times New Roman"/>
          <w:kern w:val="0"/>
          <w:szCs w:val="24"/>
          <w:lang w:val="en-IN" w:eastAsia="en-IN"/>
          <w14:ligatures w14:val="none"/>
        </w:rPr>
        <w:t>, 70–76. https://doi.org/10.31470/2306-546x-2022-55-70-76</w:t>
      </w:r>
    </w:p>
    <w:p w14:paraId="39E47F1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Scott, K. (2023). Nutritional labeling, communication design, and relevance. </w:t>
      </w:r>
      <w:r>
        <w:rPr>
          <w:rFonts w:eastAsia="Times New Roman" w:cs="Times New Roman"/>
          <w:i/>
          <w:iCs/>
          <w:kern w:val="0"/>
          <w:szCs w:val="24"/>
          <w:lang w:val="en-IN" w:eastAsia="en-IN"/>
          <w14:ligatures w14:val="none"/>
        </w:rPr>
        <w:t>Frontiers in Communication</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8</w:t>
      </w:r>
      <w:r>
        <w:rPr>
          <w:rFonts w:eastAsia="Times New Roman" w:cs="Times New Roman"/>
          <w:kern w:val="0"/>
          <w:szCs w:val="24"/>
          <w:lang w:val="en-IN" w:eastAsia="en-IN"/>
          <w14:ligatures w14:val="none"/>
        </w:rPr>
        <w:t>. https://doi.org/10.3389/fcomm.2023.1125575</w:t>
      </w:r>
    </w:p>
    <w:p w14:paraId="0DEC5845">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Sousa, B., Mendes, J., &amp; Sousa, A. (2023). </w:t>
      </w:r>
      <w:r>
        <w:rPr>
          <w:rFonts w:eastAsia="Times New Roman" w:cs="Times New Roman"/>
          <w:i/>
          <w:iCs/>
          <w:kern w:val="0"/>
          <w:szCs w:val="24"/>
          <w:lang w:val="en-IN" w:eastAsia="en-IN"/>
          <w14:ligatures w14:val="none"/>
        </w:rPr>
        <w:t>Anti-inflammatory diet and rheumatoid arthritis: overview on the current evidence</w:t>
      </w:r>
      <w:r>
        <w:rPr>
          <w:rFonts w:eastAsia="Times New Roman" w:cs="Times New Roman"/>
          <w:kern w:val="0"/>
          <w:szCs w:val="24"/>
          <w:lang w:val="en-IN" w:eastAsia="en-IN"/>
          <w14:ligatures w14:val="none"/>
        </w:rPr>
        <w:t>. https://doi.org/10.21011/apn.2023.3408</w:t>
      </w:r>
    </w:p>
    <w:p w14:paraId="3F030A69">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Sousa, V., Montse Vázquez, &amp; Faustino, P. (2024). Challenges and opportunities of strategic communication in health and wellness tourism in Portugal. </w:t>
      </w:r>
      <w:r>
        <w:rPr>
          <w:rFonts w:eastAsia="Times New Roman" w:cs="Times New Roman"/>
          <w:i/>
          <w:iCs/>
          <w:kern w:val="0"/>
          <w:szCs w:val="24"/>
          <w:lang w:val="en-IN" w:eastAsia="en-IN"/>
          <w14:ligatures w14:val="none"/>
        </w:rPr>
        <w:t>Redmarka Revista de Marketing Aplicado</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28</w:t>
      </w:r>
      <w:r>
        <w:rPr>
          <w:rFonts w:eastAsia="Times New Roman" w:cs="Times New Roman"/>
          <w:kern w:val="0"/>
          <w:szCs w:val="24"/>
          <w:lang w:val="en-IN" w:eastAsia="en-IN"/>
          <w14:ligatures w14:val="none"/>
        </w:rPr>
        <w:t>(2), 114–130. https://revistas.udc.es/index.php/REDMARKA/article/view/11339</w:t>
      </w:r>
    </w:p>
    <w:p w14:paraId="72B33296">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Sylchuk, T., Oksana Kyrpichenkova, &amp; Tetiana Druz. (2023). </w:t>
      </w:r>
      <w:r>
        <w:rPr>
          <w:rFonts w:eastAsia="Times New Roman" w:cs="Times New Roman"/>
          <w:i/>
          <w:iCs/>
          <w:kern w:val="0"/>
          <w:szCs w:val="24"/>
          <w:lang w:val="en-IN" w:eastAsia="en-IN"/>
          <w14:ligatures w14:val="none"/>
        </w:rPr>
        <w:t>WELLNESS TOURISM AS SERVICE INNOVATION OF THE HOSPITALITY INDUSTRY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79</w:t>
      </w:r>
      <w:r>
        <w:rPr>
          <w:rFonts w:eastAsia="Times New Roman" w:cs="Times New Roman"/>
          <w:kern w:val="0"/>
          <w:szCs w:val="24"/>
          <w:lang w:val="en-IN" w:eastAsia="en-IN"/>
          <w14:ligatures w14:val="none"/>
        </w:rPr>
        <w:t>. https://doi.org/10.32782/bses.79-35</w:t>
      </w:r>
    </w:p>
    <w:p w14:paraId="5FA89987">
      <w:pPr>
        <w:spacing w:after="0" w:line="480" w:lineRule="auto"/>
        <w:ind w:left="720" w:hanging="720"/>
        <w:rPr>
          <w:rFonts w:eastAsia="Times New Roman" w:cs="Times New Roman"/>
          <w:kern w:val="0"/>
          <w:szCs w:val="24"/>
          <w:lang w:val="en-IN" w:eastAsia="en-IN"/>
          <w14:ligatures w14:val="none"/>
        </w:rPr>
      </w:pPr>
      <w:r>
        <w:rPr>
          <w:rFonts w:eastAsia="Times New Roman" w:cs="Times New Roman"/>
          <w:kern w:val="0"/>
          <w:szCs w:val="24"/>
          <w:lang w:val="en-IN" w:eastAsia="en-IN"/>
          <w14:ligatures w14:val="none"/>
        </w:rPr>
        <w:t xml:space="preserve">Tkach, S.  M., Kharchenko, N.  V., &amp; Dorofeyev, A.  E. (2024). The influence of different food products and diet regimens on the pro-inflammatory and anti-inflammatory properties of the gut microbiome. Review. </w:t>
      </w:r>
      <w:r>
        <w:rPr>
          <w:rFonts w:eastAsia="Times New Roman" w:cs="Times New Roman"/>
          <w:i/>
          <w:iCs/>
          <w:kern w:val="0"/>
          <w:szCs w:val="24"/>
          <w:lang w:val="en-IN" w:eastAsia="en-IN"/>
          <w14:ligatures w14:val="none"/>
        </w:rPr>
        <w:t>Modern Gastroenterology</w:t>
      </w:r>
      <w:r>
        <w:rPr>
          <w:rFonts w:eastAsia="Times New Roman" w:cs="Times New Roman"/>
          <w:kern w:val="0"/>
          <w:szCs w:val="24"/>
          <w:lang w:val="en-IN" w:eastAsia="en-IN"/>
          <w14:ligatures w14:val="none"/>
        </w:rPr>
        <w:t xml:space="preserve">, </w:t>
      </w:r>
      <w:r>
        <w:rPr>
          <w:rFonts w:eastAsia="Times New Roman" w:cs="Times New Roman"/>
          <w:i/>
          <w:iCs/>
          <w:kern w:val="0"/>
          <w:szCs w:val="24"/>
          <w:lang w:val="en-IN" w:eastAsia="en-IN"/>
          <w14:ligatures w14:val="none"/>
        </w:rPr>
        <w:t>4</w:t>
      </w:r>
      <w:r>
        <w:rPr>
          <w:rFonts w:eastAsia="Times New Roman" w:cs="Times New Roman"/>
          <w:kern w:val="0"/>
          <w:szCs w:val="24"/>
          <w:lang w:val="en-IN" w:eastAsia="en-IN"/>
          <w14:ligatures w14:val="none"/>
        </w:rPr>
        <w:t>, 56–63. https://doi.org/10.30978/mg-2024-4-56</w:t>
      </w:r>
    </w:p>
    <w:p w14:paraId="64AE67D3"/>
    <w:p w14:paraId="56E1ED86"/>
    <w:p w14:paraId="1311F163"/>
    <w:bookmarkEnd w:id="13"/>
    <w:p w14:paraId="2CF5A9D9"/>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Times New Roman Bold">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88342327"/>
      <w:docPartObj>
        <w:docPartGallery w:val="AutoText"/>
      </w:docPartObj>
    </w:sdtPr>
    <w:sdtContent>
      <w:p w14:paraId="3D71FA63">
        <w:pPr>
          <w:pStyle w:val="10"/>
          <w:jc w:val="right"/>
        </w:pPr>
        <w:r>
          <w:fldChar w:fldCharType="begin"/>
        </w:r>
        <w:r>
          <w:instrText xml:space="preserve"> PAGE   \* MERGEFORMAT </w:instrText>
        </w:r>
        <w:r>
          <w:fldChar w:fldCharType="separate"/>
        </w:r>
        <w:r>
          <w:t>2</w:t>
        </w:r>
        <w:r>
          <w:fldChar w:fldCharType="end"/>
        </w:r>
      </w:p>
    </w:sdtContent>
  </w:sdt>
  <w:p w14:paraId="05CEC1F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5291D"/>
    <w:multiLevelType w:val="multilevel"/>
    <w:tmpl w:val="0A45291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E57545C"/>
    <w:multiLevelType w:val="multilevel"/>
    <w:tmpl w:val="0E57545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829205A"/>
    <w:multiLevelType w:val="multilevel"/>
    <w:tmpl w:val="1829205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D584239"/>
    <w:multiLevelType w:val="multilevel"/>
    <w:tmpl w:val="2D58423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52815F49"/>
    <w:multiLevelType w:val="multilevel"/>
    <w:tmpl w:val="52815F4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6C933FA"/>
    <w:multiLevelType w:val="multilevel"/>
    <w:tmpl w:val="56C933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69994D4F"/>
    <w:multiLevelType w:val="multilevel"/>
    <w:tmpl w:val="69994D4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9F9504B"/>
    <w:multiLevelType w:val="multilevel"/>
    <w:tmpl w:val="69F9504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6"/>
  </w:num>
  <w:num w:numId="4">
    <w:abstractNumId w:val="7"/>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BwJTQ2NzU0sDS0MzYyUdpeDU4uLM/DyQAiOLWgDudgmrLQAAAA=="/>
  </w:docVars>
  <w:rsids>
    <w:rsidRoot w:val="00656289"/>
    <w:rsid w:val="00000AD2"/>
    <w:rsid w:val="00020BCB"/>
    <w:rsid w:val="00026462"/>
    <w:rsid w:val="0003144E"/>
    <w:rsid w:val="00032111"/>
    <w:rsid w:val="0003506B"/>
    <w:rsid w:val="000423FA"/>
    <w:rsid w:val="00046B02"/>
    <w:rsid w:val="00050335"/>
    <w:rsid w:val="000503B8"/>
    <w:rsid w:val="0005220D"/>
    <w:rsid w:val="00053468"/>
    <w:rsid w:val="00053D5D"/>
    <w:rsid w:val="00054892"/>
    <w:rsid w:val="000573AB"/>
    <w:rsid w:val="00057C68"/>
    <w:rsid w:val="00063811"/>
    <w:rsid w:val="00064371"/>
    <w:rsid w:val="00066F1A"/>
    <w:rsid w:val="00067282"/>
    <w:rsid w:val="00070EC2"/>
    <w:rsid w:val="00081D8E"/>
    <w:rsid w:val="000844F7"/>
    <w:rsid w:val="0009076C"/>
    <w:rsid w:val="0009225E"/>
    <w:rsid w:val="00094C03"/>
    <w:rsid w:val="00096AEB"/>
    <w:rsid w:val="0009720A"/>
    <w:rsid w:val="000B19A1"/>
    <w:rsid w:val="000B4E09"/>
    <w:rsid w:val="000B63F2"/>
    <w:rsid w:val="000B6A22"/>
    <w:rsid w:val="000B76EE"/>
    <w:rsid w:val="000C329D"/>
    <w:rsid w:val="000E1257"/>
    <w:rsid w:val="000F06E3"/>
    <w:rsid w:val="00100317"/>
    <w:rsid w:val="001108A9"/>
    <w:rsid w:val="00112437"/>
    <w:rsid w:val="00114F7D"/>
    <w:rsid w:val="00123E7C"/>
    <w:rsid w:val="00124D30"/>
    <w:rsid w:val="001331FF"/>
    <w:rsid w:val="00133D70"/>
    <w:rsid w:val="00135714"/>
    <w:rsid w:val="0014140F"/>
    <w:rsid w:val="00141FD5"/>
    <w:rsid w:val="001451ED"/>
    <w:rsid w:val="001457DD"/>
    <w:rsid w:val="00150897"/>
    <w:rsid w:val="00151DAA"/>
    <w:rsid w:val="001540DF"/>
    <w:rsid w:val="0015582B"/>
    <w:rsid w:val="0016049B"/>
    <w:rsid w:val="00163646"/>
    <w:rsid w:val="0016473E"/>
    <w:rsid w:val="00165C02"/>
    <w:rsid w:val="00165F3B"/>
    <w:rsid w:val="00180AE3"/>
    <w:rsid w:val="00185511"/>
    <w:rsid w:val="001873F8"/>
    <w:rsid w:val="00196C5F"/>
    <w:rsid w:val="001A1E95"/>
    <w:rsid w:val="001A313A"/>
    <w:rsid w:val="001B055F"/>
    <w:rsid w:val="001C09E3"/>
    <w:rsid w:val="001C1479"/>
    <w:rsid w:val="001C4ADD"/>
    <w:rsid w:val="001C563B"/>
    <w:rsid w:val="001E4B00"/>
    <w:rsid w:val="001F22AB"/>
    <w:rsid w:val="001F53F0"/>
    <w:rsid w:val="001F55E5"/>
    <w:rsid w:val="001F73D5"/>
    <w:rsid w:val="00200011"/>
    <w:rsid w:val="00203906"/>
    <w:rsid w:val="00215877"/>
    <w:rsid w:val="002237CC"/>
    <w:rsid w:val="00224607"/>
    <w:rsid w:val="00226182"/>
    <w:rsid w:val="00235703"/>
    <w:rsid w:val="00237AAD"/>
    <w:rsid w:val="00243A85"/>
    <w:rsid w:val="00251A37"/>
    <w:rsid w:val="002574A5"/>
    <w:rsid w:val="00261357"/>
    <w:rsid w:val="00285D10"/>
    <w:rsid w:val="00287AFD"/>
    <w:rsid w:val="00290BED"/>
    <w:rsid w:val="00291267"/>
    <w:rsid w:val="002A009D"/>
    <w:rsid w:val="002A6336"/>
    <w:rsid w:val="002A79E5"/>
    <w:rsid w:val="002B1914"/>
    <w:rsid w:val="002C2129"/>
    <w:rsid w:val="002C4B11"/>
    <w:rsid w:val="002C60CC"/>
    <w:rsid w:val="002D1061"/>
    <w:rsid w:val="002D3434"/>
    <w:rsid w:val="002D45CB"/>
    <w:rsid w:val="002D480E"/>
    <w:rsid w:val="002E235B"/>
    <w:rsid w:val="002E56BA"/>
    <w:rsid w:val="002F45D8"/>
    <w:rsid w:val="002F61F0"/>
    <w:rsid w:val="00300F22"/>
    <w:rsid w:val="00311220"/>
    <w:rsid w:val="00312310"/>
    <w:rsid w:val="003323BE"/>
    <w:rsid w:val="003327CD"/>
    <w:rsid w:val="00347A92"/>
    <w:rsid w:val="0035130E"/>
    <w:rsid w:val="00354332"/>
    <w:rsid w:val="003549C2"/>
    <w:rsid w:val="00362426"/>
    <w:rsid w:val="00366597"/>
    <w:rsid w:val="00371995"/>
    <w:rsid w:val="00376C6E"/>
    <w:rsid w:val="003904A9"/>
    <w:rsid w:val="00392877"/>
    <w:rsid w:val="003A1914"/>
    <w:rsid w:val="003B2040"/>
    <w:rsid w:val="003B7E11"/>
    <w:rsid w:val="003C289C"/>
    <w:rsid w:val="003D610D"/>
    <w:rsid w:val="003E4190"/>
    <w:rsid w:val="003E651B"/>
    <w:rsid w:val="003F49EF"/>
    <w:rsid w:val="003F56FB"/>
    <w:rsid w:val="003F5D4B"/>
    <w:rsid w:val="003F6195"/>
    <w:rsid w:val="0040087A"/>
    <w:rsid w:val="00403992"/>
    <w:rsid w:val="00403A2A"/>
    <w:rsid w:val="00405CAD"/>
    <w:rsid w:val="00412CD7"/>
    <w:rsid w:val="004208B0"/>
    <w:rsid w:val="00422A23"/>
    <w:rsid w:val="004250F6"/>
    <w:rsid w:val="0042629F"/>
    <w:rsid w:val="0043238E"/>
    <w:rsid w:val="004372C3"/>
    <w:rsid w:val="0044062B"/>
    <w:rsid w:val="00441882"/>
    <w:rsid w:val="00444499"/>
    <w:rsid w:val="00445B9A"/>
    <w:rsid w:val="004472E9"/>
    <w:rsid w:val="004515FE"/>
    <w:rsid w:val="004538C9"/>
    <w:rsid w:val="004616F8"/>
    <w:rsid w:val="00462892"/>
    <w:rsid w:val="00467CAC"/>
    <w:rsid w:val="004750E7"/>
    <w:rsid w:val="00487523"/>
    <w:rsid w:val="00491B49"/>
    <w:rsid w:val="00497233"/>
    <w:rsid w:val="004974F0"/>
    <w:rsid w:val="00497FEE"/>
    <w:rsid w:val="004A5856"/>
    <w:rsid w:val="004B27F6"/>
    <w:rsid w:val="004B3D40"/>
    <w:rsid w:val="004B4502"/>
    <w:rsid w:val="004C2E62"/>
    <w:rsid w:val="004D1073"/>
    <w:rsid w:val="004E19F5"/>
    <w:rsid w:val="004E2DAB"/>
    <w:rsid w:val="004E4753"/>
    <w:rsid w:val="004F18EF"/>
    <w:rsid w:val="004F7313"/>
    <w:rsid w:val="00514D34"/>
    <w:rsid w:val="005276F8"/>
    <w:rsid w:val="00546D87"/>
    <w:rsid w:val="00547A97"/>
    <w:rsid w:val="005529B6"/>
    <w:rsid w:val="00560896"/>
    <w:rsid w:val="005612C3"/>
    <w:rsid w:val="0056212C"/>
    <w:rsid w:val="005641F8"/>
    <w:rsid w:val="005658A4"/>
    <w:rsid w:val="005665E0"/>
    <w:rsid w:val="005746B6"/>
    <w:rsid w:val="00575560"/>
    <w:rsid w:val="00584343"/>
    <w:rsid w:val="00592BE5"/>
    <w:rsid w:val="00593EE1"/>
    <w:rsid w:val="005B1576"/>
    <w:rsid w:val="005B695F"/>
    <w:rsid w:val="005C56CA"/>
    <w:rsid w:val="005C5C68"/>
    <w:rsid w:val="005C6B17"/>
    <w:rsid w:val="005D375B"/>
    <w:rsid w:val="005D4C6F"/>
    <w:rsid w:val="005D6B4A"/>
    <w:rsid w:val="005D6DEB"/>
    <w:rsid w:val="005E02A2"/>
    <w:rsid w:val="005F26B9"/>
    <w:rsid w:val="005F4841"/>
    <w:rsid w:val="0060020B"/>
    <w:rsid w:val="006054DC"/>
    <w:rsid w:val="00607DED"/>
    <w:rsid w:val="0062462B"/>
    <w:rsid w:val="006318D6"/>
    <w:rsid w:val="00632BF3"/>
    <w:rsid w:val="00642837"/>
    <w:rsid w:val="006514C9"/>
    <w:rsid w:val="00656289"/>
    <w:rsid w:val="006675C0"/>
    <w:rsid w:val="0067170D"/>
    <w:rsid w:val="00676ED1"/>
    <w:rsid w:val="00684B76"/>
    <w:rsid w:val="00684D0A"/>
    <w:rsid w:val="0069574B"/>
    <w:rsid w:val="00695AF4"/>
    <w:rsid w:val="006A1D29"/>
    <w:rsid w:val="006A5781"/>
    <w:rsid w:val="006B7DAF"/>
    <w:rsid w:val="006C0542"/>
    <w:rsid w:val="006C1435"/>
    <w:rsid w:val="006C1805"/>
    <w:rsid w:val="006D6EA9"/>
    <w:rsid w:val="006E1207"/>
    <w:rsid w:val="006E4CCE"/>
    <w:rsid w:val="006E50C8"/>
    <w:rsid w:val="006E5F5A"/>
    <w:rsid w:val="006E602D"/>
    <w:rsid w:val="006F2D8F"/>
    <w:rsid w:val="007032F2"/>
    <w:rsid w:val="00704D8B"/>
    <w:rsid w:val="00706E00"/>
    <w:rsid w:val="007241B8"/>
    <w:rsid w:val="007351A4"/>
    <w:rsid w:val="00735D8C"/>
    <w:rsid w:val="00736341"/>
    <w:rsid w:val="007410B7"/>
    <w:rsid w:val="0074440C"/>
    <w:rsid w:val="00752057"/>
    <w:rsid w:val="00752232"/>
    <w:rsid w:val="0075371E"/>
    <w:rsid w:val="00756203"/>
    <w:rsid w:val="00764486"/>
    <w:rsid w:val="0076481A"/>
    <w:rsid w:val="0078046A"/>
    <w:rsid w:val="00790B5D"/>
    <w:rsid w:val="007932C4"/>
    <w:rsid w:val="007965CB"/>
    <w:rsid w:val="007A3BB8"/>
    <w:rsid w:val="007A5EF9"/>
    <w:rsid w:val="007A72A5"/>
    <w:rsid w:val="007B25CD"/>
    <w:rsid w:val="007B387B"/>
    <w:rsid w:val="007B5229"/>
    <w:rsid w:val="007C1F13"/>
    <w:rsid w:val="007D122C"/>
    <w:rsid w:val="007D1DC7"/>
    <w:rsid w:val="007D5362"/>
    <w:rsid w:val="007D789E"/>
    <w:rsid w:val="007E01ED"/>
    <w:rsid w:val="007F415F"/>
    <w:rsid w:val="007F4231"/>
    <w:rsid w:val="007F5FD4"/>
    <w:rsid w:val="007F7D0D"/>
    <w:rsid w:val="00800273"/>
    <w:rsid w:val="008038C7"/>
    <w:rsid w:val="0081320F"/>
    <w:rsid w:val="00816CB8"/>
    <w:rsid w:val="0082056C"/>
    <w:rsid w:val="0082089E"/>
    <w:rsid w:val="00822C37"/>
    <w:rsid w:val="00822DBA"/>
    <w:rsid w:val="00823AE2"/>
    <w:rsid w:val="008247E2"/>
    <w:rsid w:val="0082605B"/>
    <w:rsid w:val="00827F50"/>
    <w:rsid w:val="00832D97"/>
    <w:rsid w:val="00840357"/>
    <w:rsid w:val="008469AF"/>
    <w:rsid w:val="00853579"/>
    <w:rsid w:val="00857BA7"/>
    <w:rsid w:val="00862188"/>
    <w:rsid w:val="00867DA7"/>
    <w:rsid w:val="008724E6"/>
    <w:rsid w:val="00876B78"/>
    <w:rsid w:val="00885FF5"/>
    <w:rsid w:val="008913D6"/>
    <w:rsid w:val="008929D8"/>
    <w:rsid w:val="008947F3"/>
    <w:rsid w:val="008A21BD"/>
    <w:rsid w:val="008A2733"/>
    <w:rsid w:val="008A399E"/>
    <w:rsid w:val="008A4AAA"/>
    <w:rsid w:val="008A5A0E"/>
    <w:rsid w:val="008A61D4"/>
    <w:rsid w:val="008A6EEF"/>
    <w:rsid w:val="008A7593"/>
    <w:rsid w:val="008B74F8"/>
    <w:rsid w:val="008B76B2"/>
    <w:rsid w:val="008C210C"/>
    <w:rsid w:val="008D083B"/>
    <w:rsid w:val="008D1127"/>
    <w:rsid w:val="008E59F8"/>
    <w:rsid w:val="008E6D16"/>
    <w:rsid w:val="008F09D9"/>
    <w:rsid w:val="008F3873"/>
    <w:rsid w:val="008F3BE0"/>
    <w:rsid w:val="008F3CE2"/>
    <w:rsid w:val="0090170F"/>
    <w:rsid w:val="009170C7"/>
    <w:rsid w:val="00923199"/>
    <w:rsid w:val="00923D62"/>
    <w:rsid w:val="009371B5"/>
    <w:rsid w:val="00942F4E"/>
    <w:rsid w:val="00943E19"/>
    <w:rsid w:val="00961B5F"/>
    <w:rsid w:val="00961FA4"/>
    <w:rsid w:val="009621B7"/>
    <w:rsid w:val="00973044"/>
    <w:rsid w:val="00976344"/>
    <w:rsid w:val="0097688B"/>
    <w:rsid w:val="00981C3F"/>
    <w:rsid w:val="009846F8"/>
    <w:rsid w:val="0098470E"/>
    <w:rsid w:val="00985C48"/>
    <w:rsid w:val="009869AF"/>
    <w:rsid w:val="00990B2C"/>
    <w:rsid w:val="009957DE"/>
    <w:rsid w:val="009A12A1"/>
    <w:rsid w:val="009A3E4C"/>
    <w:rsid w:val="009A57FA"/>
    <w:rsid w:val="009B4ACA"/>
    <w:rsid w:val="009C10F2"/>
    <w:rsid w:val="009C1682"/>
    <w:rsid w:val="009C17BD"/>
    <w:rsid w:val="009C2919"/>
    <w:rsid w:val="009C3B6C"/>
    <w:rsid w:val="009C675A"/>
    <w:rsid w:val="009C67A3"/>
    <w:rsid w:val="009E17DE"/>
    <w:rsid w:val="009E773A"/>
    <w:rsid w:val="009F1346"/>
    <w:rsid w:val="00A03C7C"/>
    <w:rsid w:val="00A05911"/>
    <w:rsid w:val="00A10AF8"/>
    <w:rsid w:val="00A137DB"/>
    <w:rsid w:val="00A145CB"/>
    <w:rsid w:val="00A2479D"/>
    <w:rsid w:val="00A24B72"/>
    <w:rsid w:val="00A33A11"/>
    <w:rsid w:val="00A3516F"/>
    <w:rsid w:val="00A36E0E"/>
    <w:rsid w:val="00A40164"/>
    <w:rsid w:val="00A40C21"/>
    <w:rsid w:val="00A413BA"/>
    <w:rsid w:val="00A45105"/>
    <w:rsid w:val="00A52926"/>
    <w:rsid w:val="00A5765F"/>
    <w:rsid w:val="00A57C82"/>
    <w:rsid w:val="00A625DD"/>
    <w:rsid w:val="00A62E04"/>
    <w:rsid w:val="00A71239"/>
    <w:rsid w:val="00A81149"/>
    <w:rsid w:val="00A81B43"/>
    <w:rsid w:val="00A834A9"/>
    <w:rsid w:val="00AA1BC6"/>
    <w:rsid w:val="00AA3816"/>
    <w:rsid w:val="00AA5F6F"/>
    <w:rsid w:val="00AA662E"/>
    <w:rsid w:val="00AA69C9"/>
    <w:rsid w:val="00AB16E5"/>
    <w:rsid w:val="00AB29A4"/>
    <w:rsid w:val="00AD0D63"/>
    <w:rsid w:val="00AD0E4E"/>
    <w:rsid w:val="00AD306B"/>
    <w:rsid w:val="00AD308B"/>
    <w:rsid w:val="00AE415C"/>
    <w:rsid w:val="00AF1DF7"/>
    <w:rsid w:val="00AF3777"/>
    <w:rsid w:val="00AF6342"/>
    <w:rsid w:val="00AF755C"/>
    <w:rsid w:val="00B03A60"/>
    <w:rsid w:val="00B170D8"/>
    <w:rsid w:val="00B30E03"/>
    <w:rsid w:val="00B43F90"/>
    <w:rsid w:val="00B44950"/>
    <w:rsid w:val="00B53E02"/>
    <w:rsid w:val="00B55BF7"/>
    <w:rsid w:val="00B635C8"/>
    <w:rsid w:val="00B72CB0"/>
    <w:rsid w:val="00B860C1"/>
    <w:rsid w:val="00B86E1B"/>
    <w:rsid w:val="00B86FB8"/>
    <w:rsid w:val="00BA5EE5"/>
    <w:rsid w:val="00BB0BB5"/>
    <w:rsid w:val="00BB31DB"/>
    <w:rsid w:val="00BB4187"/>
    <w:rsid w:val="00BC1280"/>
    <w:rsid w:val="00BC737C"/>
    <w:rsid w:val="00BD0698"/>
    <w:rsid w:val="00BD0BD1"/>
    <w:rsid w:val="00BE0FF3"/>
    <w:rsid w:val="00BE680D"/>
    <w:rsid w:val="00BF3B25"/>
    <w:rsid w:val="00BF42B9"/>
    <w:rsid w:val="00C05D7E"/>
    <w:rsid w:val="00C14E59"/>
    <w:rsid w:val="00C16F4B"/>
    <w:rsid w:val="00C1733F"/>
    <w:rsid w:val="00C20509"/>
    <w:rsid w:val="00C22BB5"/>
    <w:rsid w:val="00C278AB"/>
    <w:rsid w:val="00C34FDD"/>
    <w:rsid w:val="00C36010"/>
    <w:rsid w:val="00C408BD"/>
    <w:rsid w:val="00C418CD"/>
    <w:rsid w:val="00C42EEE"/>
    <w:rsid w:val="00C60A38"/>
    <w:rsid w:val="00C63B30"/>
    <w:rsid w:val="00C63C6E"/>
    <w:rsid w:val="00C666EE"/>
    <w:rsid w:val="00C74549"/>
    <w:rsid w:val="00C92B7D"/>
    <w:rsid w:val="00C92C71"/>
    <w:rsid w:val="00C95BE8"/>
    <w:rsid w:val="00CA46D9"/>
    <w:rsid w:val="00CA4A5C"/>
    <w:rsid w:val="00CB2878"/>
    <w:rsid w:val="00CB46AF"/>
    <w:rsid w:val="00CB61C8"/>
    <w:rsid w:val="00CC3265"/>
    <w:rsid w:val="00CC356C"/>
    <w:rsid w:val="00CD0F8B"/>
    <w:rsid w:val="00CD33DB"/>
    <w:rsid w:val="00CD3995"/>
    <w:rsid w:val="00CD4FE2"/>
    <w:rsid w:val="00CD51DE"/>
    <w:rsid w:val="00CE3A39"/>
    <w:rsid w:val="00CF6628"/>
    <w:rsid w:val="00CF6AB6"/>
    <w:rsid w:val="00D1746D"/>
    <w:rsid w:val="00D203F2"/>
    <w:rsid w:val="00D2399E"/>
    <w:rsid w:val="00D245FF"/>
    <w:rsid w:val="00D26432"/>
    <w:rsid w:val="00D30A37"/>
    <w:rsid w:val="00D41B59"/>
    <w:rsid w:val="00D444DD"/>
    <w:rsid w:val="00D500D2"/>
    <w:rsid w:val="00D5397C"/>
    <w:rsid w:val="00D541EB"/>
    <w:rsid w:val="00D6157F"/>
    <w:rsid w:val="00D63C34"/>
    <w:rsid w:val="00D64EF5"/>
    <w:rsid w:val="00D6585C"/>
    <w:rsid w:val="00D66AFB"/>
    <w:rsid w:val="00D71761"/>
    <w:rsid w:val="00D7432F"/>
    <w:rsid w:val="00D80598"/>
    <w:rsid w:val="00D810A5"/>
    <w:rsid w:val="00D8273C"/>
    <w:rsid w:val="00D84DC8"/>
    <w:rsid w:val="00DA0087"/>
    <w:rsid w:val="00DA0F41"/>
    <w:rsid w:val="00DA3253"/>
    <w:rsid w:val="00DA718C"/>
    <w:rsid w:val="00DA7A6B"/>
    <w:rsid w:val="00DB16CE"/>
    <w:rsid w:val="00DC2029"/>
    <w:rsid w:val="00DD16E7"/>
    <w:rsid w:val="00DE16E7"/>
    <w:rsid w:val="00DE194B"/>
    <w:rsid w:val="00DE3A3A"/>
    <w:rsid w:val="00DF20DD"/>
    <w:rsid w:val="00DF2A5D"/>
    <w:rsid w:val="00DF731F"/>
    <w:rsid w:val="00DF7BFE"/>
    <w:rsid w:val="00E01277"/>
    <w:rsid w:val="00E1739E"/>
    <w:rsid w:val="00E22B8D"/>
    <w:rsid w:val="00E23B55"/>
    <w:rsid w:val="00E23E0C"/>
    <w:rsid w:val="00E25059"/>
    <w:rsid w:val="00E31CBD"/>
    <w:rsid w:val="00E32647"/>
    <w:rsid w:val="00E3558D"/>
    <w:rsid w:val="00E356D2"/>
    <w:rsid w:val="00E36B54"/>
    <w:rsid w:val="00E37994"/>
    <w:rsid w:val="00E37F99"/>
    <w:rsid w:val="00E419C5"/>
    <w:rsid w:val="00E5655A"/>
    <w:rsid w:val="00E6162F"/>
    <w:rsid w:val="00E62F8B"/>
    <w:rsid w:val="00E63B75"/>
    <w:rsid w:val="00E83F81"/>
    <w:rsid w:val="00E8584D"/>
    <w:rsid w:val="00E85990"/>
    <w:rsid w:val="00E8757C"/>
    <w:rsid w:val="00EA08BD"/>
    <w:rsid w:val="00EA2697"/>
    <w:rsid w:val="00EA3512"/>
    <w:rsid w:val="00EA54FE"/>
    <w:rsid w:val="00EB1067"/>
    <w:rsid w:val="00EB33ED"/>
    <w:rsid w:val="00EC08A5"/>
    <w:rsid w:val="00EC421F"/>
    <w:rsid w:val="00EC72E2"/>
    <w:rsid w:val="00EC781C"/>
    <w:rsid w:val="00EE5B6B"/>
    <w:rsid w:val="00F000E2"/>
    <w:rsid w:val="00F00434"/>
    <w:rsid w:val="00F04778"/>
    <w:rsid w:val="00F060CC"/>
    <w:rsid w:val="00F15598"/>
    <w:rsid w:val="00F32670"/>
    <w:rsid w:val="00F3339A"/>
    <w:rsid w:val="00F3709A"/>
    <w:rsid w:val="00F4026D"/>
    <w:rsid w:val="00F43933"/>
    <w:rsid w:val="00F60408"/>
    <w:rsid w:val="00F61129"/>
    <w:rsid w:val="00F6555B"/>
    <w:rsid w:val="00F664D7"/>
    <w:rsid w:val="00F70822"/>
    <w:rsid w:val="00F70907"/>
    <w:rsid w:val="00F733DD"/>
    <w:rsid w:val="00F73E52"/>
    <w:rsid w:val="00F82B2F"/>
    <w:rsid w:val="00F942B3"/>
    <w:rsid w:val="00FA10D5"/>
    <w:rsid w:val="00FA184A"/>
    <w:rsid w:val="00FB5129"/>
    <w:rsid w:val="00FB6280"/>
    <w:rsid w:val="00FC072B"/>
    <w:rsid w:val="00FC1361"/>
    <w:rsid w:val="00FD21E4"/>
    <w:rsid w:val="00FE0695"/>
    <w:rsid w:val="00FE16CA"/>
    <w:rsid w:val="00FE6DFD"/>
    <w:rsid w:val="00FF5BBB"/>
    <w:rsid w:val="A1BBF91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AU" w:eastAsia="en-US" w:bidi="ar-SA"/>
      <w14:ligatures w14:val="standardContextual"/>
    </w:rPr>
  </w:style>
  <w:style w:type="paragraph" w:styleId="2">
    <w:name w:val="heading 1"/>
    <w:basedOn w:val="1"/>
    <w:next w:val="1"/>
    <w:link w:val="18"/>
    <w:qFormat/>
    <w:uiPriority w:val="9"/>
    <w:pPr>
      <w:keepNext/>
      <w:keepLines/>
      <w:spacing w:before="240" w:after="0"/>
      <w:outlineLvl w:val="0"/>
    </w:pPr>
    <w:rPr>
      <w:rFonts w:eastAsiaTheme="majorEastAsia" w:cstheme="majorBidi"/>
      <w:b/>
      <w:szCs w:val="32"/>
    </w:rPr>
  </w:style>
  <w:style w:type="paragraph" w:styleId="3">
    <w:name w:val="heading 2"/>
    <w:basedOn w:val="1"/>
    <w:next w:val="1"/>
    <w:link w:val="20"/>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25"/>
    <w:unhideWhenUsed/>
    <w:qFormat/>
    <w:uiPriority w:val="9"/>
    <w:pPr>
      <w:keepNext/>
      <w:keepLines/>
      <w:spacing w:before="40" w:after="0"/>
      <w:outlineLvl w:val="2"/>
    </w:pPr>
    <w:rPr>
      <w:rFonts w:eastAsiaTheme="majorEastAsia" w:cstheme="majorBidi"/>
      <w:b/>
      <w:i/>
      <w:szCs w:val="24"/>
    </w:rPr>
  </w:style>
  <w:style w:type="paragraph" w:styleId="5">
    <w:name w:val="heading 4"/>
    <w:basedOn w:val="1"/>
    <w:next w:val="1"/>
    <w:link w:val="26"/>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paragraph" w:styleId="9">
    <w:name w:val="footer"/>
    <w:basedOn w:val="1"/>
    <w:link w:val="28"/>
    <w:unhideWhenUsed/>
    <w:uiPriority w:val="99"/>
    <w:pPr>
      <w:tabs>
        <w:tab w:val="center" w:pos="4513"/>
        <w:tab w:val="right" w:pos="9026"/>
      </w:tabs>
      <w:spacing w:after="0" w:line="240" w:lineRule="auto"/>
    </w:pPr>
  </w:style>
  <w:style w:type="paragraph" w:styleId="10">
    <w:name w:val="header"/>
    <w:basedOn w:val="1"/>
    <w:link w:val="27"/>
    <w:unhideWhenUsed/>
    <w:uiPriority w:val="99"/>
    <w:pPr>
      <w:tabs>
        <w:tab w:val="center" w:pos="4513"/>
        <w:tab w:val="right" w:pos="9026"/>
      </w:tabs>
      <w:spacing w:after="0" w:line="240" w:lineRule="auto"/>
    </w:pPr>
  </w:style>
  <w:style w:type="character" w:styleId="11">
    <w:name w:val="Hyperlink"/>
    <w:basedOn w:val="6"/>
    <w:unhideWhenUsed/>
    <w:uiPriority w:val="99"/>
    <w:rPr>
      <w:color w:val="0563C1"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eastAsia="Times New Roman" w:cs="Times New Roman"/>
      <w:kern w:val="0"/>
      <w:szCs w:val="24"/>
      <w:lang w:val="en-IN" w:eastAsia="en-IN"/>
      <w14:ligatures w14:val="none"/>
    </w:rPr>
  </w:style>
  <w:style w:type="character" w:styleId="13">
    <w:name w:val="Strong"/>
    <w:basedOn w:val="6"/>
    <w:qFormat/>
    <w:uiPriority w:val="22"/>
    <w:rPr>
      <w:b/>
      <w:bCs/>
    </w:rPr>
  </w:style>
  <w:style w:type="table" w:styleId="14">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40"/>
    </w:pPr>
  </w:style>
  <w:style w:type="paragraph" w:styleId="17">
    <w:name w:val="toc 3"/>
    <w:basedOn w:val="1"/>
    <w:next w:val="1"/>
    <w:autoRedefine/>
    <w:unhideWhenUsed/>
    <w:uiPriority w:val="39"/>
    <w:pPr>
      <w:spacing w:after="100"/>
      <w:ind w:left="480"/>
    </w:pPr>
  </w:style>
  <w:style w:type="character" w:customStyle="1" w:styleId="18">
    <w:name w:val="Heading 1 Char"/>
    <w:basedOn w:val="6"/>
    <w:link w:val="2"/>
    <w:uiPriority w:val="9"/>
    <w:rPr>
      <w:rFonts w:ascii="Times New Roman" w:hAnsi="Times New Roman" w:eastAsiaTheme="majorEastAsia" w:cstheme="majorBidi"/>
      <w:b/>
      <w:sz w:val="24"/>
      <w:szCs w:val="32"/>
      <w:lang w:val="en-AU"/>
    </w:rPr>
  </w:style>
  <w:style w:type="character" w:customStyle="1" w:styleId="19">
    <w:name w:val="url"/>
    <w:basedOn w:val="6"/>
    <w:uiPriority w:val="0"/>
  </w:style>
  <w:style w:type="character" w:customStyle="1" w:styleId="20">
    <w:name w:val="Heading 2 Char"/>
    <w:basedOn w:val="6"/>
    <w:link w:val="3"/>
    <w:uiPriority w:val="9"/>
    <w:rPr>
      <w:rFonts w:ascii="Times New Roman" w:hAnsi="Times New Roman" w:eastAsiaTheme="majorEastAsia" w:cstheme="majorBidi"/>
      <w:b/>
      <w:sz w:val="24"/>
      <w:szCs w:val="26"/>
      <w:lang w:val="en-AU"/>
    </w:r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kern w:val="0"/>
      <w:sz w:val="32"/>
      <w:lang w:val="en-US"/>
      <w14:ligatures w14:val="none"/>
    </w:rPr>
  </w:style>
  <w:style w:type="table" w:customStyle="1" w:styleId="22">
    <w:name w:val="Plain Table 1"/>
    <w:basedOn w:val="7"/>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23">
    <w:name w:val="List Paragraph"/>
    <w:basedOn w:val="1"/>
    <w:qFormat/>
    <w:uiPriority w:val="34"/>
    <w:pPr>
      <w:ind w:left="720"/>
      <w:contextualSpacing/>
    </w:pPr>
  </w:style>
  <w:style w:type="character" w:customStyle="1" w:styleId="24">
    <w:name w:val="Unresolved Mention"/>
    <w:basedOn w:val="6"/>
    <w:semiHidden/>
    <w:unhideWhenUsed/>
    <w:uiPriority w:val="99"/>
    <w:rPr>
      <w:color w:val="605E5C"/>
      <w:shd w:val="clear" w:color="auto" w:fill="E1DFDD"/>
    </w:rPr>
  </w:style>
  <w:style w:type="character" w:customStyle="1" w:styleId="25">
    <w:name w:val="Heading 3 Char"/>
    <w:basedOn w:val="6"/>
    <w:link w:val="4"/>
    <w:uiPriority w:val="9"/>
    <w:rPr>
      <w:rFonts w:ascii="Times New Roman" w:hAnsi="Times New Roman" w:eastAsiaTheme="majorEastAsia" w:cstheme="majorBidi"/>
      <w:b/>
      <w:i/>
      <w:sz w:val="24"/>
      <w:szCs w:val="24"/>
      <w:lang w:val="en-AU"/>
    </w:rPr>
  </w:style>
  <w:style w:type="character" w:customStyle="1" w:styleId="26">
    <w:name w:val="Heading 4 Char"/>
    <w:basedOn w:val="6"/>
    <w:link w:val="5"/>
    <w:semiHidden/>
    <w:uiPriority w:val="9"/>
    <w:rPr>
      <w:rFonts w:asciiTheme="majorHAnsi" w:hAnsiTheme="majorHAnsi" w:eastAsiaTheme="majorEastAsia" w:cstheme="majorBidi"/>
      <w:i/>
      <w:iCs/>
      <w:color w:val="2F5597" w:themeColor="accent1" w:themeShade="BF"/>
      <w:sz w:val="24"/>
      <w:lang w:val="en-AU"/>
    </w:rPr>
  </w:style>
  <w:style w:type="character" w:customStyle="1" w:styleId="27">
    <w:name w:val="Header Char"/>
    <w:basedOn w:val="6"/>
    <w:link w:val="10"/>
    <w:uiPriority w:val="99"/>
    <w:rPr>
      <w:rFonts w:ascii="Times New Roman" w:hAnsi="Times New Roman"/>
      <w:sz w:val="24"/>
      <w:lang w:val="en-NZ"/>
    </w:rPr>
  </w:style>
  <w:style w:type="character" w:customStyle="1" w:styleId="28">
    <w:name w:val="Footer Char"/>
    <w:basedOn w:val="6"/>
    <w:link w:val="9"/>
    <w:uiPriority w:val="99"/>
    <w:rPr>
      <w:rFonts w:ascii="Times New Roman" w:hAnsi="Times New Roman"/>
      <w:sz w:val="24"/>
      <w:lang w:val="en-NZ"/>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71B631AF-F9C1-43D3-817F-B89F5D385EC6}">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2903</Words>
  <Characters>16548</Characters>
  <Lines>137</Lines>
  <Paragraphs>38</Paragraphs>
  <TotalTime>3</TotalTime>
  <ScaleCrop>false</ScaleCrop>
  <LinksUpToDate>false</LinksUpToDate>
  <CharactersWithSpaces>19413</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2025-05-01T19:23:00Z</dcterms:created>
  <dc:creator>Writer</dc:creator>
  <cp:lastModifiedBy>KumarAjay</cp:lastModifiedBy>
  <dcterms:modified xsi:type="dcterms:W3CDTF">2025-05-05T23:00:00Z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013E9C86CB1CEA98D0261968DE9A0D23_42</vt:lpwstr>
  </property>
</Properties>
</file>