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E10D5" w14:textId="77777777" w:rsidR="00A624BC" w:rsidRPr="00416524" w:rsidRDefault="00A624BC" w:rsidP="00A624BC">
      <w:pPr>
        <w:spacing w:line="480" w:lineRule="auto"/>
        <w:rPr>
          <w:rFonts w:ascii="Times New Roman" w:hAnsi="Times New Roman" w:cs="Times New Roman"/>
          <w:color w:val="000000" w:themeColor="text1"/>
          <w:szCs w:val="24"/>
          <w:lang w:val="en-US"/>
        </w:rPr>
      </w:pPr>
    </w:p>
    <w:p w14:paraId="40889BD0" w14:textId="77777777" w:rsidR="00A624BC" w:rsidRPr="00416524" w:rsidRDefault="00A624BC" w:rsidP="00A624BC">
      <w:pPr>
        <w:spacing w:line="480" w:lineRule="auto"/>
        <w:rPr>
          <w:rFonts w:ascii="Times New Roman" w:hAnsi="Times New Roman" w:cs="Times New Roman"/>
          <w:color w:val="000000" w:themeColor="text1"/>
          <w:szCs w:val="24"/>
          <w:lang w:val="en-US"/>
        </w:rPr>
      </w:pPr>
      <w:r w:rsidRPr="00416524">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75A8ECEF" wp14:editId="6C9691D2">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53CE4BA2" w14:textId="77777777" w:rsidR="00A624BC" w:rsidRPr="00416524" w:rsidRDefault="00A624BC" w:rsidP="00A624BC">
      <w:pPr>
        <w:spacing w:line="480" w:lineRule="auto"/>
        <w:jc w:val="center"/>
        <w:rPr>
          <w:rFonts w:ascii="Times New Roman" w:hAnsi="Times New Roman" w:cs="Times New Roman"/>
          <w:color w:val="000000" w:themeColor="text1"/>
          <w:szCs w:val="24"/>
        </w:rPr>
      </w:pPr>
    </w:p>
    <w:p w14:paraId="2C387439" w14:textId="77777777" w:rsidR="00A624BC" w:rsidRPr="00416524" w:rsidRDefault="00A624BC" w:rsidP="00A624BC">
      <w:pPr>
        <w:spacing w:line="480" w:lineRule="auto"/>
        <w:jc w:val="center"/>
        <w:rPr>
          <w:rFonts w:ascii="Times New Roman" w:hAnsi="Times New Roman" w:cs="Times New Roman"/>
          <w:color w:val="000000" w:themeColor="text1"/>
          <w:szCs w:val="24"/>
        </w:rPr>
      </w:pPr>
    </w:p>
    <w:p w14:paraId="0CCF778A" w14:textId="77777777" w:rsidR="00A624BC" w:rsidRPr="00416524" w:rsidRDefault="00A624BC" w:rsidP="00A624BC">
      <w:pPr>
        <w:spacing w:line="480" w:lineRule="auto"/>
        <w:jc w:val="center"/>
        <w:rPr>
          <w:rFonts w:ascii="Times New Roman" w:hAnsi="Times New Roman" w:cs="Times New Roman"/>
          <w:color w:val="000000" w:themeColor="text1"/>
          <w:szCs w:val="24"/>
        </w:rPr>
      </w:pPr>
    </w:p>
    <w:p w14:paraId="0E29B1E4" w14:textId="77777777" w:rsidR="00A624BC" w:rsidRPr="00416524" w:rsidRDefault="00A624BC" w:rsidP="00A624BC">
      <w:pPr>
        <w:spacing w:line="480" w:lineRule="auto"/>
        <w:jc w:val="center"/>
        <w:rPr>
          <w:rFonts w:ascii="Times New Roman" w:hAnsi="Times New Roman" w:cs="Times New Roman"/>
          <w:b/>
          <w:bCs/>
          <w:color w:val="000000" w:themeColor="text1"/>
          <w:szCs w:val="24"/>
        </w:rPr>
      </w:pPr>
      <w:proofErr w:type="gramStart"/>
      <w:r w:rsidRPr="00416524">
        <w:rPr>
          <w:rFonts w:ascii="Times New Roman" w:hAnsi="Times New Roman" w:cs="Times New Roman"/>
          <w:b/>
          <w:bCs/>
          <w:color w:val="000000" w:themeColor="text1"/>
          <w:szCs w:val="24"/>
        </w:rPr>
        <w:t>Bachelor's</w:t>
      </w:r>
      <w:proofErr w:type="gramEnd"/>
      <w:r w:rsidRPr="00416524">
        <w:rPr>
          <w:rFonts w:ascii="Times New Roman" w:hAnsi="Times New Roman" w:cs="Times New Roman"/>
          <w:b/>
          <w:bCs/>
          <w:color w:val="000000" w:themeColor="text1"/>
          <w:szCs w:val="24"/>
        </w:rPr>
        <w:t xml:space="preserve"> in Tourism and Recreation</w:t>
      </w:r>
      <w:r w:rsidRPr="00416524">
        <w:rPr>
          <w:rFonts w:ascii="Times New Roman" w:hAnsi="Times New Roman" w:cs="Times New Roman"/>
          <w:b/>
          <w:bCs/>
          <w:color w:val="000000" w:themeColor="text1"/>
          <w:szCs w:val="24"/>
        </w:rPr>
        <w:br/>
      </w:r>
      <w:r w:rsidRPr="00416524">
        <w:rPr>
          <w:rFonts w:ascii="Times New Roman" w:hAnsi="Times New Roman" w:cs="Times New Roman"/>
          <w:b/>
          <w:bCs/>
          <w:color w:val="000000" w:themeColor="text1"/>
          <w:szCs w:val="24"/>
        </w:rPr>
        <w:br/>
      </w:r>
      <w:r>
        <w:rPr>
          <w:rFonts w:ascii="Times New Roman" w:hAnsi="Times New Roman" w:cs="Times New Roman"/>
          <w:b/>
          <w:bCs/>
          <w:color w:val="000000" w:themeColor="text1"/>
          <w:szCs w:val="24"/>
        </w:rPr>
        <w:t>Accounting Fundamentals</w:t>
      </w:r>
    </w:p>
    <w:p w14:paraId="709A399D" w14:textId="77777777" w:rsidR="00A624BC" w:rsidRDefault="00A624BC" w:rsidP="00A624BC">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E134A6">
        <w:rPr>
          <w:rFonts w:ascii="Times New Roman" w:eastAsia="Times New Roman" w:hAnsi="Times New Roman" w:cs="Times New Roman"/>
          <w:b/>
          <w:bCs/>
          <w:color w:val="000000" w:themeColor="text1"/>
          <w:kern w:val="0"/>
          <w:szCs w:val="24"/>
          <w:lang w:eastAsia="en-GB"/>
          <w14:ligatures w14:val="none"/>
        </w:rPr>
        <w:t>Assignment 2: The Double-Entry System and its Impact on Financial Reporting</w:t>
      </w:r>
    </w:p>
    <w:p w14:paraId="67A1284E" w14:textId="77777777" w:rsidR="00A624BC" w:rsidRDefault="00A624BC" w:rsidP="00A624BC">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C94244F" w14:textId="77777777" w:rsidR="00A624BC" w:rsidRDefault="00A624BC" w:rsidP="00A624BC">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4A41BAB9" w14:textId="77777777" w:rsidR="00A624BC" w:rsidRDefault="00A624BC" w:rsidP="00A624BC">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56A524BF" w14:textId="77777777" w:rsidR="00A624BC" w:rsidRDefault="00A624BC" w:rsidP="00A624BC">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187F8F8D" w14:textId="77777777" w:rsidR="00A624BC" w:rsidRDefault="00A624BC" w:rsidP="00A624BC">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70B2D7BB" w14:textId="77777777" w:rsidR="00A624BC" w:rsidRDefault="00A624BC" w:rsidP="00A624BC">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180B1407" w14:textId="77777777" w:rsidR="00A624BC" w:rsidRPr="00416524" w:rsidRDefault="00A624BC" w:rsidP="00A624BC">
      <w:pPr>
        <w:spacing w:line="480" w:lineRule="auto"/>
        <w:jc w:val="center"/>
        <w:rPr>
          <w:rFonts w:ascii="Times New Roman" w:hAnsi="Times New Roman" w:cs="Times New Roman"/>
          <w:color w:val="000000" w:themeColor="text1"/>
          <w:szCs w:val="24"/>
          <w:lang w:val="en-US"/>
        </w:rPr>
      </w:pPr>
    </w:p>
    <w:p w14:paraId="7C0C0404" w14:textId="77777777" w:rsidR="00A624BC" w:rsidRPr="00416524" w:rsidRDefault="00A624BC" w:rsidP="00A624BC">
      <w:pPr>
        <w:spacing w:line="480" w:lineRule="auto"/>
        <w:rPr>
          <w:rFonts w:ascii="Times New Roman" w:hAnsi="Times New Roman" w:cs="Times New Roman"/>
          <w:color w:val="000000" w:themeColor="text1"/>
          <w:szCs w:val="24"/>
          <w:lang w:val="en-US"/>
        </w:rPr>
      </w:pPr>
    </w:p>
    <w:p w14:paraId="7403057C" w14:textId="77777777" w:rsidR="00A624BC" w:rsidRPr="00416524" w:rsidRDefault="00A624BC" w:rsidP="00A624BC">
      <w:pPr>
        <w:spacing w:line="480" w:lineRule="auto"/>
        <w:rPr>
          <w:rFonts w:ascii="Times New Roman" w:hAnsi="Times New Roman" w:cs="Times New Roman"/>
          <w:color w:val="000000" w:themeColor="text1"/>
          <w:szCs w:val="24"/>
          <w:lang w:val="en-US"/>
        </w:rPr>
      </w:pPr>
    </w:p>
    <w:p w14:paraId="32F665F3" w14:textId="77777777" w:rsidR="00A624BC" w:rsidRPr="00416524" w:rsidRDefault="00A624BC" w:rsidP="00A624BC">
      <w:pPr>
        <w:spacing w:line="480" w:lineRule="auto"/>
        <w:rPr>
          <w:rFonts w:ascii="Times New Roman" w:hAnsi="Times New Roman" w:cs="Times New Roman"/>
          <w:color w:val="000000" w:themeColor="text1"/>
          <w:szCs w:val="24"/>
          <w:lang w:val="en-US"/>
        </w:rPr>
      </w:pPr>
    </w:p>
    <w:p w14:paraId="31B1F784" w14:textId="77777777" w:rsidR="00A624BC" w:rsidRPr="00416524" w:rsidRDefault="00A624BC" w:rsidP="00A624BC">
      <w:pPr>
        <w:spacing w:line="480" w:lineRule="auto"/>
        <w:rPr>
          <w:rFonts w:ascii="Times New Roman" w:hAnsi="Times New Roman" w:cs="Times New Roman"/>
          <w:color w:val="000000" w:themeColor="text1"/>
          <w:szCs w:val="24"/>
        </w:rPr>
      </w:pPr>
      <w:bookmarkStart w:id="0" w:name="_Toc215261146"/>
      <w:r w:rsidRPr="00416524">
        <w:rPr>
          <w:rStyle w:val="Heading1Char"/>
          <w:rFonts w:ascii="Times New Roman" w:hAnsi="Times New Roman" w:cs="Times New Roman"/>
          <w:b/>
          <w:bCs/>
          <w:color w:val="000000" w:themeColor="text1"/>
          <w:sz w:val="24"/>
          <w:szCs w:val="24"/>
        </w:rPr>
        <w:lastRenderedPageBreak/>
        <w:t>Abstract</w:t>
      </w:r>
      <w:bookmarkEnd w:id="0"/>
    </w:p>
    <w:p w14:paraId="13714D6F" w14:textId="77777777" w:rsidR="00A624BC" w:rsidRPr="005F14BD" w:rsidRDefault="00A624BC" w:rsidP="00A624BC">
      <w:pPr>
        <w:spacing w:line="480" w:lineRule="auto"/>
        <w:rPr>
          <w:rFonts w:ascii="Times New Roman" w:hAnsi="Times New Roman" w:cs="Times New Roman"/>
          <w:color w:val="000000" w:themeColor="text1"/>
          <w:szCs w:val="24"/>
        </w:rPr>
      </w:pPr>
      <w:r w:rsidRPr="005F14BD">
        <w:rPr>
          <w:rFonts w:ascii="Times New Roman" w:hAnsi="Times New Roman" w:cs="Times New Roman"/>
          <w:color w:val="000000" w:themeColor="text1"/>
          <w:szCs w:val="24"/>
        </w:rPr>
        <w:t>One of the basic systems that guarantees accuracy, consistency and reliability in financial reporting is the double-entry system of accounting. This system works on the principle that all financial transactions will involve two accounts, through which there will be a debit and credit entry in the accounting records, thus balancing them. The paper will discuss the theoretical and practical importance of the system of double-entry and the way in which that system aids in the process of accurate financial reporting. The system ensures a dynamic system of checks and balances between total debits and total credits, and this ensures that misstatements and fraud will be minimized (Weygandt et al., 2020).</w:t>
      </w:r>
    </w:p>
    <w:p w14:paraId="7CB463ED" w14:textId="77777777" w:rsidR="00A624BC" w:rsidRPr="005F14BD" w:rsidRDefault="00A624BC" w:rsidP="00A624BC">
      <w:pPr>
        <w:spacing w:line="480" w:lineRule="auto"/>
        <w:rPr>
          <w:rFonts w:ascii="Times New Roman" w:hAnsi="Times New Roman" w:cs="Times New Roman"/>
          <w:color w:val="000000" w:themeColor="text1"/>
          <w:szCs w:val="24"/>
        </w:rPr>
      </w:pPr>
      <w:r w:rsidRPr="005F14BD">
        <w:rPr>
          <w:rFonts w:ascii="Times New Roman" w:hAnsi="Times New Roman" w:cs="Times New Roman"/>
          <w:color w:val="000000" w:themeColor="text1"/>
          <w:szCs w:val="24"/>
        </w:rPr>
        <w:t>The paper also dwells on the concept of debits and credits and how they impact different types of accounts such as assets, liabilities, equity, revenues and expenses. It is postulated in the literature that the repetitive use of the validity of the accounting records and the reliability of the financial statements provided by the balance sheet, income statement, and cash flow statement can be strengthened with the use of the principles of double-entry (</w:t>
      </w:r>
      <w:proofErr w:type="spellStart"/>
      <w:r w:rsidRPr="005F14BD">
        <w:rPr>
          <w:rFonts w:ascii="Times New Roman" w:hAnsi="Times New Roman" w:cs="Times New Roman"/>
          <w:color w:val="000000" w:themeColor="text1"/>
          <w:szCs w:val="24"/>
        </w:rPr>
        <w:t>Kieso</w:t>
      </w:r>
      <w:proofErr w:type="spellEnd"/>
      <w:r w:rsidRPr="005F14BD">
        <w:rPr>
          <w:rFonts w:ascii="Times New Roman" w:hAnsi="Times New Roman" w:cs="Times New Roman"/>
          <w:color w:val="000000" w:themeColor="text1"/>
          <w:szCs w:val="24"/>
        </w:rPr>
        <w:t xml:space="preserve"> et al., 2021). The paper also brings out how the double-entry system assists in preparing the balanced financial statements by making amendments in financial position to be recorded systematically.</w:t>
      </w:r>
    </w:p>
    <w:p w14:paraId="2F6A7BAD" w14:textId="77777777" w:rsidR="00A624BC" w:rsidRDefault="00A624BC" w:rsidP="00A624BC">
      <w:pPr>
        <w:spacing w:line="480" w:lineRule="auto"/>
        <w:rPr>
          <w:rFonts w:ascii="Times New Roman" w:hAnsi="Times New Roman" w:cs="Times New Roman"/>
          <w:color w:val="000000" w:themeColor="text1"/>
          <w:szCs w:val="24"/>
        </w:rPr>
      </w:pPr>
      <w:r w:rsidRPr="005F14BD">
        <w:rPr>
          <w:rFonts w:ascii="Times New Roman" w:hAnsi="Times New Roman" w:cs="Times New Roman"/>
          <w:color w:val="000000" w:themeColor="text1"/>
          <w:szCs w:val="24"/>
        </w:rPr>
        <w:t xml:space="preserve">Moreover, the double-entry system is also addressed in the abstract as being essential in keeping the books of accounts </w:t>
      </w:r>
      <w:proofErr w:type="gramStart"/>
      <w:r w:rsidRPr="005F14BD">
        <w:rPr>
          <w:rFonts w:ascii="Times New Roman" w:hAnsi="Times New Roman" w:cs="Times New Roman"/>
          <w:color w:val="000000" w:themeColor="text1"/>
          <w:szCs w:val="24"/>
        </w:rPr>
        <w:t>accurate, and</w:t>
      </w:r>
      <w:proofErr w:type="gramEnd"/>
      <w:r w:rsidRPr="005F14BD">
        <w:rPr>
          <w:rFonts w:ascii="Times New Roman" w:hAnsi="Times New Roman" w:cs="Times New Roman"/>
          <w:color w:val="000000" w:themeColor="text1"/>
          <w:szCs w:val="24"/>
        </w:rPr>
        <w:t xml:space="preserve"> avoiding fraud by being traceable and auditable. The working transactions are illustrated by practical examples of transactions in real business situations. </w:t>
      </w:r>
      <w:proofErr w:type="gramStart"/>
      <w:r w:rsidRPr="005F14BD">
        <w:rPr>
          <w:rFonts w:ascii="Times New Roman" w:hAnsi="Times New Roman" w:cs="Times New Roman"/>
          <w:color w:val="000000" w:themeColor="text1"/>
          <w:szCs w:val="24"/>
        </w:rPr>
        <w:t>On the whole</w:t>
      </w:r>
      <w:proofErr w:type="gramEnd"/>
      <w:r w:rsidRPr="005F14BD">
        <w:rPr>
          <w:rFonts w:ascii="Times New Roman" w:hAnsi="Times New Roman" w:cs="Times New Roman"/>
          <w:color w:val="000000" w:themeColor="text1"/>
          <w:szCs w:val="24"/>
        </w:rPr>
        <w:t>, the paper clarifies that the notion of the double-entry system is not simply a mechanical accounting system but an essential system of control that is the foundation of transparency, accountability, and informed financial decision-making in contemporary organizations.</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23176A00" w14:textId="77777777" w:rsidR="00A624BC" w:rsidRPr="00015A1F" w:rsidRDefault="00A624BC" w:rsidP="00A624BC">
          <w:pPr>
            <w:spacing w:line="480" w:lineRule="auto"/>
            <w:rPr>
              <w:rFonts w:ascii="Times New Roman" w:hAnsi="Times New Roman" w:cs="Times New Roman"/>
              <w:i/>
              <w:iCs/>
              <w:color w:val="000000" w:themeColor="text1"/>
              <w:szCs w:val="24"/>
            </w:rPr>
          </w:pPr>
          <w:r w:rsidRPr="00015A1F">
            <w:rPr>
              <w:rFonts w:ascii="Times New Roman" w:hAnsi="Times New Roman" w:cs="Times New Roman"/>
              <w:i/>
              <w:iCs/>
              <w:color w:val="000000" w:themeColor="text1"/>
              <w:szCs w:val="24"/>
            </w:rPr>
            <w:t>Contents</w:t>
          </w:r>
        </w:p>
        <w:p w14:paraId="544A46C9" w14:textId="77777777" w:rsidR="00A624BC" w:rsidRPr="00015A1F" w:rsidRDefault="00A624BC" w:rsidP="00A624BC">
          <w:pPr>
            <w:pStyle w:val="TOC1"/>
            <w:tabs>
              <w:tab w:val="right" w:leader="dot" w:pos="9350"/>
            </w:tabs>
            <w:rPr>
              <w:rFonts w:ascii="Times New Roman" w:hAnsi="Times New Roman"/>
              <w:i/>
              <w:iCs/>
              <w:noProof/>
              <w:kern w:val="2"/>
              <w:sz w:val="24"/>
              <w:szCs w:val="21"/>
              <w:lang w:val="en-GB" w:eastAsia="en-GB" w:bidi="hi-IN"/>
              <w14:ligatures w14:val="standardContextual"/>
            </w:rPr>
          </w:pPr>
          <w:r w:rsidRPr="00015A1F">
            <w:rPr>
              <w:rFonts w:ascii="Times New Roman" w:hAnsi="Times New Roman"/>
              <w:i/>
              <w:iCs/>
              <w:color w:val="000000" w:themeColor="text1"/>
              <w:sz w:val="24"/>
              <w:szCs w:val="24"/>
            </w:rPr>
            <w:fldChar w:fldCharType="begin"/>
          </w:r>
          <w:r w:rsidRPr="00015A1F">
            <w:rPr>
              <w:rFonts w:ascii="Times New Roman" w:hAnsi="Times New Roman"/>
              <w:i/>
              <w:iCs/>
              <w:color w:val="000000" w:themeColor="text1"/>
              <w:sz w:val="24"/>
              <w:szCs w:val="24"/>
            </w:rPr>
            <w:instrText xml:space="preserve"> TOC \o "1-3" \h \z \u </w:instrText>
          </w:r>
          <w:r w:rsidRPr="00015A1F">
            <w:rPr>
              <w:rFonts w:ascii="Times New Roman" w:hAnsi="Times New Roman"/>
              <w:i/>
              <w:iCs/>
              <w:color w:val="000000" w:themeColor="text1"/>
              <w:sz w:val="24"/>
              <w:szCs w:val="24"/>
            </w:rPr>
            <w:fldChar w:fldCharType="separate"/>
          </w:r>
          <w:hyperlink w:anchor="_Toc215261146" w:history="1">
            <w:r w:rsidRPr="00015A1F">
              <w:rPr>
                <w:rStyle w:val="Hyperlink"/>
                <w:rFonts w:ascii="Times New Roman" w:hAnsi="Times New Roman"/>
                <w:b/>
                <w:bCs/>
                <w:i/>
                <w:iCs/>
                <w:noProof/>
              </w:rPr>
              <w:t>Abstract</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_Toc215261146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2</w:t>
            </w:r>
            <w:r w:rsidRPr="00015A1F">
              <w:rPr>
                <w:rFonts w:ascii="Times New Roman" w:hAnsi="Times New Roman"/>
                <w:i/>
                <w:iCs/>
                <w:noProof/>
                <w:webHidden/>
              </w:rPr>
              <w:fldChar w:fldCharType="end"/>
            </w:r>
          </w:hyperlink>
        </w:p>
        <w:p w14:paraId="408A5D1E" w14:textId="77777777" w:rsidR="00A624BC" w:rsidRPr="00015A1F" w:rsidRDefault="00A624BC" w:rsidP="00A624BC">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47" w:history="1">
            <w:r w:rsidRPr="00015A1F">
              <w:rPr>
                <w:rStyle w:val="Hyperlink"/>
                <w:rFonts w:ascii="Times New Roman" w:hAnsi="Times New Roman"/>
                <w:b/>
                <w:bCs/>
                <w:i/>
                <w:iCs/>
                <w:noProof/>
              </w:rPr>
              <w:t>1.Introduction</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_Toc215261147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5</w:t>
            </w:r>
            <w:r w:rsidRPr="00015A1F">
              <w:rPr>
                <w:rFonts w:ascii="Times New Roman" w:hAnsi="Times New Roman"/>
                <w:i/>
                <w:iCs/>
                <w:noProof/>
                <w:webHidden/>
              </w:rPr>
              <w:fldChar w:fldCharType="end"/>
            </w:r>
          </w:hyperlink>
        </w:p>
        <w:p w14:paraId="17232869" w14:textId="77777777" w:rsidR="00A624BC" w:rsidRPr="00015A1F" w:rsidRDefault="00A624BC" w:rsidP="00A624BC">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48" w:history="1">
            <w:r w:rsidRPr="00015A1F">
              <w:rPr>
                <w:rStyle w:val="Hyperlink"/>
                <w:rFonts w:ascii="Times New Roman" w:hAnsi="Times New Roman"/>
                <w:b/>
                <w:bCs/>
                <w:i/>
                <w:iCs/>
                <w:noProof/>
              </w:rPr>
              <w:t>2. Literature Review</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_Toc215261148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7</w:t>
            </w:r>
            <w:r w:rsidRPr="00015A1F">
              <w:rPr>
                <w:rFonts w:ascii="Times New Roman" w:hAnsi="Times New Roman"/>
                <w:i/>
                <w:iCs/>
                <w:noProof/>
                <w:webHidden/>
              </w:rPr>
              <w:fldChar w:fldCharType="end"/>
            </w:r>
          </w:hyperlink>
        </w:p>
        <w:p w14:paraId="3AD1F5D3" w14:textId="77777777" w:rsidR="00A624BC" w:rsidRPr="00015A1F" w:rsidRDefault="00A624BC" w:rsidP="00A624BC">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49" w:history="1">
            <w:r w:rsidRPr="00015A1F">
              <w:rPr>
                <w:rStyle w:val="Hyperlink"/>
                <w:rFonts w:ascii="Times New Roman" w:hAnsi="Times New Roman"/>
                <w:b/>
                <w:bCs/>
                <w:i/>
                <w:iCs/>
                <w:noProof/>
              </w:rPr>
              <w:t>3 Methodology</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_Toc215261149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13</w:t>
            </w:r>
            <w:r w:rsidRPr="00015A1F">
              <w:rPr>
                <w:rFonts w:ascii="Times New Roman" w:hAnsi="Times New Roman"/>
                <w:i/>
                <w:iCs/>
                <w:noProof/>
                <w:webHidden/>
              </w:rPr>
              <w:fldChar w:fldCharType="end"/>
            </w:r>
          </w:hyperlink>
        </w:p>
        <w:p w14:paraId="23D0638A" w14:textId="77777777" w:rsidR="00A624BC" w:rsidRPr="00015A1F" w:rsidRDefault="00A624BC" w:rsidP="00A624BC">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50" w:history="1">
            <w:r w:rsidRPr="00015A1F">
              <w:rPr>
                <w:rStyle w:val="Hyperlink"/>
                <w:rFonts w:ascii="Times New Roman" w:hAnsi="Times New Roman"/>
                <w:b/>
                <w:bCs/>
                <w:i/>
                <w:iCs/>
                <w:noProof/>
              </w:rPr>
              <w:t>4 Finding</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_Toc215261150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15</w:t>
            </w:r>
            <w:r w:rsidRPr="00015A1F">
              <w:rPr>
                <w:rFonts w:ascii="Times New Roman" w:hAnsi="Times New Roman"/>
                <w:i/>
                <w:iCs/>
                <w:noProof/>
                <w:webHidden/>
              </w:rPr>
              <w:fldChar w:fldCharType="end"/>
            </w:r>
          </w:hyperlink>
        </w:p>
        <w:p w14:paraId="0C876E57" w14:textId="77777777" w:rsidR="00A624BC" w:rsidRPr="00015A1F" w:rsidRDefault="00A624BC" w:rsidP="00A624BC">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51" w:history="1">
            <w:r w:rsidRPr="00015A1F">
              <w:rPr>
                <w:rStyle w:val="Hyperlink"/>
                <w:rFonts w:ascii="Times New Roman" w:hAnsi="Times New Roman"/>
                <w:b/>
                <w:bCs/>
                <w:i/>
                <w:iCs/>
                <w:noProof/>
              </w:rPr>
              <w:t>5. Discussion</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_Toc215261151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20</w:t>
            </w:r>
            <w:r w:rsidRPr="00015A1F">
              <w:rPr>
                <w:rFonts w:ascii="Times New Roman" w:hAnsi="Times New Roman"/>
                <w:i/>
                <w:iCs/>
                <w:noProof/>
                <w:webHidden/>
              </w:rPr>
              <w:fldChar w:fldCharType="end"/>
            </w:r>
          </w:hyperlink>
        </w:p>
        <w:p w14:paraId="42A0C4D7" w14:textId="77777777" w:rsidR="00A624BC" w:rsidRPr="00015A1F" w:rsidRDefault="00A624BC" w:rsidP="00A624BC">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52" w:history="1">
            <w:r w:rsidRPr="00015A1F">
              <w:rPr>
                <w:rStyle w:val="Hyperlink"/>
                <w:rFonts w:ascii="Times New Roman" w:hAnsi="Times New Roman"/>
                <w:b/>
                <w:bCs/>
                <w:i/>
                <w:iCs/>
                <w:noProof/>
              </w:rPr>
              <w:t>6. Recommendation</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_Toc215261152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23</w:t>
            </w:r>
            <w:r w:rsidRPr="00015A1F">
              <w:rPr>
                <w:rFonts w:ascii="Times New Roman" w:hAnsi="Times New Roman"/>
                <w:i/>
                <w:iCs/>
                <w:noProof/>
                <w:webHidden/>
              </w:rPr>
              <w:fldChar w:fldCharType="end"/>
            </w:r>
          </w:hyperlink>
        </w:p>
        <w:p w14:paraId="2CAC3FA7" w14:textId="77777777" w:rsidR="00A624BC" w:rsidRPr="00015A1F" w:rsidRDefault="00A624BC" w:rsidP="00A624BC">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53" w:history="1">
            <w:r w:rsidRPr="00015A1F">
              <w:rPr>
                <w:rStyle w:val="Hyperlink"/>
                <w:rFonts w:ascii="Times New Roman" w:hAnsi="Times New Roman"/>
                <w:b/>
                <w:bCs/>
                <w:i/>
                <w:iCs/>
                <w:noProof/>
              </w:rPr>
              <w:t>8. Conclusion</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_Toc215261153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25</w:t>
            </w:r>
            <w:r w:rsidRPr="00015A1F">
              <w:rPr>
                <w:rFonts w:ascii="Times New Roman" w:hAnsi="Times New Roman"/>
                <w:i/>
                <w:iCs/>
                <w:noProof/>
                <w:webHidden/>
              </w:rPr>
              <w:fldChar w:fldCharType="end"/>
            </w:r>
          </w:hyperlink>
        </w:p>
        <w:p w14:paraId="6712B172" w14:textId="77777777" w:rsidR="00A624BC" w:rsidRPr="00015A1F" w:rsidRDefault="00A624BC" w:rsidP="00A624BC">
          <w:pPr>
            <w:pStyle w:val="TOC1"/>
            <w:tabs>
              <w:tab w:val="right" w:leader="dot" w:pos="9350"/>
            </w:tabs>
            <w:rPr>
              <w:rFonts w:ascii="Times New Roman" w:hAnsi="Times New Roman"/>
              <w:i/>
              <w:iCs/>
              <w:noProof/>
              <w:kern w:val="2"/>
              <w:sz w:val="24"/>
              <w:szCs w:val="21"/>
              <w:lang w:val="en-GB" w:eastAsia="en-GB" w:bidi="hi-IN"/>
              <w14:ligatures w14:val="standardContextual"/>
            </w:rPr>
          </w:pPr>
          <w:hyperlink w:anchor="_Toc215261154" w:history="1">
            <w:r w:rsidRPr="00015A1F">
              <w:rPr>
                <w:rStyle w:val="Hyperlink"/>
                <w:rFonts w:ascii="Times New Roman" w:hAnsi="Times New Roman"/>
                <w:b/>
                <w:bCs/>
                <w:i/>
                <w:iCs/>
                <w:noProof/>
              </w:rPr>
              <w:t>Reference List</w:t>
            </w:r>
            <w:r w:rsidRPr="00015A1F">
              <w:rPr>
                <w:rFonts w:ascii="Times New Roman" w:hAnsi="Times New Roman"/>
                <w:i/>
                <w:iCs/>
                <w:noProof/>
                <w:webHidden/>
              </w:rPr>
              <w:tab/>
            </w:r>
            <w:r w:rsidRPr="00015A1F">
              <w:rPr>
                <w:rFonts w:ascii="Times New Roman" w:hAnsi="Times New Roman"/>
                <w:i/>
                <w:iCs/>
                <w:noProof/>
                <w:webHidden/>
              </w:rPr>
              <w:fldChar w:fldCharType="begin"/>
            </w:r>
            <w:r w:rsidRPr="00015A1F">
              <w:rPr>
                <w:rFonts w:ascii="Times New Roman" w:hAnsi="Times New Roman"/>
                <w:i/>
                <w:iCs/>
                <w:noProof/>
                <w:webHidden/>
              </w:rPr>
              <w:instrText xml:space="preserve"> PAGEREF _Toc215261154 \h </w:instrText>
            </w:r>
            <w:r w:rsidRPr="00015A1F">
              <w:rPr>
                <w:rFonts w:ascii="Times New Roman" w:hAnsi="Times New Roman"/>
                <w:i/>
                <w:iCs/>
                <w:noProof/>
                <w:webHidden/>
              </w:rPr>
            </w:r>
            <w:r w:rsidRPr="00015A1F">
              <w:rPr>
                <w:rFonts w:ascii="Times New Roman" w:hAnsi="Times New Roman"/>
                <w:i/>
                <w:iCs/>
                <w:noProof/>
                <w:webHidden/>
              </w:rPr>
              <w:fldChar w:fldCharType="separate"/>
            </w:r>
            <w:r w:rsidRPr="00015A1F">
              <w:rPr>
                <w:rFonts w:ascii="Times New Roman" w:hAnsi="Times New Roman"/>
                <w:i/>
                <w:iCs/>
                <w:noProof/>
                <w:webHidden/>
              </w:rPr>
              <w:t>27</w:t>
            </w:r>
            <w:r w:rsidRPr="00015A1F">
              <w:rPr>
                <w:rFonts w:ascii="Times New Roman" w:hAnsi="Times New Roman"/>
                <w:i/>
                <w:iCs/>
                <w:noProof/>
                <w:webHidden/>
              </w:rPr>
              <w:fldChar w:fldCharType="end"/>
            </w:r>
          </w:hyperlink>
        </w:p>
        <w:p w14:paraId="532E6311" w14:textId="77777777" w:rsidR="00A624BC" w:rsidRPr="00416524" w:rsidRDefault="00A624BC" w:rsidP="00A624BC">
          <w:pPr>
            <w:spacing w:line="480" w:lineRule="auto"/>
            <w:rPr>
              <w:rFonts w:ascii="Times New Roman" w:hAnsi="Times New Roman" w:cs="Times New Roman"/>
              <w:color w:val="000000" w:themeColor="text1"/>
              <w:szCs w:val="24"/>
            </w:rPr>
          </w:pPr>
          <w:r w:rsidRPr="00015A1F">
            <w:rPr>
              <w:rFonts w:ascii="Times New Roman" w:hAnsi="Times New Roman" w:cs="Times New Roman"/>
              <w:b/>
              <w:bCs/>
              <w:i/>
              <w:iCs/>
              <w:noProof/>
              <w:color w:val="000000" w:themeColor="text1"/>
              <w:szCs w:val="24"/>
            </w:rPr>
            <w:fldChar w:fldCharType="end"/>
          </w:r>
        </w:p>
      </w:sdtContent>
    </w:sdt>
    <w:p w14:paraId="359B584C" w14:textId="77777777" w:rsidR="00A624BC" w:rsidRPr="00416524" w:rsidRDefault="00A624BC" w:rsidP="00A624BC">
      <w:pPr>
        <w:spacing w:line="480" w:lineRule="auto"/>
        <w:rPr>
          <w:rFonts w:ascii="Times New Roman" w:hAnsi="Times New Roman" w:cs="Times New Roman"/>
          <w:color w:val="000000" w:themeColor="text1"/>
          <w:szCs w:val="24"/>
        </w:rPr>
      </w:pPr>
    </w:p>
    <w:p w14:paraId="23971C46" w14:textId="77777777" w:rsidR="00A624BC" w:rsidRPr="00416524" w:rsidRDefault="00A624BC" w:rsidP="00A624BC">
      <w:pPr>
        <w:spacing w:line="480" w:lineRule="auto"/>
        <w:rPr>
          <w:rFonts w:ascii="Times New Roman" w:hAnsi="Times New Roman" w:cs="Times New Roman"/>
          <w:color w:val="000000" w:themeColor="text1"/>
          <w:szCs w:val="24"/>
        </w:rPr>
      </w:pPr>
    </w:p>
    <w:p w14:paraId="772479E6" w14:textId="77777777" w:rsidR="00A624BC" w:rsidRPr="00416524" w:rsidRDefault="00A624BC" w:rsidP="00A624BC">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br w:type="page"/>
      </w:r>
    </w:p>
    <w:p w14:paraId="4D656FE7" w14:textId="77777777" w:rsidR="00A624BC" w:rsidRPr="00994CD0" w:rsidRDefault="00A624BC" w:rsidP="00A624BC">
      <w:pPr>
        <w:spacing w:line="480" w:lineRule="auto"/>
        <w:rPr>
          <w:rStyle w:val="Heading1Char"/>
          <w:rFonts w:ascii="Times New Roman" w:hAnsi="Times New Roman" w:cs="Times New Roman"/>
          <w:b/>
          <w:bCs/>
          <w:color w:val="000000" w:themeColor="text1"/>
          <w:sz w:val="24"/>
          <w:szCs w:val="24"/>
        </w:rPr>
      </w:pPr>
      <w:bookmarkStart w:id="1" w:name="_Toc215261151"/>
      <w:r w:rsidRPr="00994CD0">
        <w:rPr>
          <w:rStyle w:val="Heading1Char"/>
          <w:rFonts w:ascii="Times New Roman" w:hAnsi="Times New Roman" w:cs="Times New Roman"/>
          <w:b/>
          <w:bCs/>
          <w:color w:val="000000" w:themeColor="text1"/>
          <w:sz w:val="24"/>
          <w:szCs w:val="24"/>
        </w:rPr>
        <w:lastRenderedPageBreak/>
        <w:t xml:space="preserve">1. INTRODUCTION </w:t>
      </w:r>
    </w:p>
    <w:bookmarkEnd w:id="1"/>
    <w:p w14:paraId="57D022BA"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 xml:space="preserve">The most notable development in the history of accounting and financial reporting </w:t>
      </w:r>
      <w:proofErr w:type="gramStart"/>
      <w:r w:rsidRPr="00A624BC">
        <w:rPr>
          <w:rFonts w:ascii="Times New Roman" w:eastAsiaTheme="majorEastAsia" w:hAnsi="Times New Roman" w:cs="Times New Roman"/>
          <w:color w:val="000000" w:themeColor="text1"/>
          <w:szCs w:val="24"/>
        </w:rPr>
        <w:t>is considered to be</w:t>
      </w:r>
      <w:proofErr w:type="gramEnd"/>
      <w:r w:rsidRPr="00A624BC">
        <w:rPr>
          <w:rFonts w:ascii="Times New Roman" w:eastAsiaTheme="majorEastAsia" w:hAnsi="Times New Roman" w:cs="Times New Roman"/>
          <w:color w:val="000000" w:themeColor="text1"/>
          <w:szCs w:val="24"/>
        </w:rPr>
        <w:t xml:space="preserve"> the double-entry system of accounting. Originating in the early business transactions, the system has become a universal way of recording financial transactions in small businesses as well as in large corporations. The principle underlying the double-entry system is that any transaction must have two entries: a debit entry and a credit entry to ensure that the accounting records are balanced (Godfrey et al., 2010). It is based on this core idea that contemporary accounting is </w:t>
      </w:r>
      <w:proofErr w:type="gramStart"/>
      <w:r w:rsidRPr="00A624BC">
        <w:rPr>
          <w:rFonts w:ascii="Times New Roman" w:eastAsiaTheme="majorEastAsia" w:hAnsi="Times New Roman" w:cs="Times New Roman"/>
          <w:color w:val="000000" w:themeColor="text1"/>
          <w:szCs w:val="24"/>
        </w:rPr>
        <w:t>conducted</w:t>
      </w:r>
      <w:proofErr w:type="gramEnd"/>
      <w:r w:rsidRPr="00A624BC">
        <w:rPr>
          <w:rFonts w:ascii="Times New Roman" w:eastAsiaTheme="majorEastAsia" w:hAnsi="Times New Roman" w:cs="Times New Roman"/>
          <w:color w:val="000000" w:themeColor="text1"/>
          <w:szCs w:val="24"/>
        </w:rPr>
        <w:t xml:space="preserve"> and the accuracy and fullness of the financial information is the necessary condition.</w:t>
      </w:r>
    </w:p>
    <w:p w14:paraId="66D114FB"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Among the main advantages of the double-entry system, the integrity of financial data should be noted. The system provides a self-balancing mechanism by recording transactions in at least two accounts and this makes it easier to detect and correct errors. When the totals of debits and credits are not equal, inconsistencies are detected immediately and corrected (Weygandt et al., 2020). It is an important aspect that makes the double-entry system indispensable to the maintenance of proper books of accounts and the ultimate support of an effective system of internal control.</w:t>
      </w:r>
    </w:p>
    <w:p w14:paraId="7E1ED219"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The key to the functioning of the double-entry system is the notion of debits and credits, which helps the transactions to be documented in various kinds of the accounts. Debits and credits do not necessarily imply an increase or decrease but rather the impact varies according to the type of account. As an example, debits add to the asset and expense accounts, whereas credits are added to the liability, equity, and revenue accounts (</w:t>
      </w:r>
      <w:proofErr w:type="spellStart"/>
      <w:r w:rsidRPr="00A624BC">
        <w:rPr>
          <w:rFonts w:ascii="Times New Roman" w:eastAsiaTheme="majorEastAsia" w:hAnsi="Times New Roman" w:cs="Times New Roman"/>
          <w:color w:val="000000" w:themeColor="text1"/>
          <w:szCs w:val="24"/>
        </w:rPr>
        <w:t>Kieso</w:t>
      </w:r>
      <w:proofErr w:type="spellEnd"/>
      <w:r w:rsidRPr="00A624BC">
        <w:rPr>
          <w:rFonts w:ascii="Times New Roman" w:eastAsiaTheme="majorEastAsia" w:hAnsi="Times New Roman" w:cs="Times New Roman"/>
          <w:color w:val="000000" w:themeColor="text1"/>
          <w:szCs w:val="24"/>
        </w:rPr>
        <w:t xml:space="preserve"> et al., 2021). These rules are essential in ensuring that transactions are properly recorded and that financial statements present a proper financial picture and performance of an organization.</w:t>
      </w:r>
    </w:p>
    <w:p w14:paraId="7F6EFF04"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lastRenderedPageBreak/>
        <w:t>The double-entry system is also critical in the preparation of a balanced financial statement. The balance sheet is the direct result of the ledger accounts sustained on a double-entry basis, so that the total assets are equal to the sum of liabilities and equity. Equally, revenues and expenses accrued under the double-entry bookkeeping are recorded to the income statement and similar entries to the cash flow statement in the form of cash entries (Penman, 2013). This interrelationship underscores the role of the system in generating dependable and reliable financial reports.</w:t>
      </w:r>
    </w:p>
    <w:p w14:paraId="603A390F"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Moreover, the double-entry system is an important instrument in financial accountability and fraud prevention. The necessity of entering records twice builds an audit trail that increases transparency and hinders illegal manipulation of records (Bushman and Smith, 2001). The need to have strong accounting systems is constantly rising as businesses have become more regulated and intricate.</w:t>
      </w:r>
    </w:p>
    <w:p w14:paraId="34ABD0FD"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This task will set out to discuss the double-entry system in greater detail, including how it works, the principles behind its operation, and how it affects the accuracy of financial reporting. The paper aims to show the timeless applicability of the double-entry system in capable of obtaining reliable and trustworthy financial information by incorporating theoretical views and practical examples.</w:t>
      </w:r>
    </w:p>
    <w:p w14:paraId="3E7D39E6"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p>
    <w:p w14:paraId="65230B0A"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p>
    <w:p w14:paraId="0C6B5A59"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Literature Review</w:t>
      </w:r>
    </w:p>
    <w:p w14:paraId="0D75C866"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1. Historical Progression of the Double-Entry System.</w:t>
      </w:r>
    </w:p>
    <w:p w14:paraId="7A95B024"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lastRenderedPageBreak/>
        <w:t>The double-entry system of accounting is often considered as one of the most powerful innovations in the development of financial reporting. The formal documentation of historical literature can be tracked to the work of Luca Pacioli in the late fifteenth century under which the principles of dual recording were formulized (</w:t>
      </w:r>
      <w:proofErr w:type="spellStart"/>
      <w:r w:rsidRPr="00A624BC">
        <w:rPr>
          <w:rFonts w:ascii="Times New Roman" w:eastAsiaTheme="majorEastAsia" w:hAnsi="Times New Roman" w:cs="Times New Roman"/>
          <w:color w:val="000000" w:themeColor="text1"/>
          <w:szCs w:val="24"/>
        </w:rPr>
        <w:t>Yamey</w:t>
      </w:r>
      <w:proofErr w:type="spellEnd"/>
      <w:r w:rsidRPr="00A624BC">
        <w:rPr>
          <w:rFonts w:ascii="Times New Roman" w:eastAsiaTheme="majorEastAsia" w:hAnsi="Times New Roman" w:cs="Times New Roman"/>
          <w:color w:val="000000" w:themeColor="text1"/>
          <w:szCs w:val="24"/>
        </w:rPr>
        <w:t>, 2004). The double-entry system has since become the basis of modern accounting practice, which offers an organized way of recording financial transactions in a logical and balanced way.</w:t>
      </w:r>
    </w:p>
    <w:p w14:paraId="5B935308"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Historians believe that the introduction of the double-entry bookkeeping system was a transition of the mere record keeping to a more effective financial measuring tool that could serve in the development of the business as well as in accountability (Littleton, 1966). The modern accounting literature notes that the long-term applicability of the system is in the fact that the system captures a twofold economic effect of transactions, so that the financial records indicate the allocation of resources and the sources of finance (Godfrey et al., 2010).</w:t>
      </w:r>
    </w:p>
    <w:p w14:paraId="3DE540C9"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p>
    <w:p w14:paraId="1EF3218F"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2. Theorical Foundations of Double-Entry Accounting.</w:t>
      </w:r>
    </w:p>
    <w:p w14:paraId="705B29D0"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 xml:space="preserve">The conceptual basis of the double-entry system is the two-aspect notion that each financial transaction has two equivalent implications on the financial position of an entity. This idea is in line with the accounting equation, according to which assets should </w:t>
      </w:r>
      <w:proofErr w:type="gramStart"/>
      <w:r w:rsidRPr="00A624BC">
        <w:rPr>
          <w:rFonts w:ascii="Times New Roman" w:eastAsiaTheme="majorEastAsia" w:hAnsi="Times New Roman" w:cs="Times New Roman"/>
          <w:color w:val="000000" w:themeColor="text1"/>
          <w:szCs w:val="24"/>
        </w:rPr>
        <w:t>at all times</w:t>
      </w:r>
      <w:proofErr w:type="gramEnd"/>
      <w:r w:rsidRPr="00A624BC">
        <w:rPr>
          <w:rFonts w:ascii="Times New Roman" w:eastAsiaTheme="majorEastAsia" w:hAnsi="Times New Roman" w:cs="Times New Roman"/>
          <w:color w:val="000000" w:themeColor="text1"/>
          <w:szCs w:val="24"/>
        </w:rPr>
        <w:t xml:space="preserve"> equal the aggregate of liabilities and equity (Weygandt et al., 2020). This relationship is always mentioned in literature as crucial to the balance and internal consistency of accounting records.</w:t>
      </w:r>
    </w:p>
    <w:p w14:paraId="745FF99C"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Scholars observe that the double-entry system improves logical framework of accounting by establishing cause and effect in the transactions. To illustrate this, purchasing an asset on credit adds both assets and liabilities balancing them out (</w:t>
      </w:r>
      <w:proofErr w:type="spellStart"/>
      <w:r w:rsidRPr="00A624BC">
        <w:rPr>
          <w:rFonts w:ascii="Times New Roman" w:eastAsiaTheme="majorEastAsia" w:hAnsi="Times New Roman" w:cs="Times New Roman"/>
          <w:color w:val="000000" w:themeColor="text1"/>
          <w:szCs w:val="24"/>
        </w:rPr>
        <w:t>Kieso</w:t>
      </w:r>
      <w:proofErr w:type="spellEnd"/>
      <w:r w:rsidRPr="00A624BC">
        <w:rPr>
          <w:rFonts w:ascii="Times New Roman" w:eastAsiaTheme="majorEastAsia" w:hAnsi="Times New Roman" w:cs="Times New Roman"/>
          <w:color w:val="000000" w:themeColor="text1"/>
          <w:szCs w:val="24"/>
        </w:rPr>
        <w:t xml:space="preserve"> et al., 2021). This dual recognition is </w:t>
      </w:r>
      <w:r w:rsidRPr="00A624BC">
        <w:rPr>
          <w:rFonts w:ascii="Times New Roman" w:eastAsiaTheme="majorEastAsia" w:hAnsi="Times New Roman" w:cs="Times New Roman"/>
          <w:color w:val="000000" w:themeColor="text1"/>
          <w:szCs w:val="24"/>
        </w:rPr>
        <w:lastRenderedPageBreak/>
        <w:t>considered to play the vital role of ensuring that the financial statements do not reflect solitary events but reflect on the economic reality.</w:t>
      </w:r>
    </w:p>
    <w:p w14:paraId="20F7C8FD"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p>
    <w:p w14:paraId="5CE65A5D"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3. Financial Transactions: Debits and Credits.</w:t>
      </w:r>
    </w:p>
    <w:p w14:paraId="0C25946E"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A significant proportion of accounting literature is devoted to the place of debits and credits as the working mechanism of the system of doubles. Debits and credits do not reflect good or bad value; they reflect the directional flow of the financial impact that lies in the account classification (Libby et al., 2017). Debits increase the value of assets and expenses, whereas credits increase the value of liabilities, equity, and revenues.</w:t>
      </w:r>
    </w:p>
    <w:p w14:paraId="18BBEFFE"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 xml:space="preserve">It is highlighted in the scholarly works that adequate knowledge of the rules of debit and credit is a key to the proper recording of transactions and the preparation of financial statements. Misstatements that misrepresent reported financial performance and position may occur </w:t>
      </w:r>
      <w:proofErr w:type="gramStart"/>
      <w:r w:rsidRPr="00A624BC">
        <w:rPr>
          <w:rFonts w:ascii="Times New Roman" w:eastAsiaTheme="majorEastAsia" w:hAnsi="Times New Roman" w:cs="Times New Roman"/>
          <w:color w:val="000000" w:themeColor="text1"/>
          <w:szCs w:val="24"/>
        </w:rPr>
        <w:t>as a result of</w:t>
      </w:r>
      <w:proofErr w:type="gramEnd"/>
      <w:r w:rsidRPr="00A624BC">
        <w:rPr>
          <w:rFonts w:ascii="Times New Roman" w:eastAsiaTheme="majorEastAsia" w:hAnsi="Times New Roman" w:cs="Times New Roman"/>
          <w:color w:val="000000" w:themeColor="text1"/>
          <w:szCs w:val="24"/>
        </w:rPr>
        <w:t xml:space="preserve"> errors in applying debit-credits (Penman, 2013). Another piece of literature evidently points out that standardized use of debit and credit principles makes results comparable and transparency-friendly throughout organizations and across accounting periods.</w:t>
      </w:r>
    </w:p>
    <w:p w14:paraId="7CF2A74E"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p>
    <w:p w14:paraId="040958D8"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p>
    <w:p w14:paraId="75A21388"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p>
    <w:p w14:paraId="65D44A08"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4. Accuracy of Financial Reporting and Double-Entry System.</w:t>
      </w:r>
    </w:p>
    <w:p w14:paraId="1C28F80A"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 xml:space="preserve">The literature is largely in support of the perspective that the double-entry system increases the accuracy and reliability of financial reporting. The inbuilt self-balancing mechanism is one of its </w:t>
      </w:r>
      <w:r w:rsidRPr="00A624BC">
        <w:rPr>
          <w:rFonts w:ascii="Times New Roman" w:eastAsiaTheme="majorEastAsia" w:hAnsi="Times New Roman" w:cs="Times New Roman"/>
          <w:color w:val="000000" w:themeColor="text1"/>
          <w:szCs w:val="24"/>
        </w:rPr>
        <w:lastRenderedPageBreak/>
        <w:t>main strengths, as the total debits must be equal to the total credits. This allows recording errors and omissions to be identified in time, minimizing the possibility of misleading financial statements (Weygandt et al., 2020).</w:t>
      </w:r>
    </w:p>
    <w:p w14:paraId="6AC05705"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Empirical research indicates that organizations with strong double-entry systems have greater accounting accuracy and internal control effectiveness (Bushman and Smith, 2001). The system is such that financial data is verifiable and audit able by keeping detailed ledger accounts and by systematically cross checking. This reliability is especially relevant to the external stakeholders who depend on the financial statements to make investment, lending and regulatory decisions.</w:t>
      </w:r>
    </w:p>
    <w:p w14:paraId="6FD74E47"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p>
    <w:p w14:paraId="31E2F67A"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5. Preparation of Balanced Financial Statements.</w:t>
      </w:r>
    </w:p>
    <w:p w14:paraId="6B166362"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The other theme that has been a focus of the literature is the role of the double-entry system in facilitating the preparation of balanced financial statements. A direct consequence of the double-entry bookkeeping is the balance sheet, which shows the equality between the assets and the sum of claims of the liabilities and the equity (</w:t>
      </w:r>
      <w:proofErr w:type="spellStart"/>
      <w:r w:rsidRPr="00A624BC">
        <w:rPr>
          <w:rFonts w:ascii="Times New Roman" w:eastAsiaTheme="majorEastAsia" w:hAnsi="Times New Roman" w:cs="Times New Roman"/>
          <w:color w:val="000000" w:themeColor="text1"/>
          <w:szCs w:val="24"/>
        </w:rPr>
        <w:t>Kieso</w:t>
      </w:r>
      <w:proofErr w:type="spellEnd"/>
      <w:r w:rsidRPr="00A624BC">
        <w:rPr>
          <w:rFonts w:ascii="Times New Roman" w:eastAsiaTheme="majorEastAsia" w:hAnsi="Times New Roman" w:cs="Times New Roman"/>
          <w:color w:val="000000" w:themeColor="text1"/>
          <w:szCs w:val="24"/>
        </w:rPr>
        <w:t xml:space="preserve"> et al., 2021). The balance would be much harder to maintain without the double-entry framework.</w:t>
      </w:r>
    </w:p>
    <w:p w14:paraId="54EFA83A"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Also, closely related to the concept of double-entry accounting is the income statement that is prepared by orderly recording revenues and expenses under debit and credit entries respectively. Research has shown that proper measurement of income requires the stable use of the principles of double entry, especially where accrual basis on reporting is involved (Dechow and Dichev, 2002). Moreover, the cash flow statement relies on cash-related entries included in the entries double-entry system which contributes to the interconnection of financial statements (Penman, 2013).</w:t>
      </w:r>
    </w:p>
    <w:p w14:paraId="09159C34"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p>
    <w:p w14:paraId="1D163648"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6. Role Internal Control and Fraud Prevention.</w:t>
      </w:r>
    </w:p>
    <w:p w14:paraId="782D3541"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The use of the double-entry system as an aid in internal control and the prevention of fraud is widely recognized in the literature. The system is also more transparent and accountable in accounting records as it demands two entries and an audit trail (Bushman and Smith, 2001). Any unauthorized changes in a single account will most likely cause an imbalance and hence easy to manipulate.</w:t>
      </w:r>
    </w:p>
    <w:p w14:paraId="7960FB4A"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Studies indicate that the double-entry bookkeeping is conducive to qualitative auditing as it offers a clear idea of the flow of transactions and relationships of the accounts (Healy and Palepu, 2001). It would be especially beneficial in large organizations with intricate transactions, whose robust control mechanisms are necessary to protect the assets, as well as preserve the trust of the stakeholders.</w:t>
      </w:r>
    </w:p>
    <w:p w14:paraId="18954FAE"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p>
    <w:p w14:paraId="331E7B30"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7. Application of Double-Entry Accounting in Practice.</w:t>
      </w:r>
    </w:p>
    <w:p w14:paraId="3368A406"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The practical accounting literature tends to emphasize the prevalence of the double-entry system in industries and organization scales. Whether operating a small business or multinational, the system offers a uniform process of capturing transactions like sales, purchases, payroll, and financing (Libby et al., 2017). Case-based research establishes that a uniform use of the principles of double-entry enhances financial discipline and the accuracy of reporting.</w:t>
      </w:r>
    </w:p>
    <w:p w14:paraId="50694DE0"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 xml:space="preserve">The flexibility of the double-entry system in today accounting settings, such as computerized accounting and enterprise resource planning (ERP) systems, is also highlighted in the literature. </w:t>
      </w:r>
      <w:r w:rsidRPr="00A624BC">
        <w:rPr>
          <w:rFonts w:ascii="Times New Roman" w:eastAsiaTheme="majorEastAsia" w:hAnsi="Times New Roman" w:cs="Times New Roman"/>
          <w:color w:val="000000" w:themeColor="text1"/>
          <w:szCs w:val="24"/>
        </w:rPr>
        <w:lastRenderedPageBreak/>
        <w:t xml:space="preserve">Regardless of the technological developments, the principles of debits and credits have remained the same, which highlights the timeless applicability of the system (Romney &amp; </w:t>
      </w:r>
      <w:proofErr w:type="spellStart"/>
      <w:r w:rsidRPr="00A624BC">
        <w:rPr>
          <w:rFonts w:ascii="Times New Roman" w:eastAsiaTheme="majorEastAsia" w:hAnsi="Times New Roman" w:cs="Times New Roman"/>
          <w:color w:val="000000" w:themeColor="text1"/>
          <w:szCs w:val="24"/>
        </w:rPr>
        <w:t>Steinbart</w:t>
      </w:r>
      <w:proofErr w:type="spellEnd"/>
      <w:r w:rsidRPr="00A624BC">
        <w:rPr>
          <w:rFonts w:ascii="Times New Roman" w:eastAsiaTheme="majorEastAsia" w:hAnsi="Times New Roman" w:cs="Times New Roman"/>
          <w:color w:val="000000" w:themeColor="text1"/>
          <w:szCs w:val="24"/>
        </w:rPr>
        <w:t>, 2021).</w:t>
      </w:r>
    </w:p>
    <w:p w14:paraId="72DD6017"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p>
    <w:p w14:paraId="31BC4AC4"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8. Contemporary Accounting Practice Significance.</w:t>
      </w:r>
    </w:p>
    <w:p w14:paraId="1F8D1726"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Altogether, the literature reviewed allows concluding that the double-entry system is still the focus of modern accounting practice. Its theoretical basis, working mechanisms and control features all combine to ensure reliable financial reporting and sound decision making. As scholars have always claimed, in the absence of the double-entry system, the contemporary financial accounting would not have the framework and believability to substantiate business activities with advanced complexity and regulatory needs (Godfrey et al., 2010).</w:t>
      </w:r>
    </w:p>
    <w:p w14:paraId="02BDCD66"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p>
    <w:p w14:paraId="467D6532"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p>
    <w:p w14:paraId="53A01046"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 xml:space="preserve">Methodology </w:t>
      </w:r>
    </w:p>
    <w:p w14:paraId="3E9D277E"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 xml:space="preserve">The proposed research paper assumes the qualitative, conceptual method of research to </w:t>
      </w:r>
      <w:proofErr w:type="spellStart"/>
      <w:r w:rsidRPr="00A624BC">
        <w:rPr>
          <w:rFonts w:ascii="Times New Roman" w:eastAsiaTheme="majorEastAsia" w:hAnsi="Times New Roman" w:cs="Times New Roman"/>
          <w:color w:val="000000" w:themeColor="text1"/>
          <w:szCs w:val="24"/>
        </w:rPr>
        <w:t>analyze</w:t>
      </w:r>
      <w:proofErr w:type="spellEnd"/>
      <w:r w:rsidRPr="00A624BC">
        <w:rPr>
          <w:rFonts w:ascii="Times New Roman" w:eastAsiaTheme="majorEastAsia" w:hAnsi="Times New Roman" w:cs="Times New Roman"/>
          <w:color w:val="000000" w:themeColor="text1"/>
          <w:szCs w:val="24"/>
        </w:rPr>
        <w:t xml:space="preserve"> the concept of the double-entry system of accounting and its effects on financial reporting accuracy, reliability, and the prevention of fraud. The qualitative method is suitable in this assignment since the study is aimed at explaining and interpreting the already set principles of accounting, not necessarily attempting to test any hypotheses using quantitative data. Conceptual research is popular in accounting research to integrate theoretical insight and describe the functioning of accounting regimes in practice (Godfrey et al., 2010).</w:t>
      </w:r>
    </w:p>
    <w:p w14:paraId="2E00F35A"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lastRenderedPageBreak/>
        <w:t xml:space="preserve">The study will be founded on the primary data sources, which include peer-reviewed academic journal articles, recognized accounting textbooks, professional publications, and accounting standards published by various recognized standard-setting organizations. The relevant literature </w:t>
      </w:r>
      <w:proofErr w:type="gramStart"/>
      <w:r w:rsidRPr="00A624BC">
        <w:rPr>
          <w:rFonts w:ascii="Times New Roman" w:eastAsiaTheme="majorEastAsia" w:hAnsi="Times New Roman" w:cs="Times New Roman"/>
          <w:color w:val="000000" w:themeColor="text1"/>
          <w:szCs w:val="24"/>
        </w:rPr>
        <w:t>was located in</w:t>
      </w:r>
      <w:proofErr w:type="gramEnd"/>
      <w:r w:rsidRPr="00A624BC">
        <w:rPr>
          <w:rFonts w:ascii="Times New Roman" w:eastAsiaTheme="majorEastAsia" w:hAnsi="Times New Roman" w:cs="Times New Roman"/>
          <w:color w:val="000000" w:themeColor="text1"/>
          <w:szCs w:val="24"/>
        </w:rPr>
        <w:t xml:space="preserve"> Google Scholar and academic databases like Scopus and Web of Science. Sources with Digital Object Identifiers (DOIs) were given special focus to guarantee academic credibility, traceability, and credibility. The application of academic literature enables a holistic perception of theoretical basis and practical consequences of the double-entry system (</w:t>
      </w:r>
      <w:proofErr w:type="spellStart"/>
      <w:r w:rsidRPr="00A624BC">
        <w:rPr>
          <w:rFonts w:ascii="Times New Roman" w:eastAsiaTheme="majorEastAsia" w:hAnsi="Times New Roman" w:cs="Times New Roman"/>
          <w:color w:val="000000" w:themeColor="text1"/>
          <w:szCs w:val="24"/>
        </w:rPr>
        <w:t>Tranfield</w:t>
      </w:r>
      <w:proofErr w:type="spellEnd"/>
      <w:r w:rsidRPr="00A624BC">
        <w:rPr>
          <w:rFonts w:ascii="Times New Roman" w:eastAsiaTheme="majorEastAsia" w:hAnsi="Times New Roman" w:cs="Times New Roman"/>
          <w:color w:val="000000" w:themeColor="text1"/>
          <w:szCs w:val="24"/>
        </w:rPr>
        <w:t xml:space="preserve"> et al., 2003).</w:t>
      </w:r>
    </w:p>
    <w:p w14:paraId="758490B8"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 xml:space="preserve">The sources of interest were gathered and </w:t>
      </w:r>
      <w:proofErr w:type="spellStart"/>
      <w:r w:rsidRPr="00A624BC">
        <w:rPr>
          <w:rFonts w:ascii="Times New Roman" w:eastAsiaTheme="majorEastAsia" w:hAnsi="Times New Roman" w:cs="Times New Roman"/>
          <w:color w:val="000000" w:themeColor="text1"/>
          <w:szCs w:val="24"/>
        </w:rPr>
        <w:t>analyzed</w:t>
      </w:r>
      <w:proofErr w:type="spellEnd"/>
      <w:r w:rsidRPr="00A624BC">
        <w:rPr>
          <w:rFonts w:ascii="Times New Roman" w:eastAsiaTheme="majorEastAsia" w:hAnsi="Times New Roman" w:cs="Times New Roman"/>
          <w:color w:val="000000" w:themeColor="text1"/>
          <w:szCs w:val="24"/>
        </w:rPr>
        <w:t xml:space="preserve"> using a systematic literature review method. Relevant studies were identified using keywords like, double-entry accounting, debits and credits, financial reporting accuracy, internal control, and fraud prevention. The literature chosen was filtered according to relevance to research goals, quality of publications and contribution to accounting theory and practice. This pre-screen process reduces </w:t>
      </w:r>
      <w:proofErr w:type="gramStart"/>
      <w:r w:rsidRPr="00A624BC">
        <w:rPr>
          <w:rFonts w:ascii="Times New Roman" w:eastAsiaTheme="majorEastAsia" w:hAnsi="Times New Roman" w:cs="Times New Roman"/>
          <w:color w:val="000000" w:themeColor="text1"/>
          <w:szCs w:val="24"/>
        </w:rPr>
        <w:t>bias, and</w:t>
      </w:r>
      <w:proofErr w:type="gramEnd"/>
      <w:r w:rsidRPr="00A624BC">
        <w:rPr>
          <w:rFonts w:ascii="Times New Roman" w:eastAsiaTheme="majorEastAsia" w:hAnsi="Times New Roman" w:cs="Times New Roman"/>
          <w:color w:val="000000" w:themeColor="text1"/>
          <w:szCs w:val="24"/>
        </w:rPr>
        <w:t xml:space="preserve"> strengthens the quality of the results (Booth et al., 2016).</w:t>
      </w:r>
    </w:p>
    <w:p w14:paraId="79B0D88E"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The analysis was done using a thematic analysis approach, which entailed the identification of repeated themes and patterns in the literature. The most significant themes were the concept of a dual aspect, the role of debits and credits, the creation of balanced financial statements, and the significance of the system of double entries in fraud prevention and internal control. Thematic analysis allows combining various perspectives and facilitates critical comparison of different academic perspectives (Braun and Clarke, 2006).</w:t>
      </w:r>
    </w:p>
    <w:p w14:paraId="1070A737" w14:textId="77777777" w:rsidR="00A624BC" w:rsidRP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 xml:space="preserve">Besides the theoretical analysis, illustrative transaction examples used in the methodology were provided </w:t>
      </w:r>
      <w:proofErr w:type="gramStart"/>
      <w:r w:rsidRPr="00A624BC">
        <w:rPr>
          <w:rFonts w:ascii="Times New Roman" w:eastAsiaTheme="majorEastAsia" w:hAnsi="Times New Roman" w:cs="Times New Roman"/>
          <w:color w:val="000000" w:themeColor="text1"/>
          <w:szCs w:val="24"/>
        </w:rPr>
        <w:t>as a result of</w:t>
      </w:r>
      <w:proofErr w:type="gramEnd"/>
      <w:r w:rsidRPr="00A624BC">
        <w:rPr>
          <w:rFonts w:ascii="Times New Roman" w:eastAsiaTheme="majorEastAsia" w:hAnsi="Times New Roman" w:cs="Times New Roman"/>
          <w:color w:val="000000" w:themeColor="text1"/>
          <w:szCs w:val="24"/>
        </w:rPr>
        <w:t xml:space="preserve"> reviewing accounting textbooks and published case studies. It was demonstrated using these examples how the most common business transactions are entered </w:t>
      </w:r>
      <w:r w:rsidRPr="00A624BC">
        <w:rPr>
          <w:rFonts w:ascii="Times New Roman" w:eastAsiaTheme="majorEastAsia" w:hAnsi="Times New Roman" w:cs="Times New Roman"/>
          <w:color w:val="000000" w:themeColor="text1"/>
          <w:szCs w:val="24"/>
        </w:rPr>
        <w:lastRenderedPageBreak/>
        <w:t xml:space="preserve">under the double-entry system, e.g., cash sales, credit purchases, and payments on expenses. Practical illustrations reinforce the connection between theory and accounting practices in the real </w:t>
      </w:r>
      <w:proofErr w:type="gramStart"/>
      <w:r w:rsidRPr="00A624BC">
        <w:rPr>
          <w:rFonts w:ascii="Times New Roman" w:eastAsiaTheme="majorEastAsia" w:hAnsi="Times New Roman" w:cs="Times New Roman"/>
          <w:color w:val="000000" w:themeColor="text1"/>
          <w:szCs w:val="24"/>
        </w:rPr>
        <w:t>world, and</w:t>
      </w:r>
      <w:proofErr w:type="gramEnd"/>
      <w:r w:rsidRPr="00A624BC">
        <w:rPr>
          <w:rFonts w:ascii="Times New Roman" w:eastAsiaTheme="majorEastAsia" w:hAnsi="Times New Roman" w:cs="Times New Roman"/>
          <w:color w:val="000000" w:themeColor="text1"/>
          <w:szCs w:val="24"/>
        </w:rPr>
        <w:t xml:space="preserve"> help to make the study more explanatory (Libby et al., 2017).</w:t>
      </w:r>
    </w:p>
    <w:p w14:paraId="37A3D58C" w14:textId="4CCBA48C" w:rsidR="00A624BC" w:rsidRDefault="00A624BC" w:rsidP="00A624BC">
      <w:pPr>
        <w:spacing w:line="480" w:lineRule="auto"/>
        <w:rPr>
          <w:rFonts w:ascii="Times New Roman" w:eastAsiaTheme="majorEastAsia" w:hAnsi="Times New Roman" w:cs="Times New Roman"/>
          <w:color w:val="000000" w:themeColor="text1"/>
          <w:szCs w:val="24"/>
        </w:rPr>
      </w:pPr>
      <w:r w:rsidRPr="00A624BC">
        <w:rPr>
          <w:rFonts w:ascii="Times New Roman" w:eastAsiaTheme="majorEastAsia" w:hAnsi="Times New Roman" w:cs="Times New Roman"/>
          <w:color w:val="000000" w:themeColor="text1"/>
          <w:szCs w:val="24"/>
        </w:rPr>
        <w:t xml:space="preserve">The ethical considerations were represented in proper citation and recognition of all sources in adherence to the APA 7th edition referencing standards. No ethical approval or consent of participants was necessitated because the research was based on publicly available secondary data only. Comprehensively, this approach to the methodology offers a systematic and scholarly rigorous model of </w:t>
      </w:r>
      <w:proofErr w:type="spellStart"/>
      <w:r w:rsidRPr="00A624BC">
        <w:rPr>
          <w:rFonts w:ascii="Times New Roman" w:eastAsiaTheme="majorEastAsia" w:hAnsi="Times New Roman" w:cs="Times New Roman"/>
          <w:color w:val="000000" w:themeColor="text1"/>
          <w:szCs w:val="24"/>
        </w:rPr>
        <w:t>analyzing</w:t>
      </w:r>
      <w:proofErr w:type="spellEnd"/>
      <w:r w:rsidRPr="00A624BC">
        <w:rPr>
          <w:rFonts w:ascii="Times New Roman" w:eastAsiaTheme="majorEastAsia" w:hAnsi="Times New Roman" w:cs="Times New Roman"/>
          <w:color w:val="000000" w:themeColor="text1"/>
          <w:szCs w:val="24"/>
        </w:rPr>
        <w:t xml:space="preserve"> the importance of the double-entry system in ensuring accuracy in the accounting records and in facilitating credible financial reporting.</w:t>
      </w:r>
    </w:p>
    <w:p w14:paraId="5CF8D42C" w14:textId="77777777" w:rsidR="00A624BC" w:rsidRDefault="00A624BC" w:rsidP="00A624BC">
      <w:pPr>
        <w:spacing w:line="480" w:lineRule="auto"/>
        <w:rPr>
          <w:rStyle w:val="Heading1Char"/>
          <w:rFonts w:ascii="Times New Roman" w:hAnsi="Times New Roman" w:cs="Times New Roman"/>
          <w:color w:val="000000" w:themeColor="text1"/>
          <w:sz w:val="24"/>
          <w:szCs w:val="24"/>
        </w:rPr>
      </w:pPr>
    </w:p>
    <w:p w14:paraId="60EC42BE" w14:textId="77777777" w:rsidR="00C117CD" w:rsidRDefault="00C117CD" w:rsidP="00A624BC">
      <w:pPr>
        <w:spacing w:line="480" w:lineRule="auto"/>
        <w:rPr>
          <w:rStyle w:val="Heading1Char"/>
          <w:rFonts w:ascii="Times New Roman" w:hAnsi="Times New Roman" w:cs="Times New Roman"/>
          <w:color w:val="000000" w:themeColor="text1"/>
          <w:sz w:val="24"/>
          <w:szCs w:val="24"/>
        </w:rPr>
      </w:pPr>
    </w:p>
    <w:p w14:paraId="63062462" w14:textId="77777777" w:rsidR="00C117CD" w:rsidRDefault="00C117CD" w:rsidP="00A624BC">
      <w:pPr>
        <w:spacing w:line="480" w:lineRule="auto"/>
        <w:rPr>
          <w:rStyle w:val="Heading1Char"/>
          <w:rFonts w:ascii="Times New Roman" w:hAnsi="Times New Roman" w:cs="Times New Roman"/>
          <w:color w:val="000000" w:themeColor="text1"/>
          <w:sz w:val="24"/>
          <w:szCs w:val="24"/>
        </w:rPr>
      </w:pPr>
    </w:p>
    <w:p w14:paraId="2F8741F7" w14:textId="77777777" w:rsidR="00C117CD" w:rsidRDefault="00C117CD" w:rsidP="00A624BC">
      <w:pPr>
        <w:spacing w:line="480" w:lineRule="auto"/>
        <w:rPr>
          <w:rStyle w:val="Heading1Char"/>
          <w:rFonts w:ascii="Times New Roman" w:hAnsi="Times New Roman" w:cs="Times New Roman"/>
          <w:color w:val="000000" w:themeColor="text1"/>
          <w:sz w:val="24"/>
          <w:szCs w:val="24"/>
        </w:rPr>
      </w:pPr>
    </w:p>
    <w:p w14:paraId="0BA222B8" w14:textId="77777777" w:rsidR="00C117CD" w:rsidRDefault="00C117CD" w:rsidP="00A624BC">
      <w:pPr>
        <w:spacing w:line="480" w:lineRule="auto"/>
        <w:rPr>
          <w:rStyle w:val="Heading1Char"/>
          <w:rFonts w:ascii="Times New Roman" w:hAnsi="Times New Roman" w:cs="Times New Roman"/>
          <w:color w:val="000000" w:themeColor="text1"/>
          <w:sz w:val="24"/>
          <w:szCs w:val="24"/>
        </w:rPr>
      </w:pPr>
    </w:p>
    <w:p w14:paraId="2606C127" w14:textId="77777777" w:rsidR="00C117CD" w:rsidRDefault="00C117CD" w:rsidP="00A624BC">
      <w:pPr>
        <w:spacing w:line="480" w:lineRule="auto"/>
        <w:rPr>
          <w:rStyle w:val="Heading1Char"/>
          <w:rFonts w:ascii="Times New Roman" w:hAnsi="Times New Roman" w:cs="Times New Roman"/>
          <w:color w:val="000000" w:themeColor="text1"/>
          <w:sz w:val="24"/>
          <w:szCs w:val="24"/>
        </w:rPr>
      </w:pPr>
    </w:p>
    <w:p w14:paraId="0C6AA449" w14:textId="77777777" w:rsidR="00C117CD" w:rsidRDefault="00C117CD" w:rsidP="00A624BC">
      <w:pPr>
        <w:spacing w:line="480" w:lineRule="auto"/>
        <w:rPr>
          <w:rStyle w:val="Heading1Char"/>
          <w:rFonts w:ascii="Times New Roman" w:hAnsi="Times New Roman" w:cs="Times New Roman"/>
          <w:color w:val="000000" w:themeColor="text1"/>
          <w:sz w:val="24"/>
          <w:szCs w:val="24"/>
        </w:rPr>
      </w:pPr>
    </w:p>
    <w:p w14:paraId="49E71909" w14:textId="77777777" w:rsidR="00C117CD" w:rsidRDefault="00C117CD" w:rsidP="00A624BC">
      <w:pPr>
        <w:spacing w:line="480" w:lineRule="auto"/>
        <w:rPr>
          <w:rStyle w:val="Heading1Char"/>
          <w:rFonts w:ascii="Times New Roman" w:hAnsi="Times New Roman" w:cs="Times New Roman"/>
          <w:color w:val="000000" w:themeColor="text1"/>
          <w:sz w:val="24"/>
          <w:szCs w:val="24"/>
        </w:rPr>
      </w:pPr>
    </w:p>
    <w:p w14:paraId="55ECA942" w14:textId="77777777" w:rsidR="00C117CD" w:rsidRDefault="00C117CD" w:rsidP="00A624BC">
      <w:pPr>
        <w:spacing w:line="480" w:lineRule="auto"/>
        <w:rPr>
          <w:rStyle w:val="Heading1Char"/>
          <w:rFonts w:ascii="Times New Roman" w:hAnsi="Times New Roman" w:cs="Times New Roman"/>
          <w:color w:val="000000" w:themeColor="text1"/>
          <w:sz w:val="24"/>
          <w:szCs w:val="24"/>
        </w:rPr>
      </w:pPr>
    </w:p>
    <w:p w14:paraId="1826C835" w14:textId="77777777" w:rsidR="00C117CD" w:rsidRDefault="00C117CD" w:rsidP="00A624BC">
      <w:pPr>
        <w:spacing w:line="480" w:lineRule="auto"/>
        <w:rPr>
          <w:rStyle w:val="Heading1Char"/>
          <w:rFonts w:ascii="Times New Roman" w:hAnsi="Times New Roman" w:cs="Times New Roman"/>
          <w:color w:val="000000" w:themeColor="text1"/>
          <w:sz w:val="24"/>
          <w:szCs w:val="24"/>
        </w:rPr>
      </w:pPr>
    </w:p>
    <w:p w14:paraId="224E6672" w14:textId="77777777" w:rsidR="00C117CD" w:rsidRDefault="00C117CD" w:rsidP="00A624BC">
      <w:pPr>
        <w:spacing w:line="480" w:lineRule="auto"/>
        <w:rPr>
          <w:rStyle w:val="Heading1Char"/>
          <w:rFonts w:ascii="Times New Roman" w:hAnsi="Times New Roman" w:cs="Times New Roman"/>
          <w:color w:val="000000" w:themeColor="text1"/>
          <w:sz w:val="24"/>
          <w:szCs w:val="24"/>
        </w:rPr>
      </w:pPr>
    </w:p>
    <w:p w14:paraId="1CC5B1FE" w14:textId="77777777" w:rsidR="00C117CD" w:rsidRDefault="00A624BC" w:rsidP="00C117CD">
      <w:pPr>
        <w:spacing w:line="480" w:lineRule="auto"/>
        <w:rPr>
          <w:rStyle w:val="Heading1Char"/>
          <w:rFonts w:ascii="Times New Roman" w:hAnsi="Times New Roman" w:cs="Times New Roman"/>
          <w:b/>
          <w:bCs/>
          <w:color w:val="000000" w:themeColor="text1"/>
          <w:sz w:val="24"/>
          <w:szCs w:val="24"/>
        </w:rPr>
      </w:pPr>
      <w:r w:rsidRPr="00994CD0">
        <w:rPr>
          <w:rStyle w:val="Heading1Char"/>
          <w:rFonts w:ascii="Times New Roman" w:hAnsi="Times New Roman" w:cs="Times New Roman"/>
          <w:b/>
          <w:bCs/>
          <w:color w:val="000000" w:themeColor="text1"/>
          <w:sz w:val="24"/>
          <w:szCs w:val="24"/>
        </w:rPr>
        <w:lastRenderedPageBreak/>
        <w:t xml:space="preserve">Findings </w:t>
      </w:r>
      <w:bookmarkStart w:id="2" w:name="_Toc215261154"/>
    </w:p>
    <w:p w14:paraId="46101227" w14:textId="77777777" w:rsidR="00C117CD" w:rsidRDefault="00C117CD" w:rsidP="00C117CD">
      <w:pPr>
        <w:spacing w:line="480" w:lineRule="auto"/>
        <w:rPr>
          <w:rFonts w:ascii="Times New Roman" w:hAnsi="Times New Roman" w:cs="Times New Roman"/>
          <w:color w:val="000000" w:themeColor="text1"/>
          <w:szCs w:val="24"/>
        </w:rPr>
      </w:pPr>
      <w:r w:rsidRPr="00C117CD">
        <w:rPr>
          <w:rFonts w:ascii="Times New Roman" w:hAnsi="Times New Roman" w:cs="Times New Roman"/>
          <w:color w:val="000000" w:themeColor="text1"/>
          <w:szCs w:val="24"/>
        </w:rPr>
        <w:t>The results of the study are based on a systematic review of accounting literature, which demonstrate that the double-entry system is a key mechanism of maintaining accuracy, reliability, and transparency in financial reporting. The discussion indicates that the main advantage of the double-entry system is the dual-entry format which stipulates that all transactions must be registered through matching debit and credit entries. This framework is used to keep the books of accounts balanced and internally consistent at any point in time (Weygandt et al., 2020).</w:t>
      </w:r>
    </w:p>
    <w:p w14:paraId="3BCCB039" w14:textId="77777777" w:rsidR="00C117CD" w:rsidRDefault="00C117CD" w:rsidP="00C117CD">
      <w:pPr>
        <w:spacing w:line="480" w:lineRule="auto"/>
        <w:rPr>
          <w:rFonts w:ascii="Times New Roman" w:hAnsi="Times New Roman" w:cs="Times New Roman"/>
          <w:color w:val="000000" w:themeColor="text1"/>
          <w:szCs w:val="24"/>
        </w:rPr>
      </w:pPr>
      <w:r w:rsidRPr="00C117CD">
        <w:rPr>
          <w:rFonts w:ascii="Times New Roman" w:hAnsi="Times New Roman" w:cs="Times New Roman"/>
          <w:color w:val="000000" w:themeColor="text1"/>
          <w:szCs w:val="24"/>
        </w:rPr>
        <w:t>Among the findings is that the double entry system greatly improves the accuracy of the financial records. Since every transaction involves at least two accounts, missing, duplicating, or wrong postings are easier to identify when total debits are not equal to total credits. According to the literature, this self-balancing property can be described as a self-check mechanism that enhances the credibility of accounting data and minimizes the risk of material misstatements in financial statements (</w:t>
      </w:r>
      <w:proofErr w:type="spellStart"/>
      <w:r w:rsidRPr="00C117CD">
        <w:rPr>
          <w:rFonts w:ascii="Times New Roman" w:hAnsi="Times New Roman" w:cs="Times New Roman"/>
          <w:color w:val="000000" w:themeColor="text1"/>
          <w:szCs w:val="24"/>
        </w:rPr>
        <w:t>Kieso</w:t>
      </w:r>
      <w:proofErr w:type="spellEnd"/>
      <w:r w:rsidRPr="00C117CD">
        <w:rPr>
          <w:rFonts w:ascii="Times New Roman" w:hAnsi="Times New Roman" w:cs="Times New Roman"/>
          <w:color w:val="000000" w:themeColor="text1"/>
          <w:szCs w:val="24"/>
        </w:rPr>
        <w:t xml:space="preserve"> et al., 2021).</w:t>
      </w:r>
    </w:p>
    <w:p w14:paraId="68F02C00" w14:textId="059EE53B" w:rsidR="00C117CD" w:rsidRPr="00C117CD" w:rsidRDefault="00C117CD" w:rsidP="00C117CD">
      <w:pPr>
        <w:spacing w:line="480" w:lineRule="auto"/>
        <w:rPr>
          <w:rFonts w:ascii="Times New Roman" w:eastAsiaTheme="majorEastAsia" w:hAnsi="Times New Roman" w:cs="Times New Roman"/>
          <w:b/>
          <w:bCs/>
          <w:color w:val="000000" w:themeColor="text1"/>
          <w:szCs w:val="24"/>
        </w:rPr>
      </w:pPr>
      <w:r w:rsidRPr="00C117CD">
        <w:rPr>
          <w:rFonts w:ascii="Times New Roman" w:hAnsi="Times New Roman" w:cs="Times New Roman"/>
          <w:color w:val="000000" w:themeColor="text1"/>
          <w:szCs w:val="24"/>
        </w:rPr>
        <w:t>The results also show that proper use of debits and credits is the key to the successful operation of the double-entry system. Research indicates that to record transactions properly, it is necessary to comprehend the effects of debits and credits on various types of accounts, such as assets, liabilities, equity, revenues, and expenses (Libby et al., 2017). Wrong classification of debit and credit accounts may corrupt financial statements, which will result in false evaluation of profitability and financial position. Thus, the sources highlight the relevance of accounting knowledge and training in preserving quality financial records.</w:t>
      </w:r>
    </w:p>
    <w:p w14:paraId="60D4F48F"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lastRenderedPageBreak/>
        <w:t>Another significant discovery is associated with the purpose of the double-entry system in the development of balanced financial statements. The results of double-entry accounting are directly visible on the balance sheet, making the assets to be equal to the liabilities plus equity (Penman, 2013). In a similar fashion, revenues and costs entered by debit and credit entries will be transferred to the income statement, and cash-related entries will assist in making the cash flow statement. According to the results, the absence of the double-entry framework would make it very hard to ensure consistency and rational connection among the financial statements (Dechow and Dichev, 2002).</w:t>
      </w:r>
    </w:p>
    <w:p w14:paraId="64B6F5C0"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t>The research also concludes that the double-entry system is important in the maintenance of proper books of accounts and in internal control provisions. The system enables the accountants and auditors to track financial events back to the original documents to the final financial reports by developing a detailed audit trail of every transaction of the system. It has been argued in literature that such traceability improves accountability and contributes to efficient auditing processes especially in large and complex organizations (Bushman and Smith, 2001).</w:t>
      </w:r>
    </w:p>
    <w:p w14:paraId="59FEC4DA"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t xml:space="preserve">Another important finding is fraud prevention. Literature suggests that this double entry requirement makes the task of fraudulent manipulation harder because any unauthorized alterations in one account will cause imbalances or inconsistencies in other parts of the accounting system (Healy and Palepu, 2001). Although the double-entry system </w:t>
      </w:r>
      <w:proofErr w:type="gramStart"/>
      <w:r w:rsidRPr="00C117CD">
        <w:rPr>
          <w:rFonts w:ascii="Times New Roman" w:hAnsi="Times New Roman" w:cs="Times New Roman"/>
          <w:color w:val="000000" w:themeColor="text1"/>
          <w:sz w:val="24"/>
          <w:szCs w:val="24"/>
        </w:rPr>
        <w:t>in itself cannot</w:t>
      </w:r>
      <w:proofErr w:type="gramEnd"/>
      <w:r w:rsidRPr="00C117CD">
        <w:rPr>
          <w:rFonts w:ascii="Times New Roman" w:hAnsi="Times New Roman" w:cs="Times New Roman"/>
          <w:color w:val="000000" w:themeColor="text1"/>
          <w:sz w:val="24"/>
          <w:szCs w:val="24"/>
        </w:rPr>
        <w:t xml:space="preserve"> stop fraud, it offers a powerful background control mechanism that underpins the wider governance and risk management systems.</w:t>
      </w:r>
    </w:p>
    <w:p w14:paraId="1DD2D3F0"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lastRenderedPageBreak/>
        <w:t xml:space="preserve">Moreover, the results indicate how the double-entry system can be practically applicable in different businesses. The examples of transactions, discussed in the literature, including cash sales, credit purchases, wage payments, and loan repayments show that the system continually records the origin and application of money. This regularity enhances financial discipline and provides accounting records that represent the real economic effects of business operations (Romney and </w:t>
      </w:r>
      <w:proofErr w:type="spellStart"/>
      <w:r w:rsidRPr="00C117CD">
        <w:rPr>
          <w:rFonts w:ascii="Times New Roman" w:hAnsi="Times New Roman" w:cs="Times New Roman"/>
          <w:color w:val="000000" w:themeColor="text1"/>
          <w:sz w:val="24"/>
          <w:szCs w:val="24"/>
        </w:rPr>
        <w:t>Steinbart</w:t>
      </w:r>
      <w:proofErr w:type="spellEnd"/>
      <w:r w:rsidRPr="00C117CD">
        <w:rPr>
          <w:rFonts w:ascii="Times New Roman" w:hAnsi="Times New Roman" w:cs="Times New Roman"/>
          <w:color w:val="000000" w:themeColor="text1"/>
          <w:sz w:val="24"/>
          <w:szCs w:val="24"/>
        </w:rPr>
        <w:t>, 2021).</w:t>
      </w:r>
    </w:p>
    <w:p w14:paraId="1A495992" w14:textId="5A835201" w:rsid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t xml:space="preserve">Generally, the results affirm that the double-entry system is still indispensable to the current studies of accounting. Its capability in ensuring balanced records, facilitating correct financial reporting, and improving internal control highlights its perpetual applicability in traditional and </w:t>
      </w:r>
      <w:proofErr w:type="gramStart"/>
      <w:r w:rsidRPr="00C117CD">
        <w:rPr>
          <w:rFonts w:ascii="Times New Roman" w:hAnsi="Times New Roman" w:cs="Times New Roman"/>
          <w:color w:val="000000" w:themeColor="text1"/>
          <w:sz w:val="24"/>
          <w:szCs w:val="24"/>
        </w:rPr>
        <w:t>computer based</w:t>
      </w:r>
      <w:proofErr w:type="gramEnd"/>
      <w:r w:rsidRPr="00C117CD">
        <w:rPr>
          <w:rFonts w:ascii="Times New Roman" w:hAnsi="Times New Roman" w:cs="Times New Roman"/>
          <w:color w:val="000000" w:themeColor="text1"/>
          <w:sz w:val="24"/>
          <w:szCs w:val="24"/>
        </w:rPr>
        <w:t xml:space="preserve"> accounting.</w:t>
      </w:r>
    </w:p>
    <w:p w14:paraId="0FAF5BDA" w14:textId="77777777" w:rsidR="00C117CD" w:rsidRPr="00C117CD" w:rsidRDefault="00C117CD" w:rsidP="00C117CD"/>
    <w:p w14:paraId="0AFE0385"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lastRenderedPageBreak/>
        <w:t xml:space="preserve">Discussion </w:t>
      </w:r>
    </w:p>
    <w:p w14:paraId="4DD9B1C0"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t>This study has demonstrated the key position of the double-entry system in the provision of accuracy, reliability, and transparency in financial reporting. The literature always illustrates that the need to have equal debit and credit entries gives rise to an inherent balancing mechanism that enhances the integrity of accounting records. The structural feature minimizes the probability of undisclosed errors and assists in preparing credible financial statements significantly (Weygandt et al., 2020).</w:t>
      </w:r>
    </w:p>
    <w:p w14:paraId="3384E193"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t>The discussion also highlights the need to properly use debit and credit rules in various types of accounts. Their improper use may pervert the reported financial performance and position, highlighting the importance of technical competence and professional judgment in the accounting practice (Libby et al., 2017). The double-entry system provides more decision usefulness to stakeholders by systematically recording the dual effects of transactions in that they capture the economic substance of transactions, instead of individual cash movements, in financial statements (Penman, 2013).</w:t>
      </w:r>
    </w:p>
    <w:p w14:paraId="0BCEA18B"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t xml:space="preserve">The second important matter addressed is the presence of the double-entry system as a fraud prevention technique and internal control. Although this system cannot stop the occurrence of fraudulent behaviour, its dual-recording requirement and audit trail greatly strengthen the traceability and accountability (Bushman and Smith, 2001). This complicates any unauthorized manipulation and promotes efficient auditing and governance. The principles of double-entry bookkeeping remain the basis of automated controls and error checks in modern computerized accounting environments (Romney and </w:t>
      </w:r>
      <w:proofErr w:type="spellStart"/>
      <w:r w:rsidRPr="00C117CD">
        <w:rPr>
          <w:rFonts w:ascii="Times New Roman" w:hAnsi="Times New Roman" w:cs="Times New Roman"/>
          <w:color w:val="000000" w:themeColor="text1"/>
          <w:sz w:val="24"/>
          <w:szCs w:val="24"/>
        </w:rPr>
        <w:t>Steinbart</w:t>
      </w:r>
      <w:proofErr w:type="spellEnd"/>
      <w:r w:rsidRPr="00C117CD">
        <w:rPr>
          <w:rFonts w:ascii="Times New Roman" w:hAnsi="Times New Roman" w:cs="Times New Roman"/>
          <w:color w:val="000000" w:themeColor="text1"/>
          <w:sz w:val="24"/>
          <w:szCs w:val="24"/>
        </w:rPr>
        <w:t>, 2021).</w:t>
      </w:r>
    </w:p>
    <w:p w14:paraId="1117FC82"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lastRenderedPageBreak/>
        <w:t>In general, the discussion affirms that the double-entry system is still a crucial control model that supports reliable financial reporting and facilitates sound economic decision-making.</w:t>
      </w:r>
    </w:p>
    <w:p w14:paraId="603EC4BE" w14:textId="77777777" w:rsidR="00C117CD" w:rsidRDefault="00C117CD" w:rsidP="00C117CD">
      <w:pPr>
        <w:pStyle w:val="Heading1"/>
        <w:spacing w:line="480" w:lineRule="auto"/>
        <w:rPr>
          <w:rFonts w:ascii="Times New Roman" w:hAnsi="Times New Roman" w:cs="Times New Roman"/>
          <w:color w:val="000000" w:themeColor="text1"/>
          <w:sz w:val="24"/>
          <w:szCs w:val="24"/>
        </w:rPr>
      </w:pPr>
    </w:p>
    <w:p w14:paraId="18539B8E" w14:textId="77777777" w:rsidR="00C117CD" w:rsidRPr="00C117CD" w:rsidRDefault="00C117CD" w:rsidP="00C117CD"/>
    <w:p w14:paraId="630E8BBB"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lastRenderedPageBreak/>
        <w:t xml:space="preserve">Recommendations </w:t>
      </w:r>
    </w:p>
    <w:p w14:paraId="4013758D"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t xml:space="preserve">Following the discussion on the double-entry system and its influence on financial reporting, </w:t>
      </w:r>
      <w:proofErr w:type="gramStart"/>
      <w:r w:rsidRPr="00C117CD">
        <w:rPr>
          <w:rFonts w:ascii="Times New Roman" w:hAnsi="Times New Roman" w:cs="Times New Roman"/>
          <w:color w:val="000000" w:themeColor="text1"/>
          <w:sz w:val="24"/>
          <w:szCs w:val="24"/>
        </w:rPr>
        <w:t>a number of</w:t>
      </w:r>
      <w:proofErr w:type="gramEnd"/>
      <w:r w:rsidRPr="00C117CD">
        <w:rPr>
          <w:rFonts w:ascii="Times New Roman" w:hAnsi="Times New Roman" w:cs="Times New Roman"/>
          <w:color w:val="000000" w:themeColor="text1"/>
          <w:sz w:val="24"/>
          <w:szCs w:val="24"/>
        </w:rPr>
        <w:t xml:space="preserve"> recommendations are presented that could improve the accounting practice and the quality of financial information in organizations.</w:t>
      </w:r>
    </w:p>
    <w:p w14:paraId="7959E318" w14:textId="65A6A550"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t xml:space="preserve">To begin with, organizations ought to strengthen the appropriate training in the principles of double-entry bookkeeping, especially how to use debits and credits in the various types of accounts. Misstatements in debit-credit classification may result in the misrepresentation of financial statements and </w:t>
      </w:r>
      <w:proofErr w:type="spellStart"/>
      <w:r w:rsidRPr="00C117CD">
        <w:rPr>
          <w:rFonts w:ascii="Times New Roman" w:hAnsi="Times New Roman" w:cs="Times New Roman"/>
          <w:color w:val="000000" w:themeColor="text1"/>
          <w:sz w:val="24"/>
          <w:szCs w:val="24"/>
        </w:rPr>
        <w:t>misjudgment</w:t>
      </w:r>
      <w:proofErr w:type="spellEnd"/>
      <w:r w:rsidRPr="00C117CD">
        <w:rPr>
          <w:rFonts w:ascii="Times New Roman" w:hAnsi="Times New Roman" w:cs="Times New Roman"/>
          <w:color w:val="000000" w:themeColor="text1"/>
          <w:sz w:val="24"/>
          <w:szCs w:val="24"/>
        </w:rPr>
        <w:t>. New staff training programs and refresher training of accounting personnel will contribute towards accuracy and consistency in recording transactions, particularly where staff turnover or upgrade of accounting systems occur.</w:t>
      </w:r>
    </w:p>
    <w:p w14:paraId="086A031D"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t>Second, firms ought to combine the double-entry system and robust internal control systems. Although the double-entry system allows a self-balancing process, it is more effective when used together with segregation of responsibilities, authorization controls, and frequent reconciliations. The management must make sure that the functions of recording, approval and reviewing of the transaction are distinctly isolated to minimize chances of errors and fraud. Internal audits must be performed periodically to identify the integrity of ledger accounts and compliance with accounting standards.</w:t>
      </w:r>
    </w:p>
    <w:p w14:paraId="66061885"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lastRenderedPageBreak/>
        <w:t>Third, it is advised that organizations take advantage of accounting software, which is deeply rooted in the concept of doubling entries. Debit and credit entries are automated by modern computerized accounting systems and enterprise resource planning (ERP) systems, making them more efficient and eliminating manual errors. Nevertheless, the management should make sure that system settings are consistent with accounting standards, and that automated procedures are periodically checked to avoid system-wide errors.</w:t>
      </w:r>
    </w:p>
    <w:p w14:paraId="12E78DDF"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t xml:space="preserve">Educationally and professionally, accounting schools ought to be more concerned with conceptual learning than with mechanical </w:t>
      </w:r>
      <w:proofErr w:type="gramStart"/>
      <w:r w:rsidRPr="00C117CD">
        <w:rPr>
          <w:rFonts w:ascii="Times New Roman" w:hAnsi="Times New Roman" w:cs="Times New Roman"/>
          <w:color w:val="000000" w:themeColor="text1"/>
          <w:sz w:val="24"/>
          <w:szCs w:val="24"/>
        </w:rPr>
        <w:t>book keeping</w:t>
      </w:r>
      <w:proofErr w:type="gramEnd"/>
      <w:r w:rsidRPr="00C117CD">
        <w:rPr>
          <w:rFonts w:ascii="Times New Roman" w:hAnsi="Times New Roman" w:cs="Times New Roman"/>
          <w:color w:val="000000" w:themeColor="text1"/>
          <w:sz w:val="24"/>
          <w:szCs w:val="24"/>
        </w:rPr>
        <w:t>. Educating the economic justification of the double-entry system, including the concept of dual aspects and its connection to the accounting equation, develops analytical skills and equips learners with the ability to operate in complex real-life situations.</w:t>
      </w:r>
    </w:p>
    <w:p w14:paraId="583A5889" w14:textId="77777777" w:rsid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t>Lastly, best practices and ethical standards should be encouraged in bookkeeping and financial reporting by regulatory and professional bodies. The role of the double-entry system in providing transparent, accurate, and trustworthy financial reporting will be enhanced further by clear guidelines, professional codes of conduct, and requirements of continuous professional development.</w:t>
      </w:r>
    </w:p>
    <w:p w14:paraId="0D32282A" w14:textId="77777777" w:rsidR="00C117CD" w:rsidRPr="00C117CD" w:rsidRDefault="00C117CD" w:rsidP="00C117CD"/>
    <w:p w14:paraId="51636645"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lastRenderedPageBreak/>
        <w:t xml:space="preserve">Conclusion </w:t>
      </w:r>
    </w:p>
    <w:p w14:paraId="6D57517C" w14:textId="77777777" w:rsidR="00C117CD" w:rsidRPr="00C117CD"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t xml:space="preserve">This assignment has </w:t>
      </w:r>
      <w:proofErr w:type="spellStart"/>
      <w:r w:rsidRPr="00C117CD">
        <w:rPr>
          <w:rFonts w:ascii="Times New Roman" w:hAnsi="Times New Roman" w:cs="Times New Roman"/>
          <w:color w:val="000000" w:themeColor="text1"/>
          <w:sz w:val="24"/>
          <w:szCs w:val="24"/>
        </w:rPr>
        <w:t>analyzed</w:t>
      </w:r>
      <w:proofErr w:type="spellEnd"/>
      <w:r w:rsidRPr="00C117CD">
        <w:rPr>
          <w:rFonts w:ascii="Times New Roman" w:hAnsi="Times New Roman" w:cs="Times New Roman"/>
          <w:color w:val="000000" w:themeColor="text1"/>
          <w:sz w:val="24"/>
          <w:szCs w:val="24"/>
        </w:rPr>
        <w:t xml:space="preserve"> the concept of the double-entry system of accounting and its effect on the accuracy and reliability of financial reporting. This analysis proves that the double-entry system is central to the contemporary accounting practice because it provides a balance in accounting records by a dual recognition of each financial transaction. The system promotes internal controls and the accuracy of financial statements, as well as the classification of errors by ensuring equality between total debits and total credits.</w:t>
      </w:r>
    </w:p>
    <w:p w14:paraId="7CAD3ED7" w14:textId="49DDFBE1" w:rsidR="00A624BC" w:rsidRDefault="00C117CD" w:rsidP="00C117CD">
      <w:pPr>
        <w:pStyle w:val="Heading1"/>
        <w:spacing w:line="480" w:lineRule="auto"/>
        <w:rPr>
          <w:rFonts w:ascii="Times New Roman" w:hAnsi="Times New Roman" w:cs="Times New Roman"/>
          <w:color w:val="000000" w:themeColor="text1"/>
          <w:sz w:val="24"/>
          <w:szCs w:val="24"/>
        </w:rPr>
      </w:pPr>
      <w:r w:rsidRPr="00C117CD">
        <w:rPr>
          <w:rFonts w:ascii="Times New Roman" w:hAnsi="Times New Roman" w:cs="Times New Roman"/>
          <w:color w:val="000000" w:themeColor="text1"/>
          <w:sz w:val="24"/>
          <w:szCs w:val="24"/>
        </w:rPr>
        <w:t>The research affirms that proper knowledge of debits and credits is a critical condition to proper recording of transactions and preparation of balanced financial statements. The double-entry model is also critical in fraud prevention because it provides an open audit trail and enhances accountability in accounting systems. As much as there has been improvement in accounting technology, the concepts of double-entry bookkeeping have not been altered and are still the basis of computerized and automated accounting systems. As a final point, the double-entry system is not only the technical tool of record-keeping but the cornerstone mechanism, which promotes transparency, accountability, and informed decision-making. The fact that it remains pertinent underscores the significance of effective accounting knowledge and ethical practice in ensuring that financial reporting in modern business organizations is reliable.</w:t>
      </w:r>
    </w:p>
    <w:p w14:paraId="7CAD02FC" w14:textId="77777777" w:rsidR="00C117CD" w:rsidRDefault="00C117CD" w:rsidP="00C117CD"/>
    <w:p w14:paraId="227DF942" w14:textId="77777777" w:rsidR="00C117CD" w:rsidRDefault="00C117CD" w:rsidP="00C117CD"/>
    <w:p w14:paraId="2A5DA599" w14:textId="77777777" w:rsidR="00C117CD" w:rsidRPr="00C117CD" w:rsidRDefault="00C117CD" w:rsidP="00C117CD"/>
    <w:p w14:paraId="1D50BD69" w14:textId="77777777" w:rsidR="00A624BC" w:rsidRPr="00416524" w:rsidRDefault="00A624BC" w:rsidP="00A624BC">
      <w:pPr>
        <w:pStyle w:val="Heading1"/>
        <w:spacing w:line="480" w:lineRule="auto"/>
        <w:rPr>
          <w:rFonts w:ascii="Times New Roman" w:hAnsi="Times New Roman" w:cs="Times New Roman"/>
          <w:b/>
          <w:bCs/>
          <w:color w:val="000000" w:themeColor="text1"/>
          <w:sz w:val="24"/>
          <w:szCs w:val="24"/>
        </w:rPr>
      </w:pPr>
      <w:r w:rsidRPr="00416524">
        <w:rPr>
          <w:rFonts w:ascii="Times New Roman" w:hAnsi="Times New Roman" w:cs="Times New Roman"/>
          <w:b/>
          <w:bCs/>
          <w:color w:val="000000" w:themeColor="text1"/>
          <w:sz w:val="24"/>
          <w:szCs w:val="24"/>
        </w:rPr>
        <w:lastRenderedPageBreak/>
        <w:t>Reference List</w:t>
      </w:r>
      <w:bookmarkEnd w:id="2"/>
      <w:r w:rsidRPr="00416524">
        <w:rPr>
          <w:rFonts w:ascii="Times New Roman" w:hAnsi="Times New Roman" w:cs="Times New Roman"/>
          <w:b/>
          <w:bCs/>
          <w:color w:val="000000" w:themeColor="text1"/>
          <w:sz w:val="24"/>
          <w:szCs w:val="24"/>
        </w:rPr>
        <w:t xml:space="preserve"> </w:t>
      </w:r>
    </w:p>
    <w:p w14:paraId="3D7F3000"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Ball, R., Kothari, S. P., &amp; Robin, A. (2000). The effect of international institutional factors on properties of accounting earnings. </w:t>
      </w:r>
      <w:r w:rsidRPr="00B75C48">
        <w:rPr>
          <w:rFonts w:ascii="Times New Roman" w:hAnsi="Times New Roman" w:cs="Times New Roman"/>
          <w:i/>
          <w:iCs/>
          <w:szCs w:val="24"/>
        </w:rPr>
        <w:t>Journal of Accounting and Economics, 29</w:t>
      </w:r>
      <w:r w:rsidRPr="00B75C48">
        <w:rPr>
          <w:rFonts w:ascii="Times New Roman" w:hAnsi="Times New Roman" w:cs="Times New Roman"/>
          <w:szCs w:val="24"/>
        </w:rPr>
        <w:t>(1), 1–51. https://doi.org/10.1016/S0165-4101(00)00012-4</w:t>
      </w:r>
    </w:p>
    <w:p w14:paraId="53613515"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Bushman, R. M., &amp; Smith, A. J. (2001). Financial accounting information and corporate governance. </w:t>
      </w:r>
      <w:r w:rsidRPr="00B75C48">
        <w:rPr>
          <w:rFonts w:ascii="Times New Roman" w:hAnsi="Times New Roman" w:cs="Times New Roman"/>
          <w:i/>
          <w:iCs/>
          <w:szCs w:val="24"/>
        </w:rPr>
        <w:t>Journal of Accounting and Economics, 32</w:t>
      </w:r>
      <w:r w:rsidRPr="00B75C48">
        <w:rPr>
          <w:rFonts w:ascii="Times New Roman" w:hAnsi="Times New Roman" w:cs="Times New Roman"/>
          <w:szCs w:val="24"/>
        </w:rPr>
        <w:t>(1–3), 237–333. https://doi.org/10.1016/S0165-4101(01)00027-1</w:t>
      </w:r>
    </w:p>
    <w:p w14:paraId="533E529A"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Dechow, P. M., &amp; Dichev, I. D. (2002). The quality of accruals and earnings: The role of accrual estimation errors. </w:t>
      </w:r>
      <w:r w:rsidRPr="00B75C48">
        <w:rPr>
          <w:rFonts w:ascii="Times New Roman" w:hAnsi="Times New Roman" w:cs="Times New Roman"/>
          <w:i/>
          <w:iCs/>
          <w:szCs w:val="24"/>
        </w:rPr>
        <w:t>The Accounting Review, 77</w:t>
      </w:r>
      <w:r w:rsidRPr="00B75C48">
        <w:rPr>
          <w:rFonts w:ascii="Times New Roman" w:hAnsi="Times New Roman" w:cs="Times New Roman"/>
          <w:szCs w:val="24"/>
        </w:rPr>
        <w:t>(Supplement), 35–59. https://doi.org/10.2308/accr.2002.77.s-1.35</w:t>
      </w:r>
    </w:p>
    <w:p w14:paraId="18F3ADF9"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Dechow, P. M., Ge, W., &amp; Schrand, C. (2010). Understanding earnings quality. </w:t>
      </w:r>
      <w:r w:rsidRPr="00B75C48">
        <w:rPr>
          <w:rFonts w:ascii="Times New Roman" w:hAnsi="Times New Roman" w:cs="Times New Roman"/>
          <w:i/>
          <w:iCs/>
          <w:szCs w:val="24"/>
        </w:rPr>
        <w:t>Journal of Accounting and Economics, 50</w:t>
      </w:r>
      <w:r w:rsidRPr="00B75C48">
        <w:rPr>
          <w:rFonts w:ascii="Times New Roman" w:hAnsi="Times New Roman" w:cs="Times New Roman"/>
          <w:szCs w:val="24"/>
        </w:rPr>
        <w:t>(2–3), 344–401. https://doi.org/10.1016/j.jacceco.2010.01.001</w:t>
      </w:r>
    </w:p>
    <w:p w14:paraId="5765DCA2"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Dichev, I. D., &amp; Tang, V. W. (2008). Matching and the changing properties of accounting earnings over time. </w:t>
      </w:r>
      <w:r w:rsidRPr="00B75C48">
        <w:rPr>
          <w:rFonts w:ascii="Times New Roman" w:hAnsi="Times New Roman" w:cs="Times New Roman"/>
          <w:i/>
          <w:iCs/>
          <w:szCs w:val="24"/>
        </w:rPr>
        <w:t>Journal of Accounting Research, 46</w:t>
      </w:r>
      <w:r w:rsidRPr="00B75C48">
        <w:rPr>
          <w:rFonts w:ascii="Times New Roman" w:hAnsi="Times New Roman" w:cs="Times New Roman"/>
          <w:szCs w:val="24"/>
        </w:rPr>
        <w:t>(5), 1421–1460. https://doi.org/10.1111/j.1475-679X.2008.00305.x</w:t>
      </w:r>
    </w:p>
    <w:p w14:paraId="79CE0F03"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Donelson, D. C., Jennings, R., &amp; McInnis, J. (2011). Changes over time in the revenue–expense relation: Accounting or economics? </w:t>
      </w:r>
      <w:r w:rsidRPr="00B75C48">
        <w:rPr>
          <w:rFonts w:ascii="Times New Roman" w:hAnsi="Times New Roman" w:cs="Times New Roman"/>
          <w:i/>
          <w:iCs/>
          <w:szCs w:val="24"/>
        </w:rPr>
        <w:t>The Accounting Review, 86</w:t>
      </w:r>
      <w:r w:rsidRPr="00B75C48">
        <w:rPr>
          <w:rFonts w:ascii="Times New Roman" w:hAnsi="Times New Roman" w:cs="Times New Roman"/>
          <w:szCs w:val="24"/>
        </w:rPr>
        <w:t xml:space="preserve">(6), 2021–2047. </w:t>
      </w:r>
      <w:hyperlink r:id="rId5" w:tgtFrame="_new" w:history="1">
        <w:r w:rsidRPr="00B75C48">
          <w:rPr>
            <w:rStyle w:val="Hyperlink"/>
            <w:rFonts w:ascii="Times New Roman" w:hAnsi="Times New Roman" w:cs="Times New Roman"/>
            <w:szCs w:val="24"/>
          </w:rPr>
          <w:t>https://doi.org/10.2308/accr-10102</w:t>
        </w:r>
      </w:hyperlink>
    </w:p>
    <w:p w14:paraId="7122CFF6"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Godfrey, J., Hodgson, A., Tarca, A., Hamilton, J., &amp; Holmes, S. (2010). </w:t>
      </w:r>
      <w:r w:rsidRPr="00B75C48">
        <w:rPr>
          <w:rFonts w:ascii="Times New Roman" w:hAnsi="Times New Roman" w:cs="Times New Roman"/>
          <w:i/>
          <w:iCs/>
          <w:szCs w:val="24"/>
        </w:rPr>
        <w:t>Accounting theory</w:t>
      </w:r>
      <w:r w:rsidRPr="00B75C48">
        <w:rPr>
          <w:rFonts w:ascii="Times New Roman" w:hAnsi="Times New Roman" w:cs="Times New Roman"/>
          <w:szCs w:val="24"/>
        </w:rPr>
        <w:t xml:space="preserve"> (7th ed.). Wiley.</w:t>
      </w:r>
    </w:p>
    <w:p w14:paraId="5F910388"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lastRenderedPageBreak/>
        <w:t xml:space="preserve">Healy, P. M., &amp; Palepu, K. G. (2001). Information asymmetry, corporate disclosure, and the capital markets. </w:t>
      </w:r>
      <w:r w:rsidRPr="00B75C48">
        <w:rPr>
          <w:rFonts w:ascii="Times New Roman" w:hAnsi="Times New Roman" w:cs="Times New Roman"/>
          <w:i/>
          <w:iCs/>
          <w:szCs w:val="24"/>
        </w:rPr>
        <w:t>Journal of Accounting and Economics, 31</w:t>
      </w:r>
      <w:r w:rsidRPr="00B75C48">
        <w:rPr>
          <w:rFonts w:ascii="Times New Roman" w:hAnsi="Times New Roman" w:cs="Times New Roman"/>
          <w:szCs w:val="24"/>
        </w:rPr>
        <w:t>(1–3), 405–440. https://doi.org/10.1016/S0165-4101(01)00018-0</w:t>
      </w:r>
    </w:p>
    <w:p w14:paraId="5941594A"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Healy, P. M., &amp; Wahlen, J. M. (1999). A review of the earnings management literature and its implications for standard setting. </w:t>
      </w:r>
      <w:r w:rsidRPr="00B75C48">
        <w:rPr>
          <w:rFonts w:ascii="Times New Roman" w:hAnsi="Times New Roman" w:cs="Times New Roman"/>
          <w:i/>
          <w:iCs/>
          <w:szCs w:val="24"/>
        </w:rPr>
        <w:t>Accounting Horizons, 13</w:t>
      </w:r>
      <w:r w:rsidRPr="00B75C48">
        <w:rPr>
          <w:rFonts w:ascii="Times New Roman" w:hAnsi="Times New Roman" w:cs="Times New Roman"/>
          <w:szCs w:val="24"/>
        </w:rPr>
        <w:t>(4), 365–383. https://doi.org/10.2308/acch.1999.13.4.365</w:t>
      </w:r>
    </w:p>
    <w:p w14:paraId="3B0B4067" w14:textId="77777777" w:rsidR="00A624BC" w:rsidRPr="00B75C48" w:rsidRDefault="00A624BC" w:rsidP="00A624BC">
      <w:pPr>
        <w:spacing w:line="480" w:lineRule="auto"/>
        <w:rPr>
          <w:rFonts w:ascii="Times New Roman" w:hAnsi="Times New Roman" w:cs="Times New Roman"/>
          <w:szCs w:val="24"/>
        </w:rPr>
      </w:pPr>
      <w:proofErr w:type="spellStart"/>
      <w:r w:rsidRPr="00B75C48">
        <w:rPr>
          <w:rFonts w:ascii="Times New Roman" w:hAnsi="Times New Roman" w:cs="Times New Roman"/>
          <w:szCs w:val="24"/>
        </w:rPr>
        <w:t>Kieso</w:t>
      </w:r>
      <w:proofErr w:type="spellEnd"/>
      <w:r w:rsidRPr="00B75C48">
        <w:rPr>
          <w:rFonts w:ascii="Times New Roman" w:hAnsi="Times New Roman" w:cs="Times New Roman"/>
          <w:szCs w:val="24"/>
        </w:rPr>
        <w:t xml:space="preserve">, D. E., Weygandt, J. J., &amp; Warfield, T. D. (2021). </w:t>
      </w:r>
      <w:r w:rsidRPr="00B75C48">
        <w:rPr>
          <w:rFonts w:ascii="Times New Roman" w:hAnsi="Times New Roman" w:cs="Times New Roman"/>
          <w:i/>
          <w:iCs/>
          <w:szCs w:val="24"/>
        </w:rPr>
        <w:t>Intermediate accounting</w:t>
      </w:r>
      <w:r w:rsidRPr="00B75C48">
        <w:rPr>
          <w:rFonts w:ascii="Times New Roman" w:hAnsi="Times New Roman" w:cs="Times New Roman"/>
          <w:szCs w:val="24"/>
        </w:rPr>
        <w:t xml:space="preserve"> (17th ed.). Wiley.</w:t>
      </w:r>
    </w:p>
    <w:p w14:paraId="39B28510"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Kothari, S. P., Leone, A. J., &amp; Wasley, C. E. (2005). Performance matched discretionary accrual measures. </w:t>
      </w:r>
      <w:r w:rsidRPr="00B75C48">
        <w:rPr>
          <w:rFonts w:ascii="Times New Roman" w:hAnsi="Times New Roman" w:cs="Times New Roman"/>
          <w:i/>
          <w:iCs/>
          <w:szCs w:val="24"/>
        </w:rPr>
        <w:t>Journal of Accounting and Economics, 39</w:t>
      </w:r>
      <w:r w:rsidRPr="00B75C48">
        <w:rPr>
          <w:rFonts w:ascii="Times New Roman" w:hAnsi="Times New Roman" w:cs="Times New Roman"/>
          <w:szCs w:val="24"/>
        </w:rPr>
        <w:t xml:space="preserve">(1), 163–197. </w:t>
      </w:r>
      <w:hyperlink r:id="rId6" w:tgtFrame="_new" w:history="1">
        <w:r w:rsidRPr="00B75C48">
          <w:rPr>
            <w:rStyle w:val="Hyperlink"/>
            <w:rFonts w:ascii="Times New Roman" w:hAnsi="Times New Roman" w:cs="Times New Roman"/>
            <w:szCs w:val="24"/>
          </w:rPr>
          <w:t>https://doi.org/10.1016/j.jacceco.2004.11.002</w:t>
        </w:r>
      </w:hyperlink>
    </w:p>
    <w:p w14:paraId="10A781E5"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Libby, R., Libby, P. A., &amp; Short, D. G. (2017). </w:t>
      </w:r>
      <w:r w:rsidRPr="00B75C48">
        <w:rPr>
          <w:rFonts w:ascii="Times New Roman" w:hAnsi="Times New Roman" w:cs="Times New Roman"/>
          <w:i/>
          <w:iCs/>
          <w:szCs w:val="24"/>
        </w:rPr>
        <w:t>Financial accounting</w:t>
      </w:r>
      <w:r w:rsidRPr="00B75C48">
        <w:rPr>
          <w:rFonts w:ascii="Times New Roman" w:hAnsi="Times New Roman" w:cs="Times New Roman"/>
          <w:szCs w:val="24"/>
        </w:rPr>
        <w:t xml:space="preserve"> (9th ed.). McGraw-Hill Education.</w:t>
      </w:r>
    </w:p>
    <w:p w14:paraId="052EE1D2"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Littleton, A. C. (1966). </w:t>
      </w:r>
      <w:r w:rsidRPr="00B75C48">
        <w:rPr>
          <w:rFonts w:ascii="Times New Roman" w:hAnsi="Times New Roman" w:cs="Times New Roman"/>
          <w:i/>
          <w:iCs/>
          <w:szCs w:val="24"/>
        </w:rPr>
        <w:t>Accounting evolution to 1900</w:t>
      </w:r>
      <w:r w:rsidRPr="00B75C48">
        <w:rPr>
          <w:rFonts w:ascii="Times New Roman" w:hAnsi="Times New Roman" w:cs="Times New Roman"/>
          <w:szCs w:val="24"/>
        </w:rPr>
        <w:t>. Russell &amp; Russell.</w:t>
      </w:r>
    </w:p>
    <w:p w14:paraId="7299EE88"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Penman, S. H. (2013). </w:t>
      </w:r>
      <w:r w:rsidRPr="00B75C48">
        <w:rPr>
          <w:rFonts w:ascii="Times New Roman" w:hAnsi="Times New Roman" w:cs="Times New Roman"/>
          <w:i/>
          <w:iCs/>
          <w:szCs w:val="24"/>
        </w:rPr>
        <w:t>Financial statement analysis and security valuation</w:t>
      </w:r>
      <w:r w:rsidRPr="00B75C48">
        <w:rPr>
          <w:rFonts w:ascii="Times New Roman" w:hAnsi="Times New Roman" w:cs="Times New Roman"/>
          <w:szCs w:val="24"/>
        </w:rPr>
        <w:t xml:space="preserve"> (5th ed.). McGraw-Hill Education.</w:t>
      </w:r>
    </w:p>
    <w:p w14:paraId="1660CEEB"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Penman, S. H., &amp; Yehuda, N. (2016). A matter of principle: Accounting reports convey both cash-flow news and discount-rate news. </w:t>
      </w:r>
      <w:r w:rsidRPr="00B75C48">
        <w:rPr>
          <w:rFonts w:ascii="Times New Roman" w:hAnsi="Times New Roman" w:cs="Times New Roman"/>
          <w:i/>
          <w:iCs/>
          <w:szCs w:val="24"/>
        </w:rPr>
        <w:t>Journal of Accounting, Auditing &amp; Finance, 31</w:t>
      </w:r>
      <w:r w:rsidRPr="00B75C48">
        <w:rPr>
          <w:rFonts w:ascii="Times New Roman" w:hAnsi="Times New Roman" w:cs="Times New Roman"/>
          <w:szCs w:val="24"/>
        </w:rPr>
        <w:t>(1), 5–39. https://doi.org/10.1177/0148558X15576293</w:t>
      </w:r>
    </w:p>
    <w:p w14:paraId="1AEEDC6C"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Romney, M. B., &amp; </w:t>
      </w:r>
      <w:proofErr w:type="spellStart"/>
      <w:r w:rsidRPr="00B75C48">
        <w:rPr>
          <w:rFonts w:ascii="Times New Roman" w:hAnsi="Times New Roman" w:cs="Times New Roman"/>
          <w:szCs w:val="24"/>
        </w:rPr>
        <w:t>Steinbart</w:t>
      </w:r>
      <w:proofErr w:type="spellEnd"/>
      <w:r w:rsidRPr="00B75C48">
        <w:rPr>
          <w:rFonts w:ascii="Times New Roman" w:hAnsi="Times New Roman" w:cs="Times New Roman"/>
          <w:szCs w:val="24"/>
        </w:rPr>
        <w:t xml:space="preserve">, P. J. (2021). </w:t>
      </w:r>
      <w:r w:rsidRPr="00B75C48">
        <w:rPr>
          <w:rFonts w:ascii="Times New Roman" w:hAnsi="Times New Roman" w:cs="Times New Roman"/>
          <w:i/>
          <w:iCs/>
          <w:szCs w:val="24"/>
        </w:rPr>
        <w:t>Accounting information systems</w:t>
      </w:r>
      <w:r w:rsidRPr="00B75C48">
        <w:rPr>
          <w:rFonts w:ascii="Times New Roman" w:hAnsi="Times New Roman" w:cs="Times New Roman"/>
          <w:szCs w:val="24"/>
        </w:rPr>
        <w:t xml:space="preserve"> (15th ed.). Pearson Education.</w:t>
      </w:r>
    </w:p>
    <w:p w14:paraId="588AE6E9"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lastRenderedPageBreak/>
        <w:t xml:space="preserve">Scott, W. R. (2015). </w:t>
      </w:r>
      <w:r w:rsidRPr="00B75C48">
        <w:rPr>
          <w:rFonts w:ascii="Times New Roman" w:hAnsi="Times New Roman" w:cs="Times New Roman"/>
          <w:i/>
          <w:iCs/>
          <w:szCs w:val="24"/>
        </w:rPr>
        <w:t>Financial accounting theory</w:t>
      </w:r>
      <w:r w:rsidRPr="00B75C48">
        <w:rPr>
          <w:rFonts w:ascii="Times New Roman" w:hAnsi="Times New Roman" w:cs="Times New Roman"/>
          <w:szCs w:val="24"/>
        </w:rPr>
        <w:t xml:space="preserve"> (7th ed.). Pearson Education.</w:t>
      </w:r>
    </w:p>
    <w:p w14:paraId="63C96404" w14:textId="77777777" w:rsidR="00A624BC" w:rsidRPr="00B75C48" w:rsidRDefault="00A624BC" w:rsidP="00A624BC">
      <w:pPr>
        <w:spacing w:line="480" w:lineRule="auto"/>
        <w:rPr>
          <w:rFonts w:ascii="Times New Roman" w:hAnsi="Times New Roman" w:cs="Times New Roman"/>
          <w:szCs w:val="24"/>
        </w:rPr>
      </w:pPr>
      <w:proofErr w:type="spellStart"/>
      <w:r w:rsidRPr="00B75C48">
        <w:rPr>
          <w:rFonts w:ascii="Times New Roman" w:hAnsi="Times New Roman" w:cs="Times New Roman"/>
          <w:szCs w:val="24"/>
        </w:rPr>
        <w:t>Tranfield</w:t>
      </w:r>
      <w:proofErr w:type="spellEnd"/>
      <w:r w:rsidRPr="00B75C48">
        <w:rPr>
          <w:rFonts w:ascii="Times New Roman" w:hAnsi="Times New Roman" w:cs="Times New Roman"/>
          <w:szCs w:val="24"/>
        </w:rPr>
        <w:t xml:space="preserve">, D., Denyer, D., &amp; Smart, P. (2003). Towards a methodology for developing evidence-informed management knowledge. </w:t>
      </w:r>
      <w:r w:rsidRPr="00B75C48">
        <w:rPr>
          <w:rFonts w:ascii="Times New Roman" w:hAnsi="Times New Roman" w:cs="Times New Roman"/>
          <w:i/>
          <w:iCs/>
          <w:szCs w:val="24"/>
        </w:rPr>
        <w:t>British Journal of Management, 14</w:t>
      </w:r>
      <w:r w:rsidRPr="00B75C48">
        <w:rPr>
          <w:rFonts w:ascii="Times New Roman" w:hAnsi="Times New Roman" w:cs="Times New Roman"/>
          <w:szCs w:val="24"/>
        </w:rPr>
        <w:t xml:space="preserve">(3), 207–222. </w:t>
      </w:r>
      <w:hyperlink r:id="rId7" w:tgtFrame="_new" w:history="1">
        <w:r w:rsidRPr="00B75C48">
          <w:rPr>
            <w:rStyle w:val="Hyperlink"/>
            <w:rFonts w:ascii="Times New Roman" w:hAnsi="Times New Roman" w:cs="Times New Roman"/>
            <w:szCs w:val="24"/>
          </w:rPr>
          <w:t>https://doi.org/10.1111/1467-8551.00375</w:t>
        </w:r>
      </w:hyperlink>
    </w:p>
    <w:p w14:paraId="400ED275"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Weygandt, J. J., Kimmel, P. D., &amp; </w:t>
      </w:r>
      <w:proofErr w:type="spellStart"/>
      <w:r w:rsidRPr="00B75C48">
        <w:rPr>
          <w:rFonts w:ascii="Times New Roman" w:hAnsi="Times New Roman" w:cs="Times New Roman"/>
          <w:szCs w:val="24"/>
        </w:rPr>
        <w:t>Kieso</w:t>
      </w:r>
      <w:proofErr w:type="spellEnd"/>
      <w:r w:rsidRPr="00B75C48">
        <w:rPr>
          <w:rFonts w:ascii="Times New Roman" w:hAnsi="Times New Roman" w:cs="Times New Roman"/>
          <w:szCs w:val="24"/>
        </w:rPr>
        <w:t xml:space="preserve">, D. E. (2020). </w:t>
      </w:r>
      <w:r w:rsidRPr="00B75C48">
        <w:rPr>
          <w:rFonts w:ascii="Times New Roman" w:hAnsi="Times New Roman" w:cs="Times New Roman"/>
          <w:i/>
          <w:iCs/>
          <w:szCs w:val="24"/>
        </w:rPr>
        <w:t>Financial accounting</w:t>
      </w:r>
      <w:r w:rsidRPr="00B75C48">
        <w:rPr>
          <w:rFonts w:ascii="Times New Roman" w:hAnsi="Times New Roman" w:cs="Times New Roman"/>
          <w:szCs w:val="24"/>
        </w:rPr>
        <w:t xml:space="preserve"> (11th ed.). Wiley.</w:t>
      </w:r>
    </w:p>
    <w:p w14:paraId="13ACA6A7" w14:textId="77777777" w:rsidR="00A624BC" w:rsidRPr="00B75C48" w:rsidRDefault="00A624BC" w:rsidP="00A624BC">
      <w:pPr>
        <w:spacing w:line="480" w:lineRule="auto"/>
        <w:rPr>
          <w:rFonts w:ascii="Times New Roman" w:hAnsi="Times New Roman" w:cs="Times New Roman"/>
          <w:szCs w:val="24"/>
        </w:rPr>
      </w:pPr>
      <w:r w:rsidRPr="00B75C48">
        <w:rPr>
          <w:rFonts w:ascii="Times New Roman" w:hAnsi="Times New Roman" w:cs="Times New Roman"/>
          <w:szCs w:val="24"/>
        </w:rPr>
        <w:t xml:space="preserve">Yamey, B. S. (2004). Pacioli’s double-entry bookkeeping: A critique. </w:t>
      </w:r>
      <w:r w:rsidRPr="00B75C48">
        <w:rPr>
          <w:rFonts w:ascii="Times New Roman" w:hAnsi="Times New Roman" w:cs="Times New Roman"/>
          <w:i/>
          <w:iCs/>
          <w:szCs w:val="24"/>
        </w:rPr>
        <w:t>Accounting, Business &amp; Financial History, 14</w:t>
      </w:r>
      <w:r w:rsidRPr="00B75C48">
        <w:rPr>
          <w:rFonts w:ascii="Times New Roman" w:hAnsi="Times New Roman" w:cs="Times New Roman"/>
          <w:szCs w:val="24"/>
        </w:rPr>
        <w:t>(3), 203–213. https://doi.org/10.1080/0958520042000254720</w:t>
      </w:r>
    </w:p>
    <w:p w14:paraId="61820778" w14:textId="77777777" w:rsidR="00A624BC" w:rsidRPr="00416524" w:rsidRDefault="00A624BC" w:rsidP="00A624BC">
      <w:pPr>
        <w:spacing w:line="480" w:lineRule="auto"/>
        <w:rPr>
          <w:rFonts w:ascii="Times New Roman" w:hAnsi="Times New Roman" w:cs="Times New Roman"/>
          <w:szCs w:val="24"/>
        </w:rPr>
      </w:pPr>
    </w:p>
    <w:p w14:paraId="54656647" w14:textId="77777777" w:rsidR="00A624BC" w:rsidRDefault="00A624BC"/>
    <w:sectPr w:rsidR="00A624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4BC"/>
    <w:rsid w:val="006748AB"/>
    <w:rsid w:val="00A624BC"/>
    <w:rsid w:val="00C117C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EDADE"/>
  <w15:chartTrackingRefBased/>
  <w15:docId w15:val="{17E6A5DE-4999-4B01-8BB1-F9B796940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4BC"/>
  </w:style>
  <w:style w:type="paragraph" w:styleId="Heading1">
    <w:name w:val="heading 1"/>
    <w:basedOn w:val="Normal"/>
    <w:next w:val="Normal"/>
    <w:link w:val="Heading1Char"/>
    <w:uiPriority w:val="9"/>
    <w:qFormat/>
    <w:rsid w:val="00A624B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624B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624B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624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4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4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4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4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4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4B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624B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624B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624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4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4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4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4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4BC"/>
    <w:rPr>
      <w:rFonts w:eastAsiaTheme="majorEastAsia" w:cstheme="majorBidi"/>
      <w:color w:val="272727" w:themeColor="text1" w:themeTint="D8"/>
    </w:rPr>
  </w:style>
  <w:style w:type="paragraph" w:styleId="Title">
    <w:name w:val="Title"/>
    <w:basedOn w:val="Normal"/>
    <w:next w:val="Normal"/>
    <w:link w:val="TitleChar"/>
    <w:uiPriority w:val="10"/>
    <w:qFormat/>
    <w:rsid w:val="00A624B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624B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624B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624B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624BC"/>
    <w:pPr>
      <w:spacing w:before="160"/>
      <w:jc w:val="center"/>
    </w:pPr>
    <w:rPr>
      <w:i/>
      <w:iCs/>
      <w:color w:val="404040" w:themeColor="text1" w:themeTint="BF"/>
    </w:rPr>
  </w:style>
  <w:style w:type="character" w:customStyle="1" w:styleId="QuoteChar">
    <w:name w:val="Quote Char"/>
    <w:basedOn w:val="DefaultParagraphFont"/>
    <w:link w:val="Quote"/>
    <w:uiPriority w:val="29"/>
    <w:rsid w:val="00A624BC"/>
    <w:rPr>
      <w:i/>
      <w:iCs/>
      <w:color w:val="404040" w:themeColor="text1" w:themeTint="BF"/>
    </w:rPr>
  </w:style>
  <w:style w:type="paragraph" w:styleId="ListParagraph">
    <w:name w:val="List Paragraph"/>
    <w:basedOn w:val="Normal"/>
    <w:uiPriority w:val="34"/>
    <w:qFormat/>
    <w:rsid w:val="00A624BC"/>
    <w:pPr>
      <w:ind w:left="720"/>
      <w:contextualSpacing/>
    </w:pPr>
  </w:style>
  <w:style w:type="character" w:styleId="IntenseEmphasis">
    <w:name w:val="Intense Emphasis"/>
    <w:basedOn w:val="DefaultParagraphFont"/>
    <w:uiPriority w:val="21"/>
    <w:qFormat/>
    <w:rsid w:val="00A624BC"/>
    <w:rPr>
      <w:i/>
      <w:iCs/>
      <w:color w:val="0F4761" w:themeColor="accent1" w:themeShade="BF"/>
    </w:rPr>
  </w:style>
  <w:style w:type="paragraph" w:styleId="IntenseQuote">
    <w:name w:val="Intense Quote"/>
    <w:basedOn w:val="Normal"/>
    <w:next w:val="Normal"/>
    <w:link w:val="IntenseQuoteChar"/>
    <w:uiPriority w:val="30"/>
    <w:qFormat/>
    <w:rsid w:val="00A624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4BC"/>
    <w:rPr>
      <w:i/>
      <w:iCs/>
      <w:color w:val="0F4761" w:themeColor="accent1" w:themeShade="BF"/>
    </w:rPr>
  </w:style>
  <w:style w:type="character" w:styleId="IntenseReference">
    <w:name w:val="Intense Reference"/>
    <w:basedOn w:val="DefaultParagraphFont"/>
    <w:uiPriority w:val="32"/>
    <w:qFormat/>
    <w:rsid w:val="00A624BC"/>
    <w:rPr>
      <w:b/>
      <w:bCs/>
      <w:smallCaps/>
      <w:color w:val="0F4761" w:themeColor="accent1" w:themeShade="BF"/>
      <w:spacing w:val="5"/>
    </w:rPr>
  </w:style>
  <w:style w:type="character" w:styleId="Hyperlink">
    <w:name w:val="Hyperlink"/>
    <w:basedOn w:val="DefaultParagraphFont"/>
    <w:uiPriority w:val="99"/>
    <w:unhideWhenUsed/>
    <w:rsid w:val="00A624BC"/>
    <w:rPr>
      <w:color w:val="467886" w:themeColor="hyperlink"/>
      <w:u w:val="single"/>
    </w:rPr>
  </w:style>
  <w:style w:type="paragraph" w:styleId="TOC1">
    <w:name w:val="toc 1"/>
    <w:basedOn w:val="Normal"/>
    <w:next w:val="Normal"/>
    <w:autoRedefine/>
    <w:uiPriority w:val="39"/>
    <w:unhideWhenUsed/>
    <w:rsid w:val="00A624BC"/>
    <w:pPr>
      <w:spacing w:after="100" w:line="259" w:lineRule="auto"/>
    </w:pPr>
    <w:rPr>
      <w:rFonts w:eastAsiaTheme="minorEastAsia" w:cs="Times New Roman"/>
      <w:kern w:val="0"/>
      <w:sz w:val="22"/>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11/1467-8551.0037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jacceco.2004.11.002" TargetMode="External"/><Relationship Id="rId5" Type="http://schemas.openxmlformats.org/officeDocument/2006/relationships/hyperlink" Target="https://doi.org/10.2308/accr-10102"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4623</Words>
  <Characters>26357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2026-02-06T07:26:00Z</dcterms:created>
  <dcterms:modified xsi:type="dcterms:W3CDTF">2026-02-06T07:36:00Z</dcterms:modified>
</cp:coreProperties>
</file>