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CAA99">
      <w:pPr>
        <w:jc w:val="right"/>
        <w:rPr>
          <w:rFonts w:hint="default" w:ascii="Times New Roman" w:hAnsi="Times New Roman" w:cs="Times New Roman"/>
          <w:b/>
          <w:bCs/>
          <w:sz w:val="52"/>
          <w:szCs w:val="52"/>
          <w:lang w:val="en-GB"/>
        </w:rPr>
      </w:pPr>
      <w:r>
        <w:rPr>
          <w:rFonts w:hint="default" w:ascii="Times New Roman" w:hAnsi="Times New Roman" w:cs="Times New Roman"/>
          <w:b/>
          <w:bCs/>
          <w:sz w:val="52"/>
          <w:szCs w:val="52"/>
          <w:lang w:val="en-GB"/>
        </w:rPr>
        <w:drawing>
          <wp:inline distT="0" distB="0" distL="114300" distR="114300">
            <wp:extent cx="1986280" cy="1507490"/>
            <wp:effectExtent l="0" t="0" r="4445" b="6985"/>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1986280" cy="1507490"/>
                    </a:xfrm>
                    <a:prstGeom prst="rect">
                      <a:avLst/>
                    </a:prstGeom>
                  </pic:spPr>
                </pic:pic>
              </a:graphicData>
            </a:graphic>
          </wp:inline>
        </w:drawing>
      </w:r>
    </w:p>
    <w:p w14:paraId="30325954">
      <w:pPr>
        <w:jc w:val="left"/>
        <w:rPr>
          <w:rFonts w:ascii="Times New Roman" w:hAnsi="Times New Roman" w:cs="Times New Roman"/>
          <w:b/>
          <w:bCs/>
          <w:sz w:val="52"/>
          <w:szCs w:val="52"/>
        </w:rPr>
      </w:pPr>
    </w:p>
    <w:p w14:paraId="477D1367">
      <w:pPr>
        <w:jc w:val="left"/>
        <w:rPr>
          <w:rFonts w:ascii="Times New Roman" w:hAnsi="Times New Roman" w:cs="Times New Roman"/>
          <w:b/>
          <w:bCs/>
          <w:sz w:val="52"/>
          <w:szCs w:val="52"/>
        </w:rPr>
      </w:pPr>
      <w:r>
        <w:rPr>
          <w:rFonts w:ascii="Times New Roman" w:hAnsi="Times New Roman" w:cs="Times New Roman"/>
          <w:b/>
          <w:bCs/>
          <w:sz w:val="52"/>
          <w:szCs w:val="52"/>
        </w:rPr>
        <w:t>Integrated Advertising and Multi-Channel Media Campaign for Great Britain</w:t>
      </w:r>
    </w:p>
    <w:p w14:paraId="245E295E">
      <w:pPr>
        <w:rPr>
          <w:b/>
          <w:bCs/>
        </w:rPr>
      </w:pPr>
      <w:r>
        <w:rPr>
          <w:b/>
          <w:bCs/>
        </w:rPr>
        <w:t>Proposed Campaign: “Britain: More Than You Imagined”</w:t>
      </w:r>
    </w:p>
    <w:p w14:paraId="2B9BE01B">
      <w:pPr>
        <w:rPr>
          <w:b/>
          <w:bCs/>
        </w:rPr>
      </w:pPr>
    </w:p>
    <w:p w14:paraId="7206AAFA">
      <w:pPr>
        <w:rPr>
          <w:b/>
          <w:bCs/>
        </w:rPr>
      </w:pPr>
    </w:p>
    <w:p w14:paraId="6A5B6449">
      <w:pPr>
        <w:rPr>
          <w:b/>
          <w:bCs/>
        </w:rPr>
      </w:pPr>
    </w:p>
    <w:p w14:paraId="4B65B18C">
      <w:r>
        <w:rPr>
          <w:b/>
          <w:bCs/>
        </w:rPr>
        <w:t>Student Name:</w:t>
      </w:r>
      <w:r>
        <w:t xml:space="preserve"> </w:t>
      </w:r>
      <w:r>
        <w:rPr>
          <w:rFonts w:hint="default"/>
          <w:lang w:val="en-GB"/>
        </w:rPr>
        <w:t>Monika Monika</w:t>
      </w:r>
      <w:r>
        <w:br w:type="textWrapping"/>
      </w:r>
      <w:r>
        <w:rPr>
          <w:b/>
          <w:bCs/>
        </w:rPr>
        <w:t>Student ID:</w:t>
      </w:r>
      <w:r>
        <w:t xml:space="preserve"> </w:t>
      </w:r>
      <w:r>
        <w:rPr>
          <w:rFonts w:hint="default"/>
          <w:lang w:val="en-GB"/>
        </w:rPr>
        <w:t>DE240147</w:t>
      </w:r>
      <w:r>
        <w:br w:type="textWrapping"/>
      </w:r>
      <w:r>
        <w:rPr>
          <w:b/>
          <w:bCs/>
        </w:rPr>
        <w:t>Module:</w:t>
      </w:r>
      <w:r>
        <w:t xml:space="preserve"> Advertising and Public Relation</w:t>
      </w:r>
      <w:r>
        <w:br w:type="textWrapping"/>
      </w:r>
      <w:r>
        <w:rPr>
          <w:b/>
          <w:bCs/>
        </w:rPr>
        <w:t>Assignment:</w:t>
      </w:r>
      <w:r>
        <w:t xml:space="preserve"> Applied Campaign Strategy Report</w:t>
      </w:r>
      <w:r>
        <w:br w:type="textWrapping"/>
      </w:r>
    </w:p>
    <w:p w14:paraId="17591CC2"/>
    <w:p w14:paraId="28619E0C">
      <w:pPr>
        <w:ind w:left="360"/>
        <w:rPr>
          <w:rFonts w:ascii="Times New Roman" w:hAnsi="Times New Roman" w:cs="Times New Roman"/>
        </w:rPr>
      </w:pPr>
    </w:p>
    <w:p w14:paraId="43F8EA08"/>
    <w:p w14:paraId="58CFD68D">
      <w:pPr>
        <w:pStyle w:val="42"/>
      </w:pPr>
    </w:p>
    <w:p w14:paraId="0A72C217">
      <w:pPr>
        <w:pStyle w:val="42"/>
        <w:rPr>
          <w:sz w:val="36"/>
          <w:szCs w:val="36"/>
        </w:rPr>
      </w:pPr>
    </w:p>
    <w:p w14:paraId="0FDDB49D">
      <w:pPr>
        <w:pStyle w:val="42"/>
        <w:rPr>
          <w:sz w:val="36"/>
          <w:szCs w:val="36"/>
        </w:rPr>
      </w:pPr>
      <w:bookmarkStart w:id="0" w:name="_GoBack"/>
      <w:bookmarkEnd w:id="0"/>
      <w:r>
        <w:rPr>
          <w:sz w:val="36"/>
          <w:szCs w:val="36"/>
        </w:rPr>
        <w:t>Table of Contents</w:t>
      </w:r>
    </w:p>
    <w:p w14:paraId="4766924C">
      <w:pPr>
        <w:pStyle w:val="42"/>
        <w:rPr>
          <w:b w:val="0"/>
          <w:bCs w:val="0"/>
          <w:sz w:val="24"/>
          <w:szCs w:val="24"/>
        </w:rPr>
      </w:pPr>
      <w:r>
        <w:rPr>
          <w:b w:val="0"/>
          <w:bCs w:val="0"/>
          <w:sz w:val="24"/>
          <w:szCs w:val="24"/>
        </w:rPr>
        <w:t>1. Abstract 3</w:t>
      </w:r>
    </w:p>
    <w:p w14:paraId="45074E58">
      <w:pPr>
        <w:pStyle w:val="42"/>
        <w:rPr>
          <w:b w:val="0"/>
          <w:bCs w:val="0"/>
          <w:sz w:val="24"/>
          <w:szCs w:val="24"/>
        </w:rPr>
      </w:pPr>
      <w:r>
        <w:rPr>
          <w:b w:val="0"/>
          <w:bCs w:val="0"/>
          <w:sz w:val="24"/>
          <w:szCs w:val="24"/>
        </w:rPr>
        <w:t>2. Introduction 3</w:t>
      </w:r>
    </w:p>
    <w:p w14:paraId="44554C8D">
      <w:pPr>
        <w:pStyle w:val="42"/>
        <w:rPr>
          <w:b w:val="0"/>
          <w:bCs w:val="0"/>
          <w:sz w:val="24"/>
          <w:szCs w:val="24"/>
        </w:rPr>
      </w:pPr>
      <w:r>
        <w:rPr>
          <w:b w:val="0"/>
          <w:bCs w:val="0"/>
          <w:sz w:val="24"/>
          <w:szCs w:val="24"/>
        </w:rPr>
        <w:t>3. Literature Review 4</w:t>
      </w:r>
    </w:p>
    <w:p w14:paraId="17669B1C">
      <w:pPr>
        <w:pStyle w:val="42"/>
        <w:rPr>
          <w:b w:val="0"/>
          <w:bCs w:val="0"/>
          <w:sz w:val="24"/>
          <w:szCs w:val="24"/>
        </w:rPr>
      </w:pPr>
      <w:r>
        <w:rPr>
          <w:b w:val="0"/>
          <w:bCs w:val="0"/>
          <w:sz w:val="24"/>
          <w:szCs w:val="24"/>
        </w:rPr>
        <w:t>3.1 Commercial Management and Business Growth 4</w:t>
      </w:r>
    </w:p>
    <w:p w14:paraId="56594B80">
      <w:pPr>
        <w:pStyle w:val="42"/>
        <w:rPr>
          <w:b w:val="0"/>
          <w:bCs w:val="0"/>
          <w:sz w:val="24"/>
          <w:szCs w:val="24"/>
        </w:rPr>
      </w:pPr>
      <w:r>
        <w:rPr>
          <w:b w:val="0"/>
          <w:bCs w:val="0"/>
          <w:sz w:val="24"/>
          <w:szCs w:val="24"/>
        </w:rPr>
        <w:t>3.2 Marketing Management and Customer Value 4</w:t>
      </w:r>
    </w:p>
    <w:p w14:paraId="3AB24E88">
      <w:pPr>
        <w:pStyle w:val="42"/>
        <w:rPr>
          <w:b w:val="0"/>
          <w:bCs w:val="0"/>
          <w:sz w:val="24"/>
          <w:szCs w:val="24"/>
        </w:rPr>
      </w:pPr>
      <w:r>
        <w:rPr>
          <w:b w:val="0"/>
          <w:bCs w:val="0"/>
          <w:sz w:val="24"/>
          <w:szCs w:val="24"/>
        </w:rPr>
        <w:t>3.3 Pricing Strategy 5</w:t>
      </w:r>
    </w:p>
    <w:p w14:paraId="657B99DC">
      <w:pPr>
        <w:pStyle w:val="42"/>
        <w:rPr>
          <w:b w:val="0"/>
          <w:bCs w:val="0"/>
          <w:sz w:val="24"/>
          <w:szCs w:val="24"/>
        </w:rPr>
      </w:pPr>
      <w:r>
        <w:rPr>
          <w:b w:val="0"/>
          <w:bCs w:val="0"/>
          <w:sz w:val="24"/>
          <w:szCs w:val="24"/>
        </w:rPr>
        <w:t>3.4 Segmentation Targeting and Positioning 6</w:t>
      </w:r>
    </w:p>
    <w:p w14:paraId="51CA80AF">
      <w:pPr>
        <w:pStyle w:val="42"/>
        <w:rPr>
          <w:b w:val="0"/>
          <w:bCs w:val="0"/>
          <w:sz w:val="24"/>
          <w:szCs w:val="24"/>
        </w:rPr>
      </w:pPr>
      <w:r>
        <w:rPr>
          <w:b w:val="0"/>
          <w:bCs w:val="0"/>
          <w:sz w:val="24"/>
          <w:szCs w:val="24"/>
        </w:rPr>
        <w:t>3.5 Marketing Sales and Profitability 6</w:t>
      </w:r>
    </w:p>
    <w:p w14:paraId="60B7ABC3">
      <w:pPr>
        <w:pStyle w:val="42"/>
        <w:rPr>
          <w:b w:val="0"/>
          <w:bCs w:val="0"/>
          <w:sz w:val="24"/>
          <w:szCs w:val="24"/>
        </w:rPr>
      </w:pPr>
      <w:r>
        <w:rPr>
          <w:b w:val="0"/>
          <w:bCs w:val="0"/>
          <w:sz w:val="24"/>
          <w:szCs w:val="24"/>
        </w:rPr>
        <w:t>4. Methodology 7</w:t>
      </w:r>
    </w:p>
    <w:p w14:paraId="01455127">
      <w:pPr>
        <w:pStyle w:val="42"/>
        <w:rPr>
          <w:b w:val="0"/>
          <w:bCs w:val="0"/>
          <w:sz w:val="24"/>
          <w:szCs w:val="24"/>
        </w:rPr>
      </w:pPr>
      <w:r>
        <w:rPr>
          <w:b w:val="0"/>
          <w:bCs w:val="0"/>
          <w:sz w:val="24"/>
          <w:szCs w:val="24"/>
        </w:rPr>
        <w:t>5. Findings 8</w:t>
      </w:r>
    </w:p>
    <w:p w14:paraId="5B46FB91">
      <w:pPr>
        <w:pStyle w:val="42"/>
        <w:rPr>
          <w:b w:val="0"/>
          <w:bCs w:val="0"/>
          <w:sz w:val="24"/>
          <w:szCs w:val="24"/>
        </w:rPr>
      </w:pPr>
      <w:r>
        <w:rPr>
          <w:b w:val="0"/>
          <w:bCs w:val="0"/>
          <w:sz w:val="24"/>
          <w:szCs w:val="24"/>
        </w:rPr>
        <w:t>5.1 Relationship Between Marketing Commercial Management and Growth 8</w:t>
      </w:r>
    </w:p>
    <w:p w14:paraId="4D2DBE92">
      <w:pPr>
        <w:pStyle w:val="42"/>
        <w:rPr>
          <w:b w:val="0"/>
          <w:bCs w:val="0"/>
          <w:sz w:val="24"/>
          <w:szCs w:val="24"/>
        </w:rPr>
      </w:pPr>
      <w:r>
        <w:rPr>
          <w:b w:val="0"/>
          <w:bCs w:val="0"/>
          <w:sz w:val="24"/>
          <w:szCs w:val="24"/>
        </w:rPr>
        <w:t>5.2 Pricing Strategies in Practice 8</w:t>
      </w:r>
    </w:p>
    <w:p w14:paraId="6EF4C49F">
      <w:pPr>
        <w:pStyle w:val="42"/>
        <w:rPr>
          <w:b w:val="0"/>
          <w:bCs w:val="0"/>
          <w:sz w:val="24"/>
          <w:szCs w:val="24"/>
        </w:rPr>
      </w:pPr>
      <w:r>
        <w:rPr>
          <w:b w:val="0"/>
          <w:bCs w:val="0"/>
          <w:sz w:val="24"/>
          <w:szCs w:val="24"/>
        </w:rPr>
        <w:t>5.3 Segmentation Targeting and Positioning in Practice 9</w:t>
      </w:r>
    </w:p>
    <w:p w14:paraId="3F2802F2">
      <w:pPr>
        <w:pStyle w:val="42"/>
        <w:rPr>
          <w:b w:val="0"/>
          <w:bCs w:val="0"/>
          <w:sz w:val="24"/>
          <w:szCs w:val="24"/>
        </w:rPr>
      </w:pPr>
      <w:r>
        <w:rPr>
          <w:b w:val="0"/>
          <w:bCs w:val="0"/>
          <w:sz w:val="24"/>
          <w:szCs w:val="24"/>
        </w:rPr>
        <w:t>5.4 Revenue Generation and Digital Channels 9</w:t>
      </w:r>
    </w:p>
    <w:p w14:paraId="7D05C910">
      <w:pPr>
        <w:pStyle w:val="42"/>
        <w:rPr>
          <w:b w:val="0"/>
          <w:bCs w:val="0"/>
          <w:sz w:val="24"/>
          <w:szCs w:val="24"/>
        </w:rPr>
      </w:pPr>
      <w:r>
        <w:rPr>
          <w:b w:val="0"/>
          <w:bCs w:val="0"/>
          <w:sz w:val="24"/>
          <w:szCs w:val="24"/>
        </w:rPr>
        <w:t>5.5 Customer Acquisition and Retention 10</w:t>
      </w:r>
    </w:p>
    <w:p w14:paraId="61FF7222">
      <w:pPr>
        <w:pStyle w:val="42"/>
        <w:rPr>
          <w:b w:val="0"/>
          <w:bCs w:val="0"/>
          <w:sz w:val="24"/>
          <w:szCs w:val="24"/>
        </w:rPr>
      </w:pPr>
      <w:r>
        <w:rPr>
          <w:b w:val="0"/>
          <w:bCs w:val="0"/>
          <w:sz w:val="24"/>
          <w:szCs w:val="24"/>
        </w:rPr>
        <w:t>6. Discussion 10</w:t>
      </w:r>
    </w:p>
    <w:p w14:paraId="1FCA5DFE">
      <w:pPr>
        <w:pStyle w:val="42"/>
        <w:rPr>
          <w:b w:val="0"/>
          <w:bCs w:val="0"/>
          <w:sz w:val="24"/>
          <w:szCs w:val="24"/>
        </w:rPr>
      </w:pPr>
      <w:r>
        <w:rPr>
          <w:b w:val="0"/>
          <w:bCs w:val="0"/>
          <w:sz w:val="24"/>
          <w:szCs w:val="24"/>
        </w:rPr>
        <w:t>6.1 Apple 11</w:t>
      </w:r>
    </w:p>
    <w:p w14:paraId="3184925F">
      <w:pPr>
        <w:pStyle w:val="42"/>
        <w:rPr>
          <w:b w:val="0"/>
          <w:bCs w:val="0"/>
          <w:sz w:val="24"/>
          <w:szCs w:val="24"/>
        </w:rPr>
      </w:pPr>
      <w:r>
        <w:rPr>
          <w:b w:val="0"/>
          <w:bCs w:val="0"/>
          <w:sz w:val="24"/>
          <w:szCs w:val="24"/>
        </w:rPr>
        <w:t>6.2 Tesco 11</w:t>
      </w:r>
    </w:p>
    <w:p w14:paraId="45F009B9">
      <w:pPr>
        <w:pStyle w:val="42"/>
        <w:rPr>
          <w:b w:val="0"/>
          <w:bCs w:val="0"/>
          <w:sz w:val="24"/>
          <w:szCs w:val="24"/>
        </w:rPr>
      </w:pPr>
      <w:r>
        <w:rPr>
          <w:b w:val="0"/>
          <w:bCs w:val="0"/>
          <w:sz w:val="24"/>
          <w:szCs w:val="24"/>
        </w:rPr>
        <w:t>6.3 Marriott International 12</w:t>
      </w:r>
    </w:p>
    <w:p w14:paraId="24B1D56D">
      <w:pPr>
        <w:pStyle w:val="42"/>
        <w:rPr>
          <w:b w:val="0"/>
          <w:bCs w:val="0"/>
          <w:sz w:val="24"/>
          <w:szCs w:val="24"/>
        </w:rPr>
      </w:pPr>
      <w:r>
        <w:rPr>
          <w:b w:val="0"/>
          <w:bCs w:val="0"/>
          <w:sz w:val="24"/>
          <w:szCs w:val="24"/>
        </w:rPr>
        <w:t>6.4 Comparison of the Three Organisations 12</w:t>
      </w:r>
    </w:p>
    <w:p w14:paraId="55557A8F">
      <w:pPr>
        <w:pStyle w:val="42"/>
        <w:rPr>
          <w:b w:val="0"/>
          <w:bCs w:val="0"/>
          <w:sz w:val="24"/>
          <w:szCs w:val="24"/>
        </w:rPr>
      </w:pPr>
      <w:r>
        <w:rPr>
          <w:b w:val="0"/>
          <w:bCs w:val="0"/>
          <w:sz w:val="24"/>
          <w:szCs w:val="24"/>
        </w:rPr>
        <w:t>6.5 Ethical and Commercial Challenges 12</w:t>
      </w:r>
    </w:p>
    <w:p w14:paraId="4B4B901F">
      <w:pPr>
        <w:pStyle w:val="42"/>
        <w:rPr>
          <w:b w:val="0"/>
          <w:bCs w:val="0"/>
          <w:sz w:val="24"/>
          <w:szCs w:val="24"/>
        </w:rPr>
      </w:pPr>
      <w:r>
        <w:rPr>
          <w:b w:val="0"/>
          <w:bCs w:val="0"/>
          <w:sz w:val="24"/>
          <w:szCs w:val="24"/>
        </w:rPr>
        <w:t>7. Conclusion 13</w:t>
      </w:r>
    </w:p>
    <w:p w14:paraId="2CE4DCBD">
      <w:pPr>
        <w:pStyle w:val="42"/>
        <w:rPr>
          <w:b w:val="0"/>
          <w:bCs w:val="0"/>
          <w:sz w:val="24"/>
          <w:szCs w:val="24"/>
        </w:rPr>
      </w:pPr>
      <w:r>
        <w:rPr>
          <w:b w:val="0"/>
          <w:bCs w:val="0"/>
          <w:sz w:val="24"/>
          <w:szCs w:val="24"/>
        </w:rPr>
        <w:t>8. Recommendations 13</w:t>
      </w:r>
    </w:p>
    <w:p w14:paraId="62F51294">
      <w:pPr>
        <w:pStyle w:val="42"/>
        <w:rPr>
          <w:b w:val="0"/>
          <w:bCs w:val="0"/>
          <w:sz w:val="24"/>
          <w:szCs w:val="24"/>
        </w:rPr>
      </w:pPr>
      <w:r>
        <w:rPr>
          <w:b w:val="0"/>
          <w:bCs w:val="0"/>
          <w:sz w:val="24"/>
          <w:szCs w:val="24"/>
        </w:rPr>
        <w:t>References 14</w:t>
      </w:r>
    </w:p>
    <w:p w14:paraId="51A09DCB">
      <w:pPr>
        <w:pStyle w:val="42"/>
        <w:rPr>
          <w:b w:val="0"/>
          <w:bCs w:val="0"/>
          <w:sz w:val="24"/>
          <w:szCs w:val="24"/>
        </w:rPr>
      </w:pPr>
      <w:r>
        <w:rPr>
          <w:b w:val="0"/>
          <w:bCs w:val="0"/>
          <w:sz w:val="24"/>
          <w:szCs w:val="24"/>
        </w:rPr>
        <w:t>Appendices 16</w:t>
      </w:r>
    </w:p>
    <w:p w14:paraId="3A1947C1">
      <w:pPr>
        <w:pStyle w:val="42"/>
        <w:rPr>
          <w:b w:val="0"/>
          <w:bCs w:val="0"/>
          <w:sz w:val="24"/>
          <w:szCs w:val="24"/>
        </w:rPr>
      </w:pPr>
    </w:p>
    <w:p w14:paraId="1CCC99A9">
      <w:pPr>
        <w:pStyle w:val="42"/>
        <w:numPr>
          <w:ilvl w:val="0"/>
          <w:numId w:val="1"/>
        </w:numPr>
      </w:pPr>
      <w:r>
        <w:t>Abstract</w:t>
      </w:r>
    </w:p>
    <w:p w14:paraId="730F7617">
      <w:pPr>
        <w:pStyle w:val="42"/>
        <w:rPr>
          <w:b w:val="0"/>
          <w:bCs w:val="0"/>
          <w:sz w:val="24"/>
          <w:szCs w:val="24"/>
        </w:rPr>
      </w:pPr>
      <w:r>
        <w:rPr>
          <w:b w:val="0"/>
          <w:bCs w:val="0"/>
          <w:sz w:val="24"/>
          <w:szCs w:val="24"/>
        </w:rPr>
        <w:t>Commercial management and marketing management are closely connected in modern organisations. Commercial management focuses on the financial side of business decisions, including revenue, pricing, costs, contracts, sales channels and profitable growth. Marketing management focuses on understanding customers, creating value, communicating a clear offer and building long-term relationships. When these two areas support each other, an organisation is more likely to increase sales without damaging profitability or customer trust.</w:t>
      </w:r>
    </w:p>
    <w:p w14:paraId="3332568E">
      <w:pPr>
        <w:pStyle w:val="42"/>
        <w:rPr>
          <w:b w:val="0"/>
          <w:bCs w:val="0"/>
          <w:sz w:val="24"/>
          <w:szCs w:val="24"/>
        </w:rPr>
      </w:pPr>
      <w:r>
        <w:rPr>
          <w:b w:val="0"/>
          <w:bCs w:val="0"/>
          <w:sz w:val="24"/>
          <w:szCs w:val="24"/>
        </w:rPr>
        <w:t>This report examines how commercial and marketing strategies contribute to organisational performance. It reviews customer value, pricing, segmentation, targeting, positioning, customer acquisition, retention, digital channels and revenue generation. Apple, Tesco and Marriott International are used as examples because they operate in different industries and apply these ideas in different ways.</w:t>
      </w:r>
    </w:p>
    <w:p w14:paraId="2D2F455A">
      <w:pPr>
        <w:pStyle w:val="42"/>
        <w:rPr>
          <w:b w:val="0"/>
          <w:bCs w:val="0"/>
          <w:sz w:val="24"/>
          <w:szCs w:val="24"/>
        </w:rPr>
      </w:pPr>
      <w:r>
        <w:rPr>
          <w:b w:val="0"/>
          <w:bCs w:val="0"/>
          <w:sz w:val="24"/>
          <w:szCs w:val="24"/>
        </w:rPr>
        <w:t>The report uses secondary research from academic books, peer-reviewed articles, official company reports, regulatory guidance and financial filings. The findings show that Apple uses premium positioning and an expanding services business; Tesco combines value, loyalty data and digital retail; and Marriott uses brand segmentation, dynamic pricing, franchising and Marriott Bonvoy. The report concludes that marketing should not be treated only as promotion. It should be connected with pricing, sales, finance, operations, data protection and long-term commercial objectives.</w:t>
      </w:r>
    </w:p>
    <w:p w14:paraId="09845747">
      <w:pPr>
        <w:pStyle w:val="42"/>
      </w:pPr>
      <w:r>
        <w:t>2. Introduction</w:t>
      </w:r>
    </w:p>
    <w:p w14:paraId="35150082">
      <w:pPr>
        <w:pStyle w:val="42"/>
        <w:rPr>
          <w:b w:val="0"/>
          <w:bCs w:val="0"/>
          <w:sz w:val="24"/>
          <w:szCs w:val="24"/>
        </w:rPr>
      </w:pPr>
      <w:r>
        <w:rPr>
          <w:b w:val="0"/>
          <w:bCs w:val="0"/>
          <w:sz w:val="24"/>
          <w:szCs w:val="24"/>
        </w:rPr>
        <w:t>Modern organisations operate in markets where customers can compare products, prices and reviews quickly. A business therefore needs more than a good product. It must understand what customers value, communicate a clear difference from competitors, select suitable sales channels and earn enough revenue to cover costs and support future growth. These decisions connect marketing with commercial management.</w:t>
      </w:r>
    </w:p>
    <w:p w14:paraId="01C13A2C">
      <w:pPr>
        <w:pStyle w:val="42"/>
        <w:rPr>
          <w:b w:val="0"/>
          <w:bCs w:val="0"/>
          <w:sz w:val="24"/>
          <w:szCs w:val="24"/>
        </w:rPr>
      </w:pPr>
      <w:r>
        <w:rPr>
          <w:b w:val="0"/>
          <w:bCs w:val="0"/>
          <w:sz w:val="24"/>
          <w:szCs w:val="24"/>
        </w:rPr>
        <w:t>Commercial management is concerned with the activities that create and protect financial value. These activities include pricing, sales planning, contract decisions, distribution, supplier relationships, revenue management and cost control. Marketing management focuses on understanding markets and customers and then creating, communicating and delivering value. Kotler, Keller and Chernev (2022) explain that marketing includes decisions about products, prices, distribution and promotion. This means that marketing begins before an advertisement is produced.</w:t>
      </w:r>
    </w:p>
    <w:p w14:paraId="6CE14D46">
      <w:pPr>
        <w:pStyle w:val="42"/>
        <w:rPr>
          <w:b w:val="0"/>
          <w:bCs w:val="0"/>
          <w:sz w:val="24"/>
          <w:szCs w:val="24"/>
        </w:rPr>
      </w:pPr>
      <w:r>
        <w:rPr>
          <w:b w:val="0"/>
          <w:bCs w:val="0"/>
          <w:sz w:val="24"/>
          <w:szCs w:val="24"/>
        </w:rPr>
        <w:t>The two areas depend on each other. For example, a marketing team may identify customers who want a premium product. The commercial team must then decide whether the product can be supplied profitably at a price those customers will accept. In another situation, managers may want higher revenue, but marketing research is needed to identify which customers to target and what benefits should be offered.</w:t>
      </w:r>
    </w:p>
    <w:p w14:paraId="1A5E657A">
      <w:pPr>
        <w:pStyle w:val="42"/>
        <w:rPr>
          <w:b w:val="0"/>
          <w:bCs w:val="0"/>
          <w:sz w:val="24"/>
          <w:szCs w:val="24"/>
        </w:rPr>
      </w:pPr>
      <w:r>
        <w:rPr>
          <w:b w:val="0"/>
          <w:bCs w:val="0"/>
          <w:sz w:val="24"/>
          <w:szCs w:val="24"/>
        </w:rPr>
        <w:t>Research supports the importance of this connection. Narver and Slater (1990) found a positive relationship between market orientation and profitability. A market-oriented organisation pays attention to customers, competitors and coordination between departments. However, organisations must also avoid assuming that sales growth is always successful. Large discounts may increase the number of transactions while reducing the profit made from each sale.</w:t>
      </w:r>
    </w:p>
    <w:p w14:paraId="3267CB38">
      <w:pPr>
        <w:pStyle w:val="42"/>
        <w:rPr>
          <w:b w:val="0"/>
          <w:bCs w:val="0"/>
          <w:sz w:val="24"/>
          <w:szCs w:val="24"/>
        </w:rPr>
      </w:pPr>
      <w:r>
        <w:rPr>
          <w:b w:val="0"/>
          <w:bCs w:val="0"/>
          <w:sz w:val="24"/>
          <w:szCs w:val="24"/>
        </w:rPr>
        <w:t>This report studies Apple, Tesco and Marriott International. Apple represents technology and consumer products, Tesco represents retail, and Marriott represents hospitality and services. The report compares their pricing, segmentation, revenue and customer-retention approaches. It also evaluates limitations and ethical issues so that the discussion does not only describe successful activities.</w:t>
      </w:r>
    </w:p>
    <w:p w14:paraId="52EBEB46">
      <w:pPr>
        <w:pStyle w:val="42"/>
      </w:pPr>
      <w:r>
        <w:t>3. Literature Review</w:t>
      </w:r>
    </w:p>
    <w:p w14:paraId="3FADC4A8">
      <w:pPr>
        <w:pStyle w:val="42"/>
        <w:rPr>
          <w:b w:val="0"/>
          <w:bCs w:val="0"/>
          <w:sz w:val="36"/>
          <w:szCs w:val="36"/>
        </w:rPr>
      </w:pPr>
      <w:r>
        <w:rPr>
          <w:b w:val="0"/>
          <w:bCs w:val="0"/>
          <w:sz w:val="36"/>
          <w:szCs w:val="36"/>
        </w:rPr>
        <w:t>3.1 Commercial Management and Business Growth</w:t>
      </w:r>
    </w:p>
    <w:p w14:paraId="085E2DE9">
      <w:pPr>
        <w:pStyle w:val="42"/>
        <w:rPr>
          <w:b w:val="0"/>
          <w:bCs w:val="0"/>
          <w:sz w:val="24"/>
          <w:szCs w:val="24"/>
        </w:rPr>
      </w:pPr>
      <w:r>
        <w:rPr>
          <w:b w:val="0"/>
          <w:bCs w:val="0"/>
          <w:sz w:val="24"/>
          <w:szCs w:val="24"/>
        </w:rPr>
        <w:t>Commercial management involves making decisions that allow an organisation to earn sustainable financial returns. It includes the management of pricing, sales, contracts, distribution, costs and revenue. A commercial manager must consider whether the organisation can serve a market profitably and whether a proposed activity supports the wider business strategy.</w:t>
      </w:r>
    </w:p>
    <w:p w14:paraId="2014050F">
      <w:pPr>
        <w:pStyle w:val="42"/>
        <w:rPr>
          <w:b w:val="0"/>
          <w:bCs w:val="0"/>
          <w:sz w:val="24"/>
          <w:szCs w:val="24"/>
        </w:rPr>
      </w:pPr>
      <w:r>
        <w:rPr>
          <w:b w:val="0"/>
          <w:bCs w:val="0"/>
          <w:sz w:val="24"/>
          <w:szCs w:val="24"/>
        </w:rPr>
        <w:t>Common commercial questions include:</w:t>
      </w:r>
    </w:p>
    <w:p w14:paraId="3B12D9E1">
      <w:pPr>
        <w:pStyle w:val="42"/>
        <w:rPr>
          <w:b w:val="0"/>
          <w:bCs w:val="0"/>
          <w:sz w:val="24"/>
          <w:szCs w:val="24"/>
        </w:rPr>
      </w:pPr>
      <w:r>
        <w:rPr>
          <w:b w:val="0"/>
          <w:bCs w:val="0"/>
          <w:sz w:val="24"/>
          <w:szCs w:val="24"/>
        </w:rPr>
        <w:t>What price should the organisation charge, and how will that price affect demand and profit?</w:t>
      </w:r>
    </w:p>
    <w:p w14:paraId="5D3D66E0">
      <w:pPr>
        <w:pStyle w:val="42"/>
        <w:rPr>
          <w:b w:val="0"/>
          <w:bCs w:val="0"/>
          <w:sz w:val="24"/>
          <w:szCs w:val="24"/>
        </w:rPr>
      </w:pPr>
      <w:r>
        <w:rPr>
          <w:b w:val="0"/>
          <w:bCs w:val="0"/>
          <w:sz w:val="24"/>
          <w:szCs w:val="24"/>
        </w:rPr>
        <w:t>Which direct or indirect sales channels should be used?</w:t>
      </w:r>
    </w:p>
    <w:p w14:paraId="17A08CEC">
      <w:pPr>
        <w:pStyle w:val="42"/>
        <w:rPr>
          <w:b w:val="0"/>
          <w:bCs w:val="0"/>
          <w:sz w:val="24"/>
          <w:szCs w:val="24"/>
        </w:rPr>
      </w:pPr>
      <w:r>
        <w:rPr>
          <w:b w:val="0"/>
          <w:bCs w:val="0"/>
          <w:sz w:val="24"/>
          <w:szCs w:val="24"/>
        </w:rPr>
        <w:t>How can revenue grow without creating excessive cost or risk?</w:t>
      </w:r>
    </w:p>
    <w:p w14:paraId="054B02A5">
      <w:pPr>
        <w:pStyle w:val="42"/>
        <w:rPr>
          <w:b w:val="0"/>
          <w:bCs w:val="0"/>
          <w:sz w:val="24"/>
          <w:szCs w:val="24"/>
        </w:rPr>
      </w:pPr>
      <w:r>
        <w:rPr>
          <w:b w:val="0"/>
          <w:bCs w:val="0"/>
          <w:sz w:val="24"/>
          <w:szCs w:val="24"/>
        </w:rPr>
        <w:t>Which customer groups offer suitable long-term value?</w:t>
      </w:r>
    </w:p>
    <w:p w14:paraId="29B11D4E">
      <w:pPr>
        <w:pStyle w:val="42"/>
        <w:rPr>
          <w:b w:val="0"/>
          <w:bCs w:val="0"/>
          <w:sz w:val="24"/>
          <w:szCs w:val="24"/>
        </w:rPr>
      </w:pPr>
      <w:r>
        <w:rPr>
          <w:b w:val="0"/>
          <w:bCs w:val="0"/>
          <w:sz w:val="24"/>
          <w:szCs w:val="24"/>
        </w:rPr>
        <w:t>How should financial performance be measured after a marketing decision?</w:t>
      </w:r>
    </w:p>
    <w:p w14:paraId="0ABDF701">
      <w:pPr>
        <w:pStyle w:val="42"/>
        <w:rPr>
          <w:b w:val="0"/>
          <w:bCs w:val="0"/>
          <w:sz w:val="24"/>
          <w:szCs w:val="24"/>
        </w:rPr>
      </w:pPr>
      <w:r>
        <w:rPr>
          <w:b w:val="0"/>
          <w:bCs w:val="0"/>
          <w:sz w:val="24"/>
          <w:szCs w:val="24"/>
        </w:rPr>
        <w:t>A business can grow by gaining new customers, increasing repeat purchases, entering new markets, raising prices, improving efficiency or developing additional products and services. Each method creates a trade-off. A higher price may improve the margin on each sale but reduce demand. Entering another market may create revenue but require investment and local knowledge. Commercial management therefore involves balancing opportunity, cost and risk rather than simply attempting to maximise sales volume.</w:t>
      </w:r>
    </w:p>
    <w:p w14:paraId="34B9A7A6">
      <w:pPr>
        <w:pStyle w:val="42"/>
        <w:rPr>
          <w:sz w:val="36"/>
          <w:szCs w:val="36"/>
        </w:rPr>
      </w:pPr>
      <w:r>
        <w:rPr>
          <w:sz w:val="36"/>
          <w:szCs w:val="36"/>
        </w:rPr>
        <w:t>3.2 Marketing Management and Customer Value</w:t>
      </w:r>
    </w:p>
    <w:p w14:paraId="51614D51">
      <w:pPr>
        <w:pStyle w:val="42"/>
        <w:rPr>
          <w:b w:val="0"/>
          <w:bCs w:val="0"/>
          <w:sz w:val="24"/>
          <w:szCs w:val="24"/>
        </w:rPr>
      </w:pPr>
      <w:r>
        <w:rPr>
          <w:b w:val="0"/>
          <w:bCs w:val="0"/>
          <w:sz w:val="24"/>
          <w:szCs w:val="24"/>
        </w:rPr>
        <w:t>Marketing management begins with customer and market understanding. Managers need to identify who the customer is, what problem the customer wants to solve, which alternatives are available and why the organisation's offer should be selected. The organisation can then make decisions about the product, price, distribution and communication.</w:t>
      </w:r>
    </w:p>
    <w:p w14:paraId="1CDFF73E">
      <w:pPr>
        <w:pStyle w:val="42"/>
        <w:rPr>
          <w:b w:val="0"/>
          <w:bCs w:val="0"/>
          <w:sz w:val="24"/>
          <w:szCs w:val="24"/>
        </w:rPr>
      </w:pPr>
      <w:r>
        <w:rPr>
          <w:b w:val="0"/>
          <w:bCs w:val="0"/>
          <w:sz w:val="24"/>
          <w:szCs w:val="24"/>
        </w:rPr>
        <w:t>Customer value is central to this process. Zeithaml (1988) explains that customers compare what they receive with what they give up. The sacrifice is not limited to money. Customers may also consider time, effort, uncertainty and risk. The benefits can include quality, convenience, service, design, reputation and emotional satisfaction.</w:t>
      </w:r>
    </w:p>
    <w:p w14:paraId="571CBEB1">
      <w:pPr>
        <w:pStyle w:val="42"/>
        <w:rPr>
          <w:b w:val="0"/>
          <w:bCs w:val="0"/>
          <w:sz w:val="24"/>
          <w:szCs w:val="24"/>
        </w:rPr>
      </w:pPr>
      <w:r>
        <w:rPr>
          <w:b w:val="0"/>
          <w:bCs w:val="0"/>
          <w:sz w:val="24"/>
          <w:szCs w:val="24"/>
        </w:rPr>
        <w:t>For example, a hotel may charge more than a competitor but still offer stronger perceived value if it provides a better location, easier booking, reliable service and loyalty benefits. An iPhone may cost more than some competing smartphones, but a customer may value its design, software, brand reputation, product integration and support. These examples show that the cheapest offer does not always create the highest value.</w:t>
      </w:r>
    </w:p>
    <w:p w14:paraId="04CC7CD9">
      <w:pPr>
        <w:pStyle w:val="42"/>
        <w:rPr>
          <w:b w:val="0"/>
          <w:bCs w:val="0"/>
          <w:sz w:val="24"/>
          <w:szCs w:val="24"/>
        </w:rPr>
      </w:pPr>
      <w:r>
        <w:rPr>
          <w:b w:val="0"/>
          <w:bCs w:val="0"/>
          <w:sz w:val="24"/>
          <w:szCs w:val="24"/>
        </w:rPr>
        <w:t>Strong customer value can support business growth because satisfied customers may return, recommend the organisation and purchase additional products. However, value must be real and consistent. Advertising may create initial interest, but it cannot create long-term loyalty if the product or service does not meet expectations.</w:t>
      </w:r>
    </w:p>
    <w:p w14:paraId="33DE3D91">
      <w:pPr>
        <w:pStyle w:val="42"/>
        <w:rPr>
          <w:sz w:val="36"/>
          <w:szCs w:val="36"/>
        </w:rPr>
      </w:pPr>
      <w:r>
        <w:rPr>
          <w:sz w:val="36"/>
          <w:szCs w:val="36"/>
        </w:rPr>
        <w:t>3.3 Pricing Strategy</w:t>
      </w:r>
    </w:p>
    <w:p w14:paraId="6FECA802">
      <w:pPr>
        <w:pStyle w:val="42"/>
        <w:rPr>
          <w:b w:val="0"/>
          <w:bCs w:val="0"/>
          <w:sz w:val="24"/>
          <w:szCs w:val="24"/>
        </w:rPr>
      </w:pPr>
      <w:r>
        <w:rPr>
          <w:b w:val="0"/>
          <w:bCs w:val="0"/>
          <w:sz w:val="24"/>
          <w:szCs w:val="24"/>
        </w:rPr>
        <w:t>Pricing is both a marketing and a commercial decision. It communicates information about quality and positioning, while also determining the revenue received from each sale. A suitable price must reflect customer value, competition, cost and the organisation's objectives.</w:t>
      </w:r>
    </w:p>
    <w:p w14:paraId="64F647BD">
      <w:pPr>
        <w:pStyle w:val="42"/>
        <w:rPr>
          <w:b w:val="0"/>
          <w:bCs w:val="0"/>
          <w:sz w:val="24"/>
          <w:szCs w:val="24"/>
        </w:rPr>
      </w:pPr>
      <w:r>
        <w:rPr>
          <w:b w:val="0"/>
          <w:bCs w:val="0"/>
          <w:sz w:val="24"/>
          <w:szCs w:val="24"/>
        </w:rPr>
        <w:t>Important pricing approaches include:</w:t>
      </w:r>
    </w:p>
    <w:p w14:paraId="572B16F8">
      <w:pPr>
        <w:pStyle w:val="42"/>
        <w:rPr>
          <w:b w:val="0"/>
          <w:bCs w:val="0"/>
          <w:sz w:val="24"/>
          <w:szCs w:val="24"/>
        </w:rPr>
      </w:pPr>
      <w:r>
        <w:rPr>
          <w:b w:val="0"/>
          <w:bCs w:val="0"/>
          <w:sz w:val="24"/>
          <w:szCs w:val="24"/>
        </w:rPr>
        <w:t>Cost-based pricing: the organisation calculates its cost and adds a profit margin.</w:t>
      </w:r>
    </w:p>
    <w:p w14:paraId="2B1D04DB">
      <w:pPr>
        <w:pStyle w:val="42"/>
        <w:rPr>
          <w:b w:val="0"/>
          <w:bCs w:val="0"/>
          <w:sz w:val="24"/>
          <w:szCs w:val="24"/>
        </w:rPr>
      </w:pPr>
      <w:r>
        <w:rPr>
          <w:b w:val="0"/>
          <w:bCs w:val="0"/>
          <w:sz w:val="24"/>
          <w:szCs w:val="24"/>
        </w:rPr>
        <w:t>Competition-based pricing: the price is set with close attention to competitor prices.</w:t>
      </w:r>
    </w:p>
    <w:p w14:paraId="13501A75">
      <w:pPr>
        <w:pStyle w:val="42"/>
        <w:rPr>
          <w:b w:val="0"/>
          <w:bCs w:val="0"/>
          <w:sz w:val="24"/>
          <w:szCs w:val="24"/>
        </w:rPr>
      </w:pPr>
      <w:r>
        <w:rPr>
          <w:b w:val="0"/>
          <w:bCs w:val="0"/>
          <w:sz w:val="24"/>
          <w:szCs w:val="24"/>
        </w:rPr>
        <w:t>Value-based pricing: the organisation focuses on what customers believe the offer is worth.</w:t>
      </w:r>
    </w:p>
    <w:p w14:paraId="0313A644">
      <w:pPr>
        <w:pStyle w:val="42"/>
        <w:rPr>
          <w:b w:val="0"/>
          <w:bCs w:val="0"/>
          <w:sz w:val="24"/>
          <w:szCs w:val="24"/>
        </w:rPr>
      </w:pPr>
      <w:r>
        <w:rPr>
          <w:b w:val="0"/>
          <w:bCs w:val="0"/>
          <w:sz w:val="24"/>
          <w:szCs w:val="24"/>
        </w:rPr>
        <w:t>Premium pricing: a higher price supports an exclusive or high-quality position, as seen in many Apple products.</w:t>
      </w:r>
    </w:p>
    <w:p w14:paraId="23DE352E">
      <w:pPr>
        <w:pStyle w:val="42"/>
        <w:rPr>
          <w:b w:val="0"/>
          <w:bCs w:val="0"/>
          <w:sz w:val="24"/>
          <w:szCs w:val="24"/>
        </w:rPr>
      </w:pPr>
      <w:r>
        <w:rPr>
          <w:b w:val="0"/>
          <w:bCs w:val="0"/>
          <w:sz w:val="24"/>
          <w:szCs w:val="24"/>
        </w:rPr>
        <w:t>Promotional pricing: a temporary reduction encourages trial or additional demand, which is common in retail.</w:t>
      </w:r>
    </w:p>
    <w:p w14:paraId="1EAADB37">
      <w:pPr>
        <w:pStyle w:val="42"/>
        <w:rPr>
          <w:b w:val="0"/>
          <w:bCs w:val="0"/>
          <w:sz w:val="24"/>
          <w:szCs w:val="24"/>
        </w:rPr>
      </w:pPr>
      <w:r>
        <w:rPr>
          <w:b w:val="0"/>
          <w:bCs w:val="0"/>
          <w:sz w:val="24"/>
          <w:szCs w:val="24"/>
        </w:rPr>
        <w:t>Dynamic pricing: prices change according to demand, timing or available capacity, which is common in hotels.</w:t>
      </w:r>
    </w:p>
    <w:p w14:paraId="1BA88BA0">
      <w:pPr>
        <w:pStyle w:val="42"/>
        <w:rPr>
          <w:b w:val="0"/>
          <w:bCs w:val="0"/>
          <w:sz w:val="24"/>
          <w:szCs w:val="24"/>
        </w:rPr>
      </w:pPr>
      <w:r>
        <w:rPr>
          <w:b w:val="0"/>
          <w:bCs w:val="0"/>
          <w:sz w:val="24"/>
          <w:szCs w:val="24"/>
        </w:rPr>
        <w:t>Each approach has advantages and limitations. Premium pricing can support margins and brand image, but customers must continue to see a meaningful difference. Promotional pricing may increase short-term sales but train customers to wait for discounts. Dynamic pricing can improve revenue from limited capacity, but customers may react negatively if changes appear unfair or unclear.</w:t>
      </w:r>
    </w:p>
    <w:p w14:paraId="2C0126E8">
      <w:pPr>
        <w:pStyle w:val="42"/>
        <w:rPr>
          <w:b w:val="0"/>
          <w:bCs w:val="0"/>
          <w:sz w:val="24"/>
          <w:szCs w:val="24"/>
        </w:rPr>
      </w:pPr>
      <w:r>
        <w:rPr>
          <w:b w:val="0"/>
          <w:bCs w:val="0"/>
          <w:sz w:val="24"/>
          <w:szCs w:val="24"/>
        </w:rPr>
        <w:t>Pricing also has a legal and ethical dimension. The Competition and Markets Authority (2026) explains that mandatory charges should be included in the total price shown to consumers. A low headline price followed by unavoidable fees can mislead customers and damage trust. Commercial success therefore requires transparent as well as profitable pricing.</w:t>
      </w:r>
    </w:p>
    <w:p w14:paraId="433E6B72">
      <w:pPr>
        <w:pStyle w:val="42"/>
        <w:rPr>
          <w:sz w:val="36"/>
          <w:szCs w:val="36"/>
        </w:rPr>
      </w:pPr>
      <w:r>
        <w:rPr>
          <w:sz w:val="36"/>
          <w:szCs w:val="36"/>
        </w:rPr>
        <w:t>3.4 Segmentation Targeting and Positioning</w:t>
      </w:r>
    </w:p>
    <w:p w14:paraId="4CACD419">
      <w:pPr>
        <w:pStyle w:val="42"/>
        <w:rPr>
          <w:b w:val="0"/>
          <w:bCs w:val="0"/>
          <w:sz w:val="24"/>
          <w:szCs w:val="24"/>
        </w:rPr>
      </w:pPr>
      <w:r>
        <w:rPr>
          <w:b w:val="0"/>
          <w:bCs w:val="0"/>
          <w:sz w:val="24"/>
          <w:szCs w:val="24"/>
        </w:rPr>
        <w:t>Markets contain customers with different needs, budgets and behaviours. Segmentation divides the market into useful groups. Segments may be based on geography, age, income, lifestyle, needs, purchase frequency or behaviour. Targeting occurs when the organisation chooses which segments it wants to serve. Positioning describes how the organisation wants customers to understand its offer compared with competitors.</w:t>
      </w:r>
    </w:p>
    <w:p w14:paraId="1D519B33">
      <w:pPr>
        <w:pStyle w:val="42"/>
        <w:rPr>
          <w:b w:val="0"/>
          <w:bCs w:val="0"/>
          <w:sz w:val="24"/>
          <w:szCs w:val="24"/>
        </w:rPr>
      </w:pPr>
      <w:r>
        <w:rPr>
          <w:b w:val="0"/>
          <w:bCs w:val="0"/>
          <w:sz w:val="24"/>
          <w:szCs w:val="24"/>
        </w:rPr>
        <w:t>The three company examples show different applications. Apple serves customers with different product models but maintains a consistent premium technology position. Tesco serves a broad market and provides value ranges, branded goods and premium Tesco Finest products. Marriott operates many hotel brands because a luxury traveller, a business traveller and a price-conscious traveller may want different experiences.</w:t>
      </w:r>
    </w:p>
    <w:p w14:paraId="5EBBBE61">
      <w:pPr>
        <w:pStyle w:val="42"/>
        <w:rPr>
          <w:b w:val="0"/>
          <w:bCs w:val="0"/>
          <w:sz w:val="24"/>
          <w:szCs w:val="24"/>
        </w:rPr>
      </w:pPr>
      <w:r>
        <w:rPr>
          <w:b w:val="0"/>
          <w:bCs w:val="0"/>
          <w:sz w:val="24"/>
          <w:szCs w:val="24"/>
        </w:rPr>
        <w:t>Digital systems allow organisations to use behavioural information, such as purchase history or booking patterns, to create more relevant communication. Ahmadi et al. (2024) show that online advertisers face many targeting options and must select segments carefully. More detailed targeting is not automatically better because it may increase complexity, cost and privacy risk.</w:t>
      </w:r>
    </w:p>
    <w:p w14:paraId="63837AAF">
      <w:pPr>
        <w:pStyle w:val="42"/>
        <w:rPr>
          <w:b w:val="0"/>
          <w:bCs w:val="0"/>
          <w:sz w:val="24"/>
          <w:szCs w:val="24"/>
        </w:rPr>
      </w:pPr>
      <w:r>
        <w:rPr>
          <w:b w:val="0"/>
          <w:bCs w:val="0"/>
          <w:sz w:val="24"/>
          <w:szCs w:val="24"/>
        </w:rPr>
        <w:t>Effective segmentation should therefore meet three conditions. The segment should be identifiable, commercially worthwhile and reachable through suitable channels. Positioning should also remain clear. If an organisation creates too many similar brands or offers, customers may become confused and the business may weaken its own differentiation.</w:t>
      </w:r>
    </w:p>
    <w:p w14:paraId="4606778C">
      <w:pPr>
        <w:pStyle w:val="42"/>
        <w:rPr>
          <w:sz w:val="36"/>
          <w:szCs w:val="36"/>
        </w:rPr>
      </w:pPr>
      <w:r>
        <w:rPr>
          <w:sz w:val="36"/>
          <w:szCs w:val="36"/>
        </w:rPr>
        <w:t>3.5 Marketing Sales and Profitability</w:t>
      </w:r>
    </w:p>
    <w:p w14:paraId="012505E3">
      <w:pPr>
        <w:pStyle w:val="42"/>
        <w:rPr>
          <w:b w:val="0"/>
          <w:bCs w:val="0"/>
          <w:sz w:val="24"/>
          <w:szCs w:val="24"/>
        </w:rPr>
      </w:pPr>
      <w:r>
        <w:rPr>
          <w:b w:val="0"/>
          <w:bCs w:val="0"/>
          <w:sz w:val="24"/>
          <w:szCs w:val="24"/>
        </w:rPr>
        <w:t>Marketing can influence sales by creating awareness, interest and preference. It can support a first purchase through clear information and a suitable offer. It can also support retention through loyalty programmes, personalised communication and improved customer experience. However, managers need to connect marketing activity with commercial results.</w:t>
      </w:r>
    </w:p>
    <w:p w14:paraId="045F88A5">
      <w:pPr>
        <w:pStyle w:val="42"/>
        <w:rPr>
          <w:b w:val="0"/>
          <w:bCs w:val="0"/>
          <w:sz w:val="24"/>
          <w:szCs w:val="24"/>
        </w:rPr>
      </w:pPr>
      <w:r>
        <w:rPr>
          <w:b w:val="0"/>
          <w:bCs w:val="0"/>
          <w:sz w:val="24"/>
          <w:szCs w:val="24"/>
        </w:rPr>
        <w:t>Useful performance measures include:</w:t>
      </w:r>
    </w:p>
    <w:p w14:paraId="6009D7BD">
      <w:pPr>
        <w:pStyle w:val="42"/>
        <w:rPr>
          <w:b w:val="0"/>
          <w:bCs w:val="0"/>
          <w:sz w:val="24"/>
          <w:szCs w:val="24"/>
        </w:rPr>
      </w:pPr>
      <w:r>
        <w:rPr>
          <w:b w:val="0"/>
          <w:bCs w:val="0"/>
          <w:sz w:val="24"/>
          <w:szCs w:val="24"/>
        </w:rPr>
        <w:t>Sales revenue and gross margin</w:t>
      </w:r>
    </w:p>
    <w:p w14:paraId="74A66307">
      <w:pPr>
        <w:pStyle w:val="42"/>
        <w:rPr>
          <w:b w:val="0"/>
          <w:bCs w:val="0"/>
          <w:sz w:val="24"/>
          <w:szCs w:val="24"/>
        </w:rPr>
      </w:pPr>
      <w:r>
        <w:rPr>
          <w:b w:val="0"/>
          <w:bCs w:val="0"/>
          <w:sz w:val="24"/>
          <w:szCs w:val="24"/>
        </w:rPr>
        <w:t>Customer acquisition cost and conversion rate</w:t>
      </w:r>
    </w:p>
    <w:p w14:paraId="2E31FDAD">
      <w:pPr>
        <w:pStyle w:val="42"/>
        <w:rPr>
          <w:b w:val="0"/>
          <w:bCs w:val="0"/>
          <w:sz w:val="24"/>
          <w:szCs w:val="24"/>
        </w:rPr>
      </w:pPr>
      <w:r>
        <w:rPr>
          <w:b w:val="0"/>
          <w:bCs w:val="0"/>
          <w:sz w:val="24"/>
          <w:szCs w:val="24"/>
        </w:rPr>
        <w:t>Repeat purchase and customer retention rates</w:t>
      </w:r>
    </w:p>
    <w:p w14:paraId="4EDDB2AF">
      <w:pPr>
        <w:pStyle w:val="42"/>
        <w:rPr>
          <w:b w:val="0"/>
          <w:bCs w:val="0"/>
          <w:sz w:val="24"/>
          <w:szCs w:val="24"/>
        </w:rPr>
      </w:pPr>
      <w:r>
        <w:rPr>
          <w:b w:val="0"/>
          <w:bCs w:val="0"/>
          <w:sz w:val="24"/>
          <w:szCs w:val="24"/>
        </w:rPr>
        <w:t>Average order value and purchase frequency</w:t>
      </w:r>
    </w:p>
    <w:p w14:paraId="2A1CBF70">
      <w:pPr>
        <w:pStyle w:val="42"/>
        <w:rPr>
          <w:b w:val="0"/>
          <w:bCs w:val="0"/>
          <w:sz w:val="24"/>
          <w:szCs w:val="24"/>
        </w:rPr>
      </w:pPr>
      <w:r>
        <w:rPr>
          <w:b w:val="0"/>
          <w:bCs w:val="0"/>
          <w:sz w:val="24"/>
          <w:szCs w:val="24"/>
        </w:rPr>
        <w:t>Customer lifetime value</w:t>
      </w:r>
    </w:p>
    <w:p w14:paraId="2BE8F9B0">
      <w:pPr>
        <w:pStyle w:val="42"/>
        <w:rPr>
          <w:b w:val="0"/>
          <w:bCs w:val="0"/>
          <w:sz w:val="24"/>
          <w:szCs w:val="24"/>
        </w:rPr>
      </w:pPr>
      <w:r>
        <w:rPr>
          <w:b w:val="0"/>
          <w:bCs w:val="0"/>
          <w:sz w:val="24"/>
          <w:szCs w:val="24"/>
        </w:rPr>
        <w:t>Market share and return on marketing investment</w:t>
      </w:r>
    </w:p>
    <w:p w14:paraId="23BFB226">
      <w:pPr>
        <w:pStyle w:val="42"/>
        <w:rPr>
          <w:b w:val="0"/>
          <w:bCs w:val="0"/>
          <w:sz w:val="24"/>
          <w:szCs w:val="24"/>
        </w:rPr>
      </w:pPr>
      <w:r>
        <w:rPr>
          <w:b w:val="0"/>
          <w:bCs w:val="0"/>
          <w:sz w:val="24"/>
          <w:szCs w:val="24"/>
        </w:rPr>
        <w:t>These measures answer different questions. Revenue shows the total value of sales, while gross margin shows how much remains after direct costs. A campaign may produce many clicks but few purchases, so conversion is more useful than attention alone. Customer lifetime value is important because a customer who purchases repeatedly may be more valuable than a customer gained through a large one-time discount.</w:t>
      </w:r>
    </w:p>
    <w:p w14:paraId="0C223426">
      <w:pPr>
        <w:pStyle w:val="42"/>
        <w:rPr>
          <w:b w:val="0"/>
          <w:bCs w:val="0"/>
          <w:sz w:val="24"/>
          <w:szCs w:val="24"/>
        </w:rPr>
      </w:pPr>
      <w:r>
        <w:rPr>
          <w:b w:val="0"/>
          <w:bCs w:val="0"/>
          <w:sz w:val="24"/>
          <w:szCs w:val="24"/>
        </w:rPr>
        <w:t>The strongest approach is to use several measures together. A company should not focus only on sales, followers or registrations. It should examine whether marketing attracts suitable customers, supports repeat behaviour and creates enough financial return to justify its cost.</w:t>
      </w:r>
    </w:p>
    <w:p w14:paraId="17374F34">
      <w:pPr>
        <w:pStyle w:val="42"/>
      </w:pPr>
      <w:r>
        <w:t>4. Methodology</w:t>
      </w:r>
    </w:p>
    <w:p w14:paraId="3FE6369D">
      <w:pPr>
        <w:pStyle w:val="42"/>
        <w:rPr>
          <w:b w:val="0"/>
          <w:bCs w:val="0"/>
          <w:sz w:val="24"/>
          <w:szCs w:val="24"/>
        </w:rPr>
      </w:pPr>
      <w:r>
        <w:rPr>
          <w:b w:val="0"/>
          <w:bCs w:val="0"/>
          <w:sz w:val="24"/>
          <w:szCs w:val="24"/>
        </w:rPr>
        <w:t>This report uses secondary research. Secondary research involves analysing information that has already been produced rather than collecting new survey or interview data. This method is appropriate because the report compares established marketing theory with publicly available information from large organisations.</w:t>
      </w:r>
    </w:p>
    <w:p w14:paraId="7DC9EBC4">
      <w:pPr>
        <w:pStyle w:val="42"/>
        <w:rPr>
          <w:b w:val="0"/>
          <w:bCs w:val="0"/>
          <w:sz w:val="24"/>
          <w:szCs w:val="24"/>
        </w:rPr>
      </w:pPr>
      <w:r>
        <w:rPr>
          <w:b w:val="0"/>
          <w:bCs w:val="0"/>
          <w:sz w:val="24"/>
          <w:szCs w:val="24"/>
        </w:rPr>
        <w:t>The evidence base includes academic books, peer-reviewed research, official annual reports, regulatory guidance and financial filings. Kotler et al. (2022), Zeithaml (1988), Narver and Slater (1990), and Ahmadi et al. (2024) support the theoretical discussion. Apple's and Marriott's official Form 10-K filings and Tesco's annual reports support the company analysis. UK Competition and Markets Authority guidance is used for price transparency.</w:t>
      </w:r>
    </w:p>
    <w:p w14:paraId="4666AA06">
      <w:pPr>
        <w:pStyle w:val="42"/>
        <w:rPr>
          <w:b w:val="0"/>
          <w:bCs w:val="0"/>
          <w:sz w:val="24"/>
          <w:szCs w:val="24"/>
        </w:rPr>
      </w:pPr>
      <w:r>
        <w:rPr>
          <w:b w:val="0"/>
          <w:bCs w:val="0"/>
          <w:sz w:val="24"/>
          <w:szCs w:val="24"/>
        </w:rPr>
        <w:t>The research was organised around five themes: pricing, segmentation and positioning, revenue generation, customer acquisition and retention, and the relationship between marketing activity and financial performance. Evidence from more than one type of source was compared wherever possible. Academic literature was used to explain concepts, while official company information was used to show how those concepts appear in practice. This approach improves reliability because the report does not depend on a single website or one organisation's description of its own success.</w:t>
      </w:r>
    </w:p>
    <w:p w14:paraId="6B9590B4">
      <w:pPr>
        <w:pStyle w:val="42"/>
        <w:rPr>
          <w:b w:val="0"/>
          <w:bCs w:val="0"/>
          <w:sz w:val="24"/>
          <w:szCs w:val="24"/>
        </w:rPr>
      </w:pPr>
      <w:r>
        <w:rPr>
          <w:b w:val="0"/>
          <w:bCs w:val="0"/>
          <w:sz w:val="24"/>
          <w:szCs w:val="24"/>
        </w:rPr>
        <w:t>Apple, Tesco and Marriott were selected because they operate in different sectors and therefore show how the same principles can be applied differently. Apple demonstrates premium technology and an ecosystem model. Tesco demonstrates mass retail, loyalty and value. Marriott demonstrates services, multiple brands, dynamic pricing and franchising.</w:t>
      </w:r>
    </w:p>
    <w:p w14:paraId="63DD3223">
      <w:pPr>
        <w:pStyle w:val="42"/>
        <w:rPr>
          <w:b w:val="0"/>
          <w:bCs w:val="0"/>
          <w:sz w:val="24"/>
          <w:szCs w:val="24"/>
        </w:rPr>
      </w:pPr>
      <w:r>
        <w:rPr>
          <w:b w:val="0"/>
          <w:bCs w:val="0"/>
          <w:sz w:val="24"/>
          <w:szCs w:val="24"/>
        </w:rPr>
        <w:t>The analysis is comparative rather than statistical. It identifies similarities, differences, benefits and risks in the three organisations' strategies. Financial figures are used as evidence of scale and performance, but they are interpreted carefully because revenue can change for many reasons, including economic conditions, competition, product quality and operational decisions. The report therefore avoids claiming that one campaign or tactic alone caused a financial result.</w:t>
      </w:r>
    </w:p>
    <w:p w14:paraId="37D96685">
      <w:pPr>
        <w:pStyle w:val="42"/>
        <w:rPr>
          <w:b w:val="0"/>
          <w:bCs w:val="0"/>
          <w:sz w:val="24"/>
          <w:szCs w:val="24"/>
        </w:rPr>
      </w:pPr>
      <w:r>
        <w:rPr>
          <w:b w:val="0"/>
          <w:bCs w:val="0"/>
          <w:sz w:val="24"/>
          <w:szCs w:val="24"/>
        </w:rPr>
        <w:t>This method has limitations. Company reports may present strategy in a favourable way, and financial performance cannot prove that one marketing decision caused a particular result. The three companies also differ greatly in industry and size. The report therefore compares strategic patterns rather than treating every financial figure as directly comparable.</w:t>
      </w:r>
    </w:p>
    <w:p w14:paraId="2A3ED52F">
      <w:pPr>
        <w:pStyle w:val="42"/>
      </w:pPr>
      <w:r>
        <w:t>5. Findings</w:t>
      </w:r>
    </w:p>
    <w:p w14:paraId="47852FE2">
      <w:pPr>
        <w:pStyle w:val="42"/>
        <w:rPr>
          <w:sz w:val="36"/>
          <w:szCs w:val="36"/>
        </w:rPr>
      </w:pPr>
      <w:r>
        <w:rPr>
          <w:sz w:val="36"/>
          <w:szCs w:val="36"/>
        </w:rPr>
        <w:t>5.1 Relationship Between Marketing Commercial Management and Growth</w:t>
      </w:r>
    </w:p>
    <w:p w14:paraId="5B8AD9B3">
      <w:pPr>
        <w:pStyle w:val="42"/>
        <w:rPr>
          <w:b w:val="0"/>
          <w:bCs w:val="0"/>
          <w:sz w:val="24"/>
          <w:szCs w:val="24"/>
        </w:rPr>
      </w:pPr>
      <w:r>
        <w:rPr>
          <w:b w:val="0"/>
          <w:bCs w:val="0"/>
          <w:sz w:val="24"/>
          <w:szCs w:val="24"/>
        </w:rPr>
        <w:t>The evidence shows that marketing and commercial management create the strongest results when they operate together. Marketing identifies customer needs and develops an attractive offer. Commercial management tests whether the offer can create sustainable revenue and profit. Finance, operations, sales and marketing therefore need shared objectives and measures.</w:t>
      </w:r>
    </w:p>
    <w:p w14:paraId="78CE97BE">
      <w:pPr>
        <w:pStyle w:val="42"/>
        <w:rPr>
          <w:b w:val="0"/>
          <w:bCs w:val="0"/>
          <w:sz w:val="24"/>
          <w:szCs w:val="24"/>
        </w:rPr>
      </w:pPr>
      <w:r>
        <w:rPr>
          <w:b w:val="0"/>
          <w:bCs w:val="0"/>
          <w:sz w:val="24"/>
          <w:szCs w:val="24"/>
        </w:rPr>
        <w:t>Apple provides a clear example. Its 2025 Form 10-K reported total net sales of about $416.2 billion, compared with about $391.0 billion in 2024. Services sales reached about $109.2 billion, while iPhone sales remained the largest product category at about $209.6 billion (Apple Inc., 2025). The figures show that Apple's commercial model is broader than a single product sale.</w:t>
      </w:r>
    </w:p>
    <w:p w14:paraId="28A04D8F">
      <w:pPr>
        <w:pStyle w:val="42"/>
        <w:rPr>
          <w:b w:val="0"/>
          <w:bCs w:val="0"/>
          <w:sz w:val="24"/>
          <w:szCs w:val="24"/>
        </w:rPr>
      </w:pPr>
      <w:r>
        <w:rPr>
          <w:b w:val="0"/>
          <w:bCs w:val="0"/>
          <w:sz w:val="24"/>
          <w:szCs w:val="24"/>
        </w:rPr>
        <w:t>A customer may first enter the Apple ecosystem through an iPhone, Mac or iPad. The relationship can then continue through services, applications, storage and other connected products. Marketing supports the perceived value of the ecosystem, while commercial planning creates several revenue opportunities from the relationship.</w:t>
      </w:r>
    </w:p>
    <w:p w14:paraId="28CC3267">
      <w:pPr>
        <w:pStyle w:val="42"/>
        <w:rPr>
          <w:b w:val="0"/>
          <w:bCs w:val="0"/>
          <w:sz w:val="24"/>
          <w:szCs w:val="24"/>
        </w:rPr>
      </w:pPr>
      <w:r>
        <w:rPr>
          <w:b w:val="0"/>
          <w:bCs w:val="0"/>
          <w:sz w:val="24"/>
          <w:szCs w:val="24"/>
        </w:rPr>
        <w:t>The example also shows risk. Apple still depends heavily on iPhone sales, so the business must continue to give customers reasons to upgrade and remain within the ecosystem. Strong past performance does not remove the need for innovation, competitive awareness and suitable pricing.</w:t>
      </w:r>
    </w:p>
    <w:p w14:paraId="3CB66FE3">
      <w:pPr>
        <w:pStyle w:val="42"/>
        <w:rPr>
          <w:sz w:val="36"/>
          <w:szCs w:val="36"/>
        </w:rPr>
      </w:pPr>
      <w:r>
        <w:rPr>
          <w:sz w:val="36"/>
          <w:szCs w:val="36"/>
        </w:rPr>
        <w:t>5.2 Pricing Strategies in Practice</w:t>
      </w:r>
    </w:p>
    <w:p w14:paraId="3DEF2278">
      <w:pPr>
        <w:pStyle w:val="42"/>
        <w:rPr>
          <w:b w:val="0"/>
          <w:bCs w:val="0"/>
          <w:sz w:val="24"/>
          <w:szCs w:val="24"/>
        </w:rPr>
      </w:pPr>
      <w:r>
        <w:rPr>
          <w:b w:val="0"/>
          <w:bCs w:val="0"/>
          <w:sz w:val="24"/>
          <w:szCs w:val="24"/>
        </w:rPr>
        <w:t>The companies use pricing differently because their markets have different characteristics. Apple mainly demonstrates premium pricing. Its products are positioned around design, technology, integration and customer experience instead of being the cheapest available. This approach can support higher margins, but it depends on continued differentiation.</w:t>
      </w:r>
    </w:p>
    <w:p w14:paraId="1A0A289E">
      <w:pPr>
        <w:pStyle w:val="42"/>
        <w:rPr>
          <w:b w:val="0"/>
          <w:bCs w:val="0"/>
          <w:sz w:val="24"/>
          <w:szCs w:val="24"/>
        </w:rPr>
      </w:pPr>
      <w:r>
        <w:rPr>
          <w:b w:val="0"/>
          <w:bCs w:val="0"/>
          <w:sz w:val="24"/>
          <w:szCs w:val="24"/>
        </w:rPr>
        <w:t>Tesco operates in a highly price-sensitive market where customers buy frequently and can compare products easily. Tesco therefore combines several methods, including competitive prices, Aldi Price Match, Clubcard Prices and promotions. The commercial purpose is not only to reduce prices. Clubcard offers also encourage membership and provide behavioural information that can support more relevant decisions (Tesco PLC, 2025; Tesco PLC, 2026a).</w:t>
      </w:r>
    </w:p>
    <w:p w14:paraId="12C4F2C5">
      <w:pPr>
        <w:pStyle w:val="42"/>
        <w:rPr>
          <w:b w:val="0"/>
          <w:bCs w:val="0"/>
          <w:sz w:val="24"/>
          <w:szCs w:val="24"/>
        </w:rPr>
      </w:pPr>
      <w:r>
        <w:rPr>
          <w:b w:val="0"/>
          <w:bCs w:val="0"/>
          <w:sz w:val="24"/>
          <w:szCs w:val="24"/>
        </w:rPr>
        <w:t>Marriott uses dynamic pricing because a hotel room is perishable capacity. A room that remains empty tonight cannot normally be stored and sold tomorrow. Marriott's revenue-management systems support rate decisions according to demand, location, time and availability (Marriott International, Inc., 2026).</w:t>
      </w:r>
    </w:p>
    <w:p w14:paraId="28A219FA">
      <w:pPr>
        <w:pStyle w:val="42"/>
        <w:rPr>
          <w:b w:val="0"/>
          <w:bCs w:val="0"/>
          <w:sz w:val="24"/>
          <w:szCs w:val="24"/>
        </w:rPr>
      </w:pPr>
      <w:r>
        <w:rPr>
          <w:b w:val="0"/>
          <w:bCs w:val="0"/>
          <w:sz w:val="24"/>
          <w:szCs w:val="24"/>
        </w:rPr>
        <w:t>These examples can be summarised as follows:</w:t>
      </w:r>
    </w:p>
    <w:p w14:paraId="6DCB5E50">
      <w:pPr>
        <w:pStyle w:val="42"/>
        <w:rPr>
          <w:b w:val="0"/>
          <w:bCs w:val="0"/>
          <w:sz w:val="24"/>
          <w:szCs w:val="24"/>
        </w:rPr>
      </w:pPr>
      <w:r>
        <w:rPr>
          <w:b w:val="0"/>
          <w:bCs w:val="0"/>
          <w:sz w:val="24"/>
          <w:szCs w:val="24"/>
        </w:rPr>
        <w:t>Apple: premium price supported by differentiation and ecosystem value.</w:t>
      </w:r>
    </w:p>
    <w:p w14:paraId="2DEE22BE">
      <w:pPr>
        <w:pStyle w:val="42"/>
        <w:rPr>
          <w:b w:val="0"/>
          <w:bCs w:val="0"/>
          <w:sz w:val="24"/>
          <w:szCs w:val="24"/>
        </w:rPr>
      </w:pPr>
      <w:r>
        <w:rPr>
          <w:b w:val="0"/>
          <w:bCs w:val="0"/>
          <w:sz w:val="24"/>
          <w:szCs w:val="24"/>
        </w:rPr>
        <w:t>Tesco: value and loyalty pricing designed for frequent mass-market purchases.</w:t>
      </w:r>
    </w:p>
    <w:p w14:paraId="23B79A48">
      <w:pPr>
        <w:pStyle w:val="42"/>
        <w:rPr>
          <w:b w:val="0"/>
          <w:bCs w:val="0"/>
          <w:sz w:val="24"/>
          <w:szCs w:val="24"/>
        </w:rPr>
      </w:pPr>
      <w:r>
        <w:rPr>
          <w:b w:val="0"/>
          <w:bCs w:val="0"/>
          <w:sz w:val="24"/>
          <w:szCs w:val="24"/>
        </w:rPr>
        <w:t>Marriott: flexible rates designed to optimise revenue from limited room capacity.</w:t>
      </w:r>
    </w:p>
    <w:p w14:paraId="55A68C07">
      <w:pPr>
        <w:pStyle w:val="42"/>
        <w:rPr>
          <w:b w:val="0"/>
          <w:bCs w:val="0"/>
          <w:sz w:val="24"/>
          <w:szCs w:val="24"/>
        </w:rPr>
      </w:pPr>
      <w:r>
        <w:rPr>
          <w:b w:val="0"/>
          <w:bCs w:val="0"/>
          <w:sz w:val="24"/>
          <w:szCs w:val="24"/>
        </w:rPr>
        <w:t>No single pricing method is suitable for every organisation. Managers need to understand customer sensitivity, capacity, competition, cost and brand position before selecting an approach.</w:t>
      </w:r>
    </w:p>
    <w:p w14:paraId="7156DA82">
      <w:pPr>
        <w:pStyle w:val="42"/>
        <w:rPr>
          <w:sz w:val="36"/>
          <w:szCs w:val="36"/>
        </w:rPr>
      </w:pPr>
      <w:r>
        <w:rPr>
          <w:sz w:val="36"/>
          <w:szCs w:val="36"/>
        </w:rPr>
        <w:t>5.3 Segmentation Targeting and Positioning in Practice</w:t>
      </w:r>
    </w:p>
    <w:p w14:paraId="2C0991A2">
      <w:pPr>
        <w:pStyle w:val="42"/>
        <w:rPr>
          <w:b w:val="0"/>
          <w:bCs w:val="0"/>
          <w:sz w:val="24"/>
          <w:szCs w:val="24"/>
        </w:rPr>
      </w:pPr>
      <w:r>
        <w:rPr>
          <w:b w:val="0"/>
          <w:bCs w:val="0"/>
          <w:sz w:val="24"/>
          <w:szCs w:val="24"/>
        </w:rPr>
        <w:t>Apple offers different devices, specifications and price levels while maintaining one strong master brand. Customers can choose a product that fits their needs and willingness to pay, but the products still appear connected. This allows Apple to reach several segments without losing its overall position.</w:t>
      </w:r>
    </w:p>
    <w:p w14:paraId="0624B69E">
      <w:pPr>
        <w:pStyle w:val="42"/>
        <w:rPr>
          <w:b w:val="0"/>
          <w:bCs w:val="0"/>
          <w:sz w:val="24"/>
          <w:szCs w:val="24"/>
        </w:rPr>
      </w:pPr>
      <w:r>
        <w:rPr>
          <w:b w:val="0"/>
          <w:bCs w:val="0"/>
          <w:sz w:val="24"/>
          <w:szCs w:val="24"/>
        </w:rPr>
        <w:t>Tesco uses broad market coverage. One shopper may buy lower-priced products in one category and Tesco Finest products in another. Clubcard also supports behavioural segmentation because Tesco can study what customers purchase rather than relying only on age or income. The benefit is more relevant marketing; the responsibility is careful and transparent data use.</w:t>
      </w:r>
    </w:p>
    <w:p w14:paraId="497E78CE">
      <w:pPr>
        <w:pStyle w:val="42"/>
        <w:rPr>
          <w:b w:val="0"/>
          <w:bCs w:val="0"/>
          <w:sz w:val="24"/>
          <w:szCs w:val="24"/>
        </w:rPr>
      </w:pPr>
      <w:r>
        <w:rPr>
          <w:b w:val="0"/>
          <w:bCs w:val="0"/>
          <w:sz w:val="24"/>
          <w:szCs w:val="24"/>
        </w:rPr>
        <w:t>Marriott offers the clearest example of multi-brand segmentation. Its portfolio covers different service levels, travel purposes and price points. A customer may use one Marriott brand for a business trip and another for a luxury holiday while remaining within Marriott Bonvoy.</w:t>
      </w:r>
    </w:p>
    <w:p w14:paraId="13ED5386">
      <w:pPr>
        <w:pStyle w:val="42"/>
        <w:rPr>
          <w:b w:val="0"/>
          <w:bCs w:val="0"/>
          <w:sz w:val="24"/>
          <w:szCs w:val="24"/>
        </w:rPr>
      </w:pPr>
      <w:r>
        <w:rPr>
          <w:b w:val="0"/>
          <w:bCs w:val="0"/>
          <w:sz w:val="24"/>
          <w:szCs w:val="24"/>
        </w:rPr>
        <w:t>The main advantage of segmentation is relevance. The main risk is complexity. Marriott must maintain clear differences between brands, Tesco must avoid offers that feel unfair to non-members, and Apple must avoid product ranges that confuse customers. Segmentation should make choice easier rather than more difficult.</w:t>
      </w:r>
    </w:p>
    <w:p w14:paraId="12AA099C">
      <w:pPr>
        <w:pStyle w:val="42"/>
        <w:rPr>
          <w:sz w:val="36"/>
          <w:szCs w:val="36"/>
        </w:rPr>
      </w:pPr>
      <w:r>
        <w:rPr>
          <w:sz w:val="36"/>
          <w:szCs w:val="36"/>
        </w:rPr>
        <w:t>5.4 Revenue Generation and Digital Channels</w:t>
      </w:r>
    </w:p>
    <w:p w14:paraId="203F558E">
      <w:pPr>
        <w:pStyle w:val="42"/>
        <w:rPr>
          <w:b w:val="0"/>
          <w:bCs w:val="0"/>
          <w:sz w:val="24"/>
          <w:szCs w:val="24"/>
        </w:rPr>
      </w:pPr>
      <w:r>
        <w:rPr>
          <w:b w:val="0"/>
          <w:bCs w:val="0"/>
          <w:sz w:val="24"/>
          <w:szCs w:val="24"/>
        </w:rPr>
        <w:t>All three organisations use more than one source of revenue. Apple combines hardware and services. This reduces complete dependence on a single transaction and allows revenue to continue after the first product purchase. Services also strengthen the ecosystem because customers can store data, access entertainment and use applications across devices.</w:t>
      </w:r>
    </w:p>
    <w:p w14:paraId="38C1DEAF">
      <w:pPr>
        <w:pStyle w:val="42"/>
        <w:rPr>
          <w:b w:val="0"/>
          <w:bCs w:val="0"/>
          <w:sz w:val="24"/>
          <w:szCs w:val="24"/>
        </w:rPr>
      </w:pPr>
      <w:r>
        <w:rPr>
          <w:b w:val="0"/>
          <w:bCs w:val="0"/>
          <w:sz w:val="24"/>
          <w:szCs w:val="24"/>
        </w:rPr>
        <w:t>Tesco's central activity is retail, but its commercial model includes online grocery, Tesco Mobile, data-supported retail media and rapid delivery. Digital channels can create value through convenience as well as price. However, delivery expansion must be managed carefully because fulfilment cost can reduce the profit from small orders.</w:t>
      </w:r>
    </w:p>
    <w:p w14:paraId="0088BEF6">
      <w:pPr>
        <w:pStyle w:val="42"/>
        <w:rPr>
          <w:b w:val="0"/>
          <w:bCs w:val="0"/>
          <w:sz w:val="24"/>
          <w:szCs w:val="24"/>
        </w:rPr>
      </w:pPr>
      <w:r>
        <w:rPr>
          <w:b w:val="0"/>
          <w:bCs w:val="0"/>
          <w:sz w:val="24"/>
          <w:szCs w:val="24"/>
        </w:rPr>
        <w:t>Marriott's model is different because the company does not own every hotel using its brands. At the end of 2025, Marriott reported 7,644 franchised, licensed and other properties and 2,017 company-operated properties. It generated about $5.44 billion in gross fee revenue during 2025 (Marriott International, Inc., 2026). Brand ownership, reservation systems and management knowledge therefore become commercial assets.</w:t>
      </w:r>
    </w:p>
    <w:p w14:paraId="19129F9D">
      <w:pPr>
        <w:pStyle w:val="42"/>
        <w:rPr>
          <w:b w:val="0"/>
          <w:bCs w:val="0"/>
          <w:sz w:val="24"/>
          <w:szCs w:val="24"/>
        </w:rPr>
      </w:pPr>
      <w:r>
        <w:rPr>
          <w:b w:val="0"/>
          <w:bCs w:val="0"/>
          <w:sz w:val="24"/>
          <w:szCs w:val="24"/>
        </w:rPr>
        <w:t>Digital channels also reduce distance between marketing and sales. A customer can see a promotion, compare an offer, join a programme and purchase within one digital journey. Direct channels can provide customer data and reduce dependence on intermediaries, but organisations must earn trust through security, privacy and transparent communication.</w:t>
      </w:r>
    </w:p>
    <w:p w14:paraId="7A81FF02">
      <w:pPr>
        <w:pStyle w:val="42"/>
        <w:rPr>
          <w:sz w:val="36"/>
          <w:szCs w:val="36"/>
        </w:rPr>
      </w:pPr>
      <w:r>
        <w:rPr>
          <w:sz w:val="36"/>
          <w:szCs w:val="36"/>
        </w:rPr>
        <w:t>5.5 Customer Acquisition and Retention</w:t>
      </w:r>
    </w:p>
    <w:p w14:paraId="6820E52D">
      <w:pPr>
        <w:pStyle w:val="42"/>
        <w:rPr>
          <w:b w:val="0"/>
          <w:bCs w:val="0"/>
          <w:sz w:val="24"/>
          <w:szCs w:val="24"/>
        </w:rPr>
      </w:pPr>
      <w:r>
        <w:rPr>
          <w:b w:val="0"/>
          <w:bCs w:val="0"/>
          <w:sz w:val="24"/>
          <w:szCs w:val="24"/>
        </w:rPr>
        <w:t>Customer acquisition attracts a new buyer, while customer retention encourages an existing buyer to continue the relationship. Both matter, but retention can create repeated revenue without requiring the organisation to begin every customer relationship again.</w:t>
      </w:r>
    </w:p>
    <w:p w14:paraId="5104D1BA">
      <w:pPr>
        <w:pStyle w:val="42"/>
        <w:rPr>
          <w:b w:val="0"/>
          <w:bCs w:val="0"/>
          <w:sz w:val="24"/>
          <w:szCs w:val="24"/>
        </w:rPr>
      </w:pPr>
      <w:r>
        <w:rPr>
          <w:b w:val="0"/>
          <w:bCs w:val="0"/>
          <w:sz w:val="24"/>
          <w:szCs w:val="24"/>
        </w:rPr>
        <w:t>Apple's connected products and services can encourage repeat purchasing because existing devices work together. Tesco Clubcard gives shoppers financial benefits and enables more relevant offers. Marriott Bonvoy links many brands, direct channels and travel benefits through one programme.</w:t>
      </w:r>
    </w:p>
    <w:p w14:paraId="40EEB95E">
      <w:pPr>
        <w:pStyle w:val="42"/>
        <w:rPr>
          <w:b w:val="0"/>
          <w:bCs w:val="0"/>
          <w:sz w:val="24"/>
          <w:szCs w:val="24"/>
        </w:rPr>
      </w:pPr>
      <w:r>
        <w:rPr>
          <w:b w:val="0"/>
          <w:bCs w:val="0"/>
          <w:sz w:val="24"/>
          <w:szCs w:val="24"/>
        </w:rPr>
        <w:t>Marriott's 2025 filing states that approximately 75% of United States hotel room nights and 68% of global hotel room nights were booked by loyalty programme members (Marriott International, Inc., 2026). These figures show the importance of member relationships to Marriott's commercial performance.</w:t>
      </w:r>
    </w:p>
    <w:p w14:paraId="214A1B19">
      <w:pPr>
        <w:pStyle w:val="42"/>
        <w:rPr>
          <w:b w:val="0"/>
          <w:bCs w:val="0"/>
          <w:sz w:val="24"/>
          <w:szCs w:val="24"/>
        </w:rPr>
      </w:pPr>
      <w:r>
        <w:rPr>
          <w:b w:val="0"/>
          <w:bCs w:val="0"/>
          <w:sz w:val="24"/>
          <w:szCs w:val="24"/>
        </w:rPr>
        <w:t>However, membership alone is not proof of loyalty. A customer can join several programmes and remain inactive. Managers should therefore measure active members, repeat purchases, frequency, spending and retention. A loyalty programme should create useful customer value, not simply collect registrations or data.</w:t>
      </w:r>
    </w:p>
    <w:p w14:paraId="32FE60A7">
      <w:pPr>
        <w:pStyle w:val="42"/>
        <w:rPr>
          <w:sz w:val="36"/>
          <w:szCs w:val="36"/>
        </w:rPr>
      </w:pPr>
      <w:r>
        <w:rPr>
          <w:sz w:val="36"/>
          <w:szCs w:val="36"/>
        </w:rPr>
        <w:t>6. Discussion</w:t>
      </w:r>
    </w:p>
    <w:p w14:paraId="63CEC6F3">
      <w:pPr>
        <w:pStyle w:val="42"/>
        <w:rPr>
          <w:sz w:val="36"/>
          <w:szCs w:val="36"/>
        </w:rPr>
      </w:pPr>
      <w:r>
        <w:rPr>
          <w:sz w:val="36"/>
          <w:szCs w:val="36"/>
        </w:rPr>
        <w:t>6.1 Apple</w:t>
      </w:r>
    </w:p>
    <w:p w14:paraId="0EB341C8">
      <w:pPr>
        <w:pStyle w:val="42"/>
        <w:rPr>
          <w:b w:val="0"/>
          <w:bCs w:val="0"/>
          <w:sz w:val="24"/>
          <w:szCs w:val="24"/>
        </w:rPr>
      </w:pPr>
      <w:r>
        <w:rPr>
          <w:b w:val="0"/>
          <w:bCs w:val="0"/>
          <w:sz w:val="24"/>
          <w:szCs w:val="24"/>
        </w:rPr>
        <w:t>Apple demonstrates how differentiation can support commercial performance. The company does not compete mainly through the lowest price. Instead, the offer includes product design, software, retail experience, service, brand reputation and integration between devices. This total experience supports premium positioning.</w:t>
      </w:r>
    </w:p>
    <w:p w14:paraId="0DEF3F8B">
      <w:pPr>
        <w:pStyle w:val="42"/>
        <w:rPr>
          <w:b w:val="0"/>
          <w:bCs w:val="0"/>
          <w:sz w:val="24"/>
          <w:szCs w:val="24"/>
        </w:rPr>
      </w:pPr>
      <w:r>
        <w:rPr>
          <w:b w:val="0"/>
          <w:bCs w:val="0"/>
          <w:sz w:val="24"/>
          <w:szCs w:val="24"/>
        </w:rPr>
        <w:t>The strategy creates several advantages. Premium prices can support margins, existing customers may buy additional products, and services create revenue after the first purchase. A strong ecosystem can also reduce the pressure to compete through constant discounting.</w:t>
      </w:r>
    </w:p>
    <w:p w14:paraId="2E657F94">
      <w:pPr>
        <w:pStyle w:val="42"/>
        <w:rPr>
          <w:b w:val="0"/>
          <w:bCs w:val="0"/>
          <w:sz w:val="24"/>
          <w:szCs w:val="24"/>
        </w:rPr>
      </w:pPr>
      <w:r>
        <w:rPr>
          <w:b w:val="0"/>
          <w:bCs w:val="0"/>
          <w:sz w:val="24"/>
          <w:szCs w:val="24"/>
        </w:rPr>
        <w:t>There are also limitations. Premium positioning requires continued innovation and reliable quality. Customers need a reason to pay more than they would for a competing product. Apple's 2025 sales in Greater China were lower than in 2024, showing that even a strong global brand can face regional pressure (Apple Inc., 2025).</w:t>
      </w:r>
    </w:p>
    <w:p w14:paraId="06DC2091">
      <w:pPr>
        <w:pStyle w:val="42"/>
        <w:rPr>
          <w:b w:val="0"/>
          <w:bCs w:val="0"/>
          <w:sz w:val="24"/>
          <w:szCs w:val="24"/>
        </w:rPr>
      </w:pPr>
      <w:r>
        <w:rPr>
          <w:b w:val="0"/>
          <w:bCs w:val="0"/>
          <w:sz w:val="24"/>
          <w:szCs w:val="24"/>
        </w:rPr>
        <w:t>Apple should therefore continue to improve customer value rather than relying only on brand reputation. Services can diversify revenue, but the company must maintain customer trust over privacy, pricing and ecosystem control.</w:t>
      </w:r>
    </w:p>
    <w:p w14:paraId="45DA1F4F">
      <w:pPr>
        <w:pStyle w:val="42"/>
        <w:rPr>
          <w:sz w:val="36"/>
          <w:szCs w:val="36"/>
        </w:rPr>
      </w:pPr>
      <w:r>
        <w:rPr>
          <w:sz w:val="36"/>
          <w:szCs w:val="36"/>
        </w:rPr>
        <w:t>6.2 Tesco</w:t>
      </w:r>
    </w:p>
    <w:p w14:paraId="5BF00239">
      <w:pPr>
        <w:pStyle w:val="42"/>
        <w:rPr>
          <w:b w:val="0"/>
          <w:bCs w:val="0"/>
          <w:sz w:val="24"/>
          <w:szCs w:val="24"/>
        </w:rPr>
      </w:pPr>
      <w:r>
        <w:rPr>
          <w:b w:val="0"/>
          <w:bCs w:val="0"/>
          <w:sz w:val="24"/>
          <w:szCs w:val="24"/>
        </w:rPr>
        <w:t>Tesco demonstrates how value, convenience and customer information can be combined. Supermarket customers make frequent purchases, so small differences in price and service can influence behaviour. Aldi Price Match and Clubcard Prices reduce the reason for customers to move to competitors, while the Clubcard relationship supports personalisation.</w:t>
      </w:r>
    </w:p>
    <w:p w14:paraId="21922D75">
      <w:pPr>
        <w:pStyle w:val="42"/>
        <w:rPr>
          <w:b w:val="0"/>
          <w:bCs w:val="0"/>
          <w:sz w:val="24"/>
          <w:szCs w:val="24"/>
        </w:rPr>
      </w:pPr>
      <w:r>
        <w:rPr>
          <w:b w:val="0"/>
          <w:bCs w:val="0"/>
          <w:sz w:val="24"/>
          <w:szCs w:val="24"/>
        </w:rPr>
        <w:t>The commercial cycle is clear:</w:t>
      </w:r>
    </w:p>
    <w:p w14:paraId="7FE6B8CB">
      <w:pPr>
        <w:pStyle w:val="42"/>
        <w:rPr>
          <w:b w:val="0"/>
          <w:bCs w:val="0"/>
          <w:sz w:val="24"/>
          <w:szCs w:val="24"/>
        </w:rPr>
      </w:pPr>
      <w:r>
        <w:rPr>
          <w:b w:val="0"/>
          <w:bCs w:val="0"/>
          <w:sz w:val="24"/>
          <w:szCs w:val="24"/>
        </w:rPr>
        <w:t>Customers make purchases and create behavioural information.</w:t>
      </w:r>
    </w:p>
    <w:p w14:paraId="514C3509">
      <w:pPr>
        <w:pStyle w:val="42"/>
        <w:rPr>
          <w:b w:val="0"/>
          <w:bCs w:val="0"/>
          <w:sz w:val="24"/>
          <w:szCs w:val="24"/>
        </w:rPr>
      </w:pPr>
      <w:r>
        <w:rPr>
          <w:b w:val="0"/>
          <w:bCs w:val="0"/>
          <w:sz w:val="24"/>
          <w:szCs w:val="24"/>
        </w:rPr>
        <w:t>Tesco analyses patterns to understand demand and preferences.</w:t>
      </w:r>
    </w:p>
    <w:p w14:paraId="739B8CAF">
      <w:pPr>
        <w:pStyle w:val="42"/>
        <w:rPr>
          <w:b w:val="0"/>
          <w:bCs w:val="0"/>
          <w:sz w:val="24"/>
          <w:szCs w:val="24"/>
        </w:rPr>
      </w:pPr>
      <w:r>
        <w:rPr>
          <w:b w:val="0"/>
          <w:bCs w:val="0"/>
          <w:sz w:val="24"/>
          <w:szCs w:val="24"/>
        </w:rPr>
        <w:t>The business develops relevant prices, ranges and communication.</w:t>
      </w:r>
    </w:p>
    <w:p w14:paraId="3170FD6D">
      <w:pPr>
        <w:pStyle w:val="42"/>
        <w:rPr>
          <w:b w:val="0"/>
          <w:bCs w:val="0"/>
          <w:sz w:val="24"/>
          <w:szCs w:val="24"/>
        </w:rPr>
      </w:pPr>
      <w:r>
        <w:rPr>
          <w:b w:val="0"/>
          <w:bCs w:val="0"/>
          <w:sz w:val="24"/>
          <w:szCs w:val="24"/>
        </w:rPr>
        <w:t>Useful offers may encourage further purchases and retention.</w:t>
      </w:r>
    </w:p>
    <w:p w14:paraId="56B70F25">
      <w:pPr>
        <w:pStyle w:val="42"/>
        <w:rPr>
          <w:b w:val="0"/>
          <w:bCs w:val="0"/>
          <w:sz w:val="24"/>
          <w:szCs w:val="24"/>
        </w:rPr>
      </w:pPr>
      <w:r>
        <w:rPr>
          <w:b w:val="0"/>
          <w:bCs w:val="0"/>
          <w:sz w:val="24"/>
          <w:szCs w:val="24"/>
        </w:rPr>
        <w:t>Digital grocery and rapid delivery add convenience to the value proposition. However, Tesco must balance customer value with profitability. Heavy price competition can reduce margins, and fast delivery can be expensive. Personalisation also requires responsible data management.</w:t>
      </w:r>
    </w:p>
    <w:p w14:paraId="47CCE265">
      <w:pPr>
        <w:pStyle w:val="42"/>
        <w:rPr>
          <w:b w:val="0"/>
          <w:bCs w:val="0"/>
          <w:sz w:val="24"/>
          <w:szCs w:val="24"/>
        </w:rPr>
      </w:pPr>
      <w:r>
        <w:rPr>
          <w:b w:val="0"/>
          <w:bCs w:val="0"/>
          <w:sz w:val="24"/>
          <w:szCs w:val="24"/>
        </w:rPr>
        <w:t>Tesco's sustainability communication is commercially relevant because trust affects brand value. Its 2026 sustainability report states that operational emissions were 68% lower than its 2015/16 baseline (Tesco PLC, 2026b). Such claims should remain specific and evidence-based so that customers can distinguish measurable progress from general green language.</w:t>
      </w:r>
    </w:p>
    <w:p w14:paraId="1A16225F">
      <w:pPr>
        <w:pStyle w:val="42"/>
        <w:rPr>
          <w:sz w:val="36"/>
          <w:szCs w:val="36"/>
        </w:rPr>
      </w:pPr>
      <w:r>
        <w:rPr>
          <w:sz w:val="36"/>
          <w:szCs w:val="36"/>
        </w:rPr>
        <w:t>6.3 Marriott International</w:t>
      </w:r>
    </w:p>
    <w:p w14:paraId="5E315CA5">
      <w:pPr>
        <w:pStyle w:val="42"/>
        <w:rPr>
          <w:b w:val="0"/>
          <w:bCs w:val="0"/>
          <w:sz w:val="24"/>
          <w:szCs w:val="24"/>
        </w:rPr>
      </w:pPr>
      <w:r>
        <w:rPr>
          <w:b w:val="0"/>
          <w:bCs w:val="0"/>
          <w:sz w:val="24"/>
          <w:szCs w:val="24"/>
        </w:rPr>
        <w:t>Marriott demonstrates marketing and commercial management in a service industry. Hotels sell time-limited capacity, so pricing, distribution and demand forecasting are especially important. Brand segmentation allows Marriott to serve different traveller needs, while Bonvoy connects those brands through one relationship system.</w:t>
      </w:r>
    </w:p>
    <w:p w14:paraId="26BC0062">
      <w:pPr>
        <w:pStyle w:val="42"/>
        <w:rPr>
          <w:b w:val="0"/>
          <w:bCs w:val="0"/>
          <w:sz w:val="24"/>
          <w:szCs w:val="24"/>
        </w:rPr>
      </w:pPr>
      <w:r>
        <w:rPr>
          <w:b w:val="0"/>
          <w:bCs w:val="0"/>
          <w:sz w:val="24"/>
          <w:szCs w:val="24"/>
        </w:rPr>
        <w:t>The franchise and management model supports expansion without Marriott owning every property. Fees create revenue from brand names, systems and management capability. This can be less capital intensive than purchasing every hotel, but it also creates a quality-control challenge because many properties are owned by other parties.</w:t>
      </w:r>
    </w:p>
    <w:p w14:paraId="15676C4C">
      <w:pPr>
        <w:pStyle w:val="42"/>
        <w:rPr>
          <w:b w:val="0"/>
          <w:bCs w:val="0"/>
          <w:sz w:val="24"/>
          <w:szCs w:val="24"/>
        </w:rPr>
      </w:pPr>
      <w:r>
        <w:rPr>
          <w:b w:val="0"/>
          <w:bCs w:val="0"/>
          <w:sz w:val="24"/>
          <w:szCs w:val="24"/>
        </w:rPr>
        <w:t>Marketing promises must therefore be supported by operations. A poor experience at one property can affect the reputation of the wider brand. Revenue management may improve room income, but very large or unexplained price differences can create negative customer reactions.</w:t>
      </w:r>
    </w:p>
    <w:p w14:paraId="3BB25808">
      <w:pPr>
        <w:pStyle w:val="42"/>
        <w:rPr>
          <w:b w:val="0"/>
          <w:bCs w:val="0"/>
          <w:sz w:val="24"/>
          <w:szCs w:val="24"/>
        </w:rPr>
      </w:pPr>
      <w:r>
        <w:rPr>
          <w:b w:val="0"/>
          <w:bCs w:val="0"/>
          <w:sz w:val="24"/>
          <w:szCs w:val="24"/>
        </w:rPr>
        <w:t>Marriott's direct website and app can support booking, service requests and member benefits. These tools improve convenience and give the company greater control over the customer relationship. The company must still compete with online travel agencies, alternative accommodation platforms and other hotel groups.</w:t>
      </w:r>
    </w:p>
    <w:p w14:paraId="43E7FC21">
      <w:pPr>
        <w:pStyle w:val="42"/>
        <w:rPr>
          <w:sz w:val="36"/>
          <w:szCs w:val="36"/>
        </w:rPr>
      </w:pPr>
      <w:r>
        <w:rPr>
          <w:sz w:val="36"/>
          <w:szCs w:val="36"/>
        </w:rPr>
        <w:t>6.4 Comparison of the Three Organisations</w:t>
      </w:r>
    </w:p>
    <w:p w14:paraId="35C053EF">
      <w:pPr>
        <w:pStyle w:val="42"/>
        <w:rPr>
          <w:b w:val="0"/>
          <w:bCs w:val="0"/>
          <w:sz w:val="24"/>
          <w:szCs w:val="24"/>
        </w:rPr>
      </w:pPr>
      <w:r>
        <w:rPr>
          <w:b w:val="0"/>
          <w:bCs w:val="0"/>
          <w:sz w:val="24"/>
          <w:szCs w:val="24"/>
        </w:rPr>
        <w:t>The organisations use different methods, but four common themes are visible. First, each organisation needs customer understanding. Apple studies product and experience needs, Tesco studies shopping behaviour, and Marriott studies travel purpose and booking patterns. Second, each company needs clear positioning. Apple focuses on premium technology, Tesco on value and convenience, and Marriott on a portfolio of differentiated hotel brands.</w:t>
      </w:r>
    </w:p>
    <w:p w14:paraId="2E60B86A">
      <w:pPr>
        <w:pStyle w:val="42"/>
        <w:rPr>
          <w:b w:val="0"/>
          <w:bCs w:val="0"/>
          <w:sz w:val="24"/>
          <w:szCs w:val="24"/>
        </w:rPr>
      </w:pPr>
      <w:r>
        <w:rPr>
          <w:b w:val="0"/>
          <w:bCs w:val="0"/>
          <w:sz w:val="24"/>
          <w:szCs w:val="24"/>
        </w:rPr>
        <w:t>Third, all three companies diversify revenue. Apple combines products and services, Tesco combines stores and digital activities, and Marriott earns management and franchise fees alongside other revenue. Fourth, each company invests in retention. Apple's ecosystem, Tesco Clubcard and Marriott Bonvoy all aim to extend the customer relationship.</w:t>
      </w:r>
    </w:p>
    <w:p w14:paraId="4F8F8403">
      <w:pPr>
        <w:pStyle w:val="42"/>
        <w:rPr>
          <w:b w:val="0"/>
          <w:bCs w:val="0"/>
          <w:sz w:val="24"/>
          <w:szCs w:val="24"/>
        </w:rPr>
      </w:pPr>
      <w:r>
        <w:rPr>
          <w:b w:val="0"/>
          <w:bCs w:val="0"/>
          <w:sz w:val="24"/>
          <w:szCs w:val="24"/>
        </w:rPr>
        <w:t>The differences are equally important. Apple's premium model cannot simply be copied by a supermarket. Tesco's frequent low-value transactions differ from hotel bookings. Marriott's dynamic pricing reflects perishable room capacity. Strategy must therefore fit the organisation's market instead of copying a successful company without considering context.</w:t>
      </w:r>
    </w:p>
    <w:p w14:paraId="4FC84832">
      <w:pPr>
        <w:pStyle w:val="42"/>
        <w:rPr>
          <w:sz w:val="36"/>
          <w:szCs w:val="36"/>
        </w:rPr>
      </w:pPr>
      <w:r>
        <w:rPr>
          <w:sz w:val="36"/>
          <w:szCs w:val="36"/>
        </w:rPr>
        <w:t>6.5 Ethical and Commercial Challenges</w:t>
      </w:r>
    </w:p>
    <w:p w14:paraId="51868F96">
      <w:pPr>
        <w:pStyle w:val="42"/>
        <w:rPr>
          <w:b w:val="0"/>
          <w:bCs w:val="0"/>
          <w:sz w:val="24"/>
          <w:szCs w:val="24"/>
        </w:rPr>
      </w:pPr>
      <w:r>
        <w:rPr>
          <w:b w:val="0"/>
          <w:bCs w:val="0"/>
          <w:sz w:val="24"/>
          <w:szCs w:val="24"/>
        </w:rPr>
        <w:t>Commercial pressure can create ethical risk. Managers may be encouraged to increase sales quickly, but a short-term tactic can damage long-term trust. Hidden mandatory charges are one example. The Competition and Markets Authority (2026) states that unavoidable charges should be included in the total price shown to customers.</w:t>
      </w:r>
    </w:p>
    <w:p w14:paraId="323F5D23">
      <w:pPr>
        <w:pStyle w:val="42"/>
        <w:rPr>
          <w:b w:val="0"/>
          <w:bCs w:val="0"/>
          <w:sz w:val="24"/>
          <w:szCs w:val="24"/>
        </w:rPr>
      </w:pPr>
      <w:r>
        <w:rPr>
          <w:b w:val="0"/>
          <w:bCs w:val="0"/>
          <w:sz w:val="24"/>
          <w:szCs w:val="24"/>
        </w:rPr>
        <w:t>Customer data creates another challenge. Loyalty and digital systems can make communication more relevant, but customers should understand how their information is collected and used. Security failures or intrusive targeting can reduce trust even if a campaign produces a short-term increase in sales.</w:t>
      </w:r>
    </w:p>
    <w:p w14:paraId="43E4D3EB">
      <w:pPr>
        <w:pStyle w:val="42"/>
        <w:rPr>
          <w:b w:val="0"/>
          <w:bCs w:val="0"/>
          <w:sz w:val="24"/>
          <w:szCs w:val="24"/>
        </w:rPr>
      </w:pPr>
      <w:r>
        <w:rPr>
          <w:b w:val="0"/>
          <w:bCs w:val="0"/>
          <w:sz w:val="24"/>
          <w:szCs w:val="24"/>
        </w:rPr>
        <w:t>Sustainability claims must also be accurate. Organisations should communicate measurable progress and explain the limits of their achievements. Presenting a small change as a complete environmental solution may be considered greenwashing.</w:t>
      </w:r>
    </w:p>
    <w:p w14:paraId="3CA2ADCC">
      <w:pPr>
        <w:pStyle w:val="42"/>
        <w:rPr>
          <w:b w:val="0"/>
          <w:bCs w:val="0"/>
          <w:sz w:val="24"/>
          <w:szCs w:val="24"/>
        </w:rPr>
      </w:pPr>
      <w:r>
        <w:rPr>
          <w:b w:val="0"/>
          <w:bCs w:val="0"/>
          <w:sz w:val="24"/>
          <w:szCs w:val="24"/>
        </w:rPr>
        <w:t>Ethical marketing is therefore not separate from commercial performance. Trust influences retention, reputation and willingness to purchase. A responsible organisation should use clear prices, accurate claims, fair treatment and suitable data protection as part of its long-term strategy.</w:t>
      </w:r>
    </w:p>
    <w:p w14:paraId="47F23344">
      <w:pPr>
        <w:pStyle w:val="42"/>
      </w:pPr>
      <w:r>
        <w:t>7. Conclusion</w:t>
      </w:r>
    </w:p>
    <w:p w14:paraId="31A58E79">
      <w:pPr>
        <w:pStyle w:val="42"/>
        <w:rPr>
          <w:b w:val="0"/>
          <w:bCs w:val="0"/>
          <w:sz w:val="24"/>
          <w:szCs w:val="24"/>
        </w:rPr>
      </w:pPr>
      <w:r>
        <w:rPr>
          <w:b w:val="0"/>
          <w:bCs w:val="0"/>
          <w:sz w:val="24"/>
          <w:szCs w:val="24"/>
        </w:rPr>
        <w:t>This report examined how commercial and marketing strategies contribute to organisational performance. The evidence shows that commercial management and marketing management are closely connected. Marketing helps the organisation understand customers, create value and communicate a suitable offer. Commercial management ensures that these activities support revenue, costs, sales and profit.</w:t>
      </w:r>
    </w:p>
    <w:p w14:paraId="37577879">
      <w:pPr>
        <w:pStyle w:val="42"/>
        <w:rPr>
          <w:b w:val="0"/>
          <w:bCs w:val="0"/>
          <w:sz w:val="24"/>
          <w:szCs w:val="24"/>
        </w:rPr>
      </w:pPr>
      <w:r>
        <w:rPr>
          <w:b w:val="0"/>
          <w:bCs w:val="0"/>
          <w:sz w:val="24"/>
          <w:szCs w:val="24"/>
        </w:rPr>
        <w:t>Apple, Tesco and Marriott apply these ideas in different ways. Apple uses differentiation, premium pricing and services. Tesco combines competitive value, loyalty, customer information and digital retail. Marriott uses multiple brands, dynamic pricing, loyalty, franchising and direct digital channels.</w:t>
      </w:r>
    </w:p>
    <w:p w14:paraId="31B57C7F">
      <w:pPr>
        <w:pStyle w:val="42"/>
        <w:rPr>
          <w:b w:val="0"/>
          <w:bCs w:val="0"/>
          <w:sz w:val="24"/>
          <w:szCs w:val="24"/>
        </w:rPr>
      </w:pPr>
      <w:r>
        <w:rPr>
          <w:b w:val="0"/>
          <w:bCs w:val="0"/>
          <w:sz w:val="24"/>
          <w:szCs w:val="24"/>
        </w:rPr>
        <w:t>The comparison also shows that higher sales do not automatically mean stronger performance. Discounts can reduce profit, targeting can create privacy concerns, and dynamic pricing can appear unfair. Managers should therefore measure financial results, customer behaviour and trust together.</w:t>
      </w:r>
    </w:p>
    <w:p w14:paraId="1A75D301">
      <w:pPr>
        <w:pStyle w:val="42"/>
        <w:rPr>
          <w:b w:val="0"/>
          <w:bCs w:val="0"/>
          <w:sz w:val="24"/>
          <w:szCs w:val="24"/>
        </w:rPr>
      </w:pPr>
      <w:r>
        <w:rPr>
          <w:b w:val="0"/>
          <w:bCs w:val="0"/>
          <w:sz w:val="24"/>
          <w:szCs w:val="24"/>
        </w:rPr>
        <w:t>Modern marketing should not operate as an isolated advertising function. It should work with finance, sales, operations, digital teams and senior management. When these areas share information and objectives, the organisation is better able to attract suitable customers, retain them and create sustainable growth.</w:t>
      </w:r>
    </w:p>
    <w:p w14:paraId="352C900D">
      <w:pPr>
        <w:pStyle w:val="42"/>
      </w:pPr>
      <w:r>
        <w:t>8. Recommendations</w:t>
      </w:r>
    </w:p>
    <w:p w14:paraId="099F0F87">
      <w:pPr>
        <w:pStyle w:val="42"/>
        <w:rPr>
          <w:b w:val="0"/>
          <w:bCs w:val="0"/>
          <w:sz w:val="24"/>
          <w:szCs w:val="24"/>
        </w:rPr>
      </w:pPr>
      <w:r>
        <w:rPr>
          <w:b w:val="0"/>
          <w:bCs w:val="0"/>
          <w:sz w:val="24"/>
          <w:szCs w:val="24"/>
        </w:rPr>
        <w:t>Based on the findings, modern organisations should take the following actions:</w:t>
      </w:r>
    </w:p>
    <w:p w14:paraId="3623687D">
      <w:pPr>
        <w:pStyle w:val="42"/>
        <w:rPr>
          <w:b w:val="0"/>
          <w:bCs w:val="0"/>
          <w:sz w:val="24"/>
          <w:szCs w:val="24"/>
        </w:rPr>
      </w:pPr>
      <w:r>
        <w:rPr>
          <w:b w:val="0"/>
          <w:bCs w:val="0"/>
          <w:sz w:val="24"/>
          <w:szCs w:val="24"/>
        </w:rPr>
        <w:t>Connect marketing goals with commercial goals. Campaigns should measure conversion, revenue, margin, retention and return on marketing investment rather than only views, likes or followers.</w:t>
      </w:r>
    </w:p>
    <w:p w14:paraId="076C50F7">
      <w:pPr>
        <w:pStyle w:val="42"/>
        <w:rPr>
          <w:b w:val="0"/>
          <w:bCs w:val="0"/>
          <w:sz w:val="24"/>
          <w:szCs w:val="24"/>
        </w:rPr>
      </w:pPr>
      <w:r>
        <w:rPr>
          <w:b w:val="0"/>
          <w:bCs w:val="0"/>
          <w:sz w:val="24"/>
          <w:szCs w:val="24"/>
        </w:rPr>
        <w:t>Research customer value before changing price. Managers should identify which benefits matter most and should not assume that the lowest price is always the strongest position.</w:t>
      </w:r>
    </w:p>
    <w:p w14:paraId="616AC721">
      <w:pPr>
        <w:pStyle w:val="42"/>
        <w:rPr>
          <w:b w:val="0"/>
          <w:bCs w:val="0"/>
          <w:sz w:val="24"/>
          <w:szCs w:val="24"/>
        </w:rPr>
      </w:pPr>
      <w:r>
        <w:rPr>
          <w:b w:val="0"/>
          <w:bCs w:val="0"/>
          <w:sz w:val="24"/>
          <w:szCs w:val="24"/>
        </w:rPr>
        <w:t>Use segmentation carefully. Customer groups should be clear, reachable and commercially worthwhile. Too many small segments can increase cost and complexity.</w:t>
      </w:r>
    </w:p>
    <w:p w14:paraId="58662E0E">
      <w:pPr>
        <w:pStyle w:val="42"/>
        <w:rPr>
          <w:b w:val="0"/>
          <w:bCs w:val="0"/>
          <w:sz w:val="24"/>
          <w:szCs w:val="24"/>
        </w:rPr>
      </w:pPr>
      <w:r>
        <w:rPr>
          <w:b w:val="0"/>
          <w:bCs w:val="0"/>
          <w:sz w:val="24"/>
          <w:szCs w:val="24"/>
        </w:rPr>
        <w:t>Build retention into the strategy. Loyalty programmes should provide useful benefits and should be evaluated through active membership, repeat purchase and customer lifetime value.</w:t>
      </w:r>
    </w:p>
    <w:p w14:paraId="6301AC98">
      <w:pPr>
        <w:pStyle w:val="42"/>
        <w:rPr>
          <w:b w:val="0"/>
          <w:bCs w:val="0"/>
          <w:sz w:val="24"/>
          <w:szCs w:val="24"/>
        </w:rPr>
      </w:pPr>
      <w:r>
        <w:rPr>
          <w:b w:val="0"/>
          <w:bCs w:val="0"/>
          <w:sz w:val="24"/>
          <w:szCs w:val="24"/>
        </w:rPr>
        <w:t>Develop suitable revenue diversification. Additional products, services, subscriptions, digital channels or partnerships can reduce dependence on one transaction, but each new activity should fit the brand and capabilities.</w:t>
      </w:r>
    </w:p>
    <w:p w14:paraId="5247376F">
      <w:pPr>
        <w:pStyle w:val="42"/>
        <w:rPr>
          <w:b w:val="0"/>
          <w:bCs w:val="0"/>
          <w:sz w:val="24"/>
          <w:szCs w:val="24"/>
        </w:rPr>
      </w:pPr>
      <w:r>
        <w:rPr>
          <w:b w:val="0"/>
          <w:bCs w:val="0"/>
          <w:sz w:val="24"/>
          <w:szCs w:val="24"/>
        </w:rPr>
        <w:t>Improve cooperation between departments. Marketing, sales, finance, operations and technology teams should agree on shared measures and review results together.</w:t>
      </w:r>
    </w:p>
    <w:p w14:paraId="11266C9A">
      <w:pPr>
        <w:pStyle w:val="42"/>
        <w:rPr>
          <w:b w:val="0"/>
          <w:bCs w:val="0"/>
          <w:sz w:val="24"/>
          <w:szCs w:val="24"/>
        </w:rPr>
      </w:pPr>
      <w:r>
        <w:rPr>
          <w:b w:val="0"/>
          <w:bCs w:val="0"/>
          <w:sz w:val="24"/>
          <w:szCs w:val="24"/>
        </w:rPr>
        <w:t>Protect trust. Prices should be transparent, personal data should be handled responsibly, and environmental or performance claims should be supported by evidence.</w:t>
      </w:r>
    </w:p>
    <w:p w14:paraId="0A210A2B">
      <w:pPr>
        <w:pStyle w:val="42"/>
        <w:rPr>
          <w:b w:val="0"/>
          <w:bCs w:val="0"/>
          <w:sz w:val="24"/>
          <w:szCs w:val="24"/>
        </w:rPr>
      </w:pPr>
      <w:r>
        <w:rPr>
          <w:b w:val="0"/>
          <w:bCs w:val="0"/>
          <w:sz w:val="24"/>
          <w:szCs w:val="24"/>
        </w:rPr>
        <w:t>These recommendations do not require every organisation to use the same strategy. Their purpose is to create a decision process in which customer value and commercial sustainability are considered together.</w:t>
      </w:r>
    </w:p>
    <w:p w14:paraId="6BB778C6">
      <w:pPr>
        <w:pStyle w:val="42"/>
      </w:pPr>
    </w:p>
    <w:p w14:paraId="587A62A9">
      <w:pPr>
        <w:pStyle w:val="42"/>
      </w:pPr>
      <w:r>
        <w:t>References</w:t>
      </w:r>
    </w:p>
    <w:p w14:paraId="75BBA31C">
      <w:pPr>
        <w:pStyle w:val="44"/>
      </w:pPr>
      <w:r>
        <w:t>1. ABC News (2006)</w:t>
      </w:r>
    </w:p>
    <w:p w14:paraId="3A6D63FB">
      <w:pPr>
        <w:pStyle w:val="44"/>
      </w:pPr>
      <w:r>
        <w:rPr>
          <w:rStyle w:val="21"/>
        </w:rPr>
        <w:t>UK restricts “bloody hell” tourism ads</w:t>
      </w:r>
    </w:p>
    <w:p w14:paraId="11A162F0">
      <w:pPr>
        <w:pStyle w:val="44"/>
        <w:rPr>
          <w:rStyle w:val="17"/>
          <w:rFonts w:ascii="Times New Roman" w:hAnsi="Times New Roman" w:cs="Times New Roman" w:eastAsiaTheme="majorEastAsia"/>
        </w:rPr>
      </w:pPr>
      <w:r>
        <w:fldChar w:fldCharType="begin"/>
      </w:r>
      <w:r>
        <w:instrText xml:space="preserve"> HYPERLINK "https://www.abc.net.au/news/2006-03-09/uk-restricts-bloody-hell-tourism-ads/814976" </w:instrText>
      </w:r>
      <w:r>
        <w:fldChar w:fldCharType="separate"/>
      </w:r>
      <w:r>
        <w:rPr>
          <w:rStyle w:val="19"/>
          <w:rFonts w:eastAsiaTheme="majorEastAsia"/>
          <w:sz w:val="20"/>
          <w:szCs w:val="20"/>
        </w:rPr>
        <w:t>https://www.abc.net.au/news/2006-03-09/uk-restricts-bloody-hell-tourism-ads/814976</w:t>
      </w:r>
      <w:r>
        <w:rPr>
          <w:rStyle w:val="19"/>
          <w:rFonts w:eastAsiaTheme="majorEastAsia"/>
          <w:sz w:val="20"/>
          <w:szCs w:val="20"/>
        </w:rPr>
        <w:fldChar w:fldCharType="end"/>
      </w:r>
    </w:p>
    <w:p w14:paraId="775D40FD">
      <w:pPr>
        <w:pStyle w:val="44"/>
      </w:pPr>
      <w:r>
        <w:t>2. ABC News (2007)</w:t>
      </w:r>
    </w:p>
    <w:p w14:paraId="4F9325C4">
      <w:pPr>
        <w:pStyle w:val="44"/>
      </w:pPr>
      <w:r>
        <w:rPr>
          <w:rStyle w:val="21"/>
        </w:rPr>
        <w:t>“Bloody hell” tourism posters banned in UK</w:t>
      </w:r>
    </w:p>
    <w:p w14:paraId="5B1CB3C8">
      <w:pPr>
        <w:pStyle w:val="44"/>
        <w:rPr>
          <w:rStyle w:val="17"/>
          <w:rFonts w:ascii="Times New Roman" w:hAnsi="Times New Roman" w:cs="Times New Roman" w:eastAsiaTheme="majorEastAsia"/>
        </w:rPr>
      </w:pPr>
      <w:r>
        <w:fldChar w:fldCharType="begin"/>
      </w:r>
      <w:r>
        <w:instrText xml:space="preserve"> HYPERLINK "https://www.abc.net.au/news/2007-03-28/bloody-hell-tourism-posters-banned-in-uk/2228118" </w:instrText>
      </w:r>
      <w:r>
        <w:fldChar w:fldCharType="separate"/>
      </w:r>
      <w:r>
        <w:rPr>
          <w:rStyle w:val="19"/>
          <w:rFonts w:eastAsiaTheme="majorEastAsia"/>
          <w:sz w:val="20"/>
          <w:szCs w:val="20"/>
        </w:rPr>
        <w:t>https://www.abc.net.au/news/2007-03-28/bloody-hell-tourism-posters-banned-in-uk/2228118</w:t>
      </w:r>
      <w:r>
        <w:rPr>
          <w:rStyle w:val="19"/>
          <w:rFonts w:eastAsiaTheme="majorEastAsia"/>
          <w:sz w:val="20"/>
          <w:szCs w:val="20"/>
        </w:rPr>
        <w:fldChar w:fldCharType="end"/>
      </w:r>
    </w:p>
    <w:p w14:paraId="7729E8DA">
      <w:pPr>
        <w:pStyle w:val="44"/>
      </w:pPr>
      <w:r>
        <w:t>3. ABC Radio (2008)</w:t>
      </w:r>
    </w:p>
    <w:p w14:paraId="1DD6F44D">
      <w:pPr>
        <w:pStyle w:val="44"/>
      </w:pPr>
      <w:r>
        <w:rPr>
          <w:rStyle w:val="21"/>
        </w:rPr>
        <w:t>“Bloody Hell” tourism campaign gets the boot</w:t>
      </w:r>
    </w:p>
    <w:p w14:paraId="5A66E040">
      <w:pPr>
        <w:pStyle w:val="44"/>
        <w:rPr>
          <w:rStyle w:val="17"/>
          <w:rFonts w:ascii="Times New Roman" w:hAnsi="Times New Roman" w:cs="Times New Roman" w:eastAsiaTheme="majorEastAsia"/>
        </w:rPr>
      </w:pPr>
      <w:r>
        <w:fldChar w:fldCharType="begin"/>
      </w:r>
      <w:r>
        <w:instrText xml:space="preserve"> HYPERLINK "https://www.abc.net.au/listen/programs/pm/bloody-hell-tourism-campaign-gets-the-boot/1037048" </w:instrText>
      </w:r>
      <w:r>
        <w:fldChar w:fldCharType="separate"/>
      </w:r>
      <w:r>
        <w:rPr>
          <w:rStyle w:val="19"/>
          <w:rFonts w:eastAsiaTheme="majorEastAsia"/>
          <w:sz w:val="20"/>
          <w:szCs w:val="20"/>
        </w:rPr>
        <w:t>https://www.abc.net.au/listen/programs/pm/bloody-hell-tourism-campaign-gets-the-boot/1037048</w:t>
      </w:r>
      <w:r>
        <w:rPr>
          <w:rStyle w:val="19"/>
          <w:rFonts w:eastAsiaTheme="majorEastAsia"/>
          <w:sz w:val="20"/>
          <w:szCs w:val="20"/>
        </w:rPr>
        <w:fldChar w:fldCharType="end"/>
      </w:r>
    </w:p>
    <w:p w14:paraId="37B5CC85">
      <w:pPr>
        <w:pStyle w:val="44"/>
      </w:pPr>
      <w:r>
        <w:t>4. Kotler, Keller &amp; Chernev (2022)</w:t>
      </w:r>
    </w:p>
    <w:p w14:paraId="5473D8EA">
      <w:pPr>
        <w:pStyle w:val="44"/>
      </w:pPr>
      <w:r>
        <w:rPr>
          <w:rStyle w:val="21"/>
        </w:rPr>
        <w:t>Marketing Management, 16th edition</w:t>
      </w:r>
    </w:p>
    <w:p w14:paraId="7B557799">
      <w:pPr>
        <w:pStyle w:val="44"/>
        <w:rPr>
          <w:rStyle w:val="17"/>
          <w:rFonts w:ascii="Times New Roman" w:hAnsi="Times New Roman" w:cs="Times New Roman" w:eastAsiaTheme="majorEastAsia"/>
        </w:rPr>
      </w:pPr>
      <w:r>
        <w:fldChar w:fldCharType="begin"/>
      </w:r>
      <w:r>
        <w:instrText xml:space="preserve"> HYPERLINK "https://www.pearson.com/en-us/subject-catalog/p/marketing-management/P200000005952" </w:instrText>
      </w:r>
      <w:r>
        <w:fldChar w:fldCharType="separate"/>
      </w:r>
      <w:r>
        <w:rPr>
          <w:rStyle w:val="19"/>
          <w:rFonts w:eastAsiaTheme="majorEastAsia"/>
          <w:sz w:val="20"/>
          <w:szCs w:val="20"/>
        </w:rPr>
        <w:t>https://www.pearson.com/en-us/subject-catalog/p/marketing-management/P200000005952</w:t>
      </w:r>
      <w:r>
        <w:rPr>
          <w:rStyle w:val="19"/>
          <w:rFonts w:eastAsiaTheme="majorEastAsia"/>
          <w:sz w:val="20"/>
          <w:szCs w:val="20"/>
        </w:rPr>
        <w:fldChar w:fldCharType="end"/>
      </w:r>
    </w:p>
    <w:p w14:paraId="18DA2CAF">
      <w:pPr>
        <w:pStyle w:val="44"/>
      </w:pPr>
      <w:r>
        <w:t xml:space="preserve">Pearson identifies the 16th edition and the authors as Philip Kotler, Kevin Lane Keller and Alexander Chernev. </w:t>
      </w:r>
    </w:p>
    <w:p w14:paraId="04F0F20C">
      <w:pPr>
        <w:pStyle w:val="44"/>
      </w:pPr>
      <w:r>
        <w:t>5. Pike &amp; Page (2014)</w:t>
      </w:r>
    </w:p>
    <w:p w14:paraId="2A8259E1">
      <w:pPr>
        <w:pStyle w:val="44"/>
      </w:pPr>
      <w:r>
        <w:rPr>
          <w:rStyle w:val="21"/>
        </w:rPr>
        <w:t>Destination Marketing Organizations and destination marketing</w:t>
      </w:r>
    </w:p>
    <w:p w14:paraId="65BEC3F5">
      <w:pPr>
        <w:pStyle w:val="44"/>
        <w:rPr>
          <w:rStyle w:val="17"/>
          <w:rFonts w:ascii="Times New Roman" w:hAnsi="Times New Roman" w:cs="Times New Roman" w:eastAsiaTheme="majorEastAsia"/>
        </w:rPr>
      </w:pPr>
      <w:r>
        <w:fldChar w:fldCharType="begin"/>
      </w:r>
      <w:r>
        <w:instrText xml:space="preserve"> HYPERLINK "https://www.sciencedirect.com/science/article/pii/S0261517713001714" </w:instrText>
      </w:r>
      <w:r>
        <w:fldChar w:fldCharType="separate"/>
      </w:r>
      <w:r>
        <w:rPr>
          <w:rStyle w:val="19"/>
          <w:rFonts w:eastAsiaTheme="majorEastAsia"/>
          <w:sz w:val="20"/>
          <w:szCs w:val="20"/>
        </w:rPr>
        <w:t>https://www.sciencedirect.com/science/article/pii/S0261517713001714</w:t>
      </w:r>
      <w:r>
        <w:rPr>
          <w:rStyle w:val="19"/>
          <w:rFonts w:eastAsiaTheme="majorEastAsia"/>
          <w:sz w:val="20"/>
          <w:szCs w:val="20"/>
        </w:rPr>
        <w:fldChar w:fldCharType="end"/>
      </w:r>
    </w:p>
    <w:p w14:paraId="7F4E9ECF">
      <w:pPr>
        <w:pStyle w:val="44"/>
      </w:pPr>
      <w:r>
        <w:t>6. Qu, Kim &amp; Im (2011)</w:t>
      </w:r>
    </w:p>
    <w:p w14:paraId="062F6D0E">
      <w:pPr>
        <w:pStyle w:val="44"/>
      </w:pPr>
      <w:r>
        <w:rPr>
          <w:rStyle w:val="21"/>
        </w:rPr>
        <w:t>A model of destination branding</w:t>
      </w:r>
    </w:p>
    <w:p w14:paraId="149E5268">
      <w:pPr>
        <w:pStyle w:val="44"/>
      </w:pPr>
      <w:r>
        <w:fldChar w:fldCharType="begin"/>
      </w:r>
      <w:r>
        <w:instrText xml:space="preserve"> HYPERLINK "https://www.sciencedirect.com/science/article/pii/S0261517710000610" </w:instrText>
      </w:r>
      <w:r>
        <w:fldChar w:fldCharType="separate"/>
      </w:r>
      <w:r>
        <w:rPr>
          <w:rStyle w:val="19"/>
          <w:rFonts w:eastAsiaTheme="majorEastAsia"/>
          <w:sz w:val="20"/>
          <w:szCs w:val="20"/>
        </w:rPr>
        <w:t>https://www.sciencedirect.com/science/article/pii/S0261517710000610</w:t>
      </w:r>
      <w:r>
        <w:rPr>
          <w:rStyle w:val="19"/>
          <w:rFonts w:eastAsiaTheme="majorEastAsia"/>
          <w:sz w:val="20"/>
          <w:szCs w:val="20"/>
        </w:rPr>
        <w:fldChar w:fldCharType="end"/>
      </w:r>
    </w:p>
    <w:p w14:paraId="1EC0411C">
      <w:pPr>
        <w:pStyle w:val="44"/>
      </w:pPr>
      <w:r>
        <w:t>7. Šerić &amp; Vernuccio (2020)</w:t>
      </w:r>
    </w:p>
    <w:p w14:paraId="508E9EAC">
      <w:pPr>
        <w:pStyle w:val="44"/>
      </w:pPr>
      <w:r>
        <w:rPr>
          <w:rStyle w:val="21"/>
        </w:rPr>
        <w:t>The impact of IMC consistency and interactivity on city reputation and consumer brand engagement</w:t>
      </w:r>
    </w:p>
    <w:p w14:paraId="0A69FB9D">
      <w:pPr>
        <w:pStyle w:val="44"/>
        <w:rPr>
          <w:rStyle w:val="17"/>
          <w:rFonts w:ascii="Times New Roman" w:hAnsi="Times New Roman" w:cs="Times New Roman" w:eastAsiaTheme="majorEastAsia"/>
        </w:rPr>
      </w:pPr>
      <w:r>
        <w:fldChar w:fldCharType="begin"/>
      </w:r>
      <w:r>
        <w:instrText xml:space="preserve"> HYPERLINK "https://www.tandfonline.com/doi/full/10.1080/13683500.2019.1637403" </w:instrText>
      </w:r>
      <w:r>
        <w:fldChar w:fldCharType="separate"/>
      </w:r>
      <w:r>
        <w:rPr>
          <w:rStyle w:val="19"/>
          <w:rFonts w:eastAsiaTheme="majorEastAsia"/>
          <w:sz w:val="20"/>
          <w:szCs w:val="20"/>
        </w:rPr>
        <w:t>https://www.tandfonline.com/doi/full/10.1080/13683500.2019.1637403</w:t>
      </w:r>
      <w:r>
        <w:rPr>
          <w:rStyle w:val="19"/>
          <w:rFonts w:eastAsiaTheme="majorEastAsia"/>
          <w:sz w:val="20"/>
          <w:szCs w:val="20"/>
        </w:rPr>
        <w:fldChar w:fldCharType="end"/>
      </w:r>
    </w:p>
    <w:p w14:paraId="21F8663A">
      <w:pPr>
        <w:pStyle w:val="44"/>
      </w:pPr>
      <w:r>
        <w:t>8. Tourism New Zealand (2023)</w:t>
      </w:r>
    </w:p>
    <w:p w14:paraId="51768FB1">
      <w:pPr>
        <w:pStyle w:val="44"/>
      </w:pPr>
      <w:r>
        <w:rPr>
          <w:rStyle w:val="21"/>
        </w:rPr>
        <w:t>Annual Report 2022/2023</w:t>
      </w:r>
    </w:p>
    <w:p w14:paraId="4C736439">
      <w:pPr>
        <w:pStyle w:val="44"/>
      </w:pPr>
      <w:r>
        <w:t>The official Tourism New Zealand publications page is:</w:t>
      </w:r>
    </w:p>
    <w:p w14:paraId="01D8C045">
      <w:pPr>
        <w:pStyle w:val="44"/>
        <w:rPr>
          <w:rStyle w:val="17"/>
          <w:rFonts w:ascii="Times New Roman" w:hAnsi="Times New Roman" w:cs="Times New Roman" w:eastAsiaTheme="majorEastAsia"/>
        </w:rPr>
      </w:pPr>
      <w:r>
        <w:fldChar w:fldCharType="begin"/>
      </w:r>
      <w:r>
        <w:instrText xml:space="preserve"> HYPERLINK "https://www.tourismnewzealand.com/about-us/publications/" </w:instrText>
      </w:r>
      <w:r>
        <w:fldChar w:fldCharType="separate"/>
      </w:r>
      <w:r>
        <w:rPr>
          <w:rStyle w:val="19"/>
          <w:rFonts w:eastAsiaTheme="majorEastAsia"/>
          <w:sz w:val="20"/>
          <w:szCs w:val="20"/>
        </w:rPr>
        <w:t>https://www.tourismnewzealand.com/about-us/publications/</w:t>
      </w:r>
      <w:r>
        <w:rPr>
          <w:rStyle w:val="19"/>
          <w:rFonts w:eastAsiaTheme="majorEastAsia"/>
          <w:sz w:val="20"/>
          <w:szCs w:val="20"/>
        </w:rPr>
        <w:fldChar w:fldCharType="end"/>
      </w:r>
    </w:p>
    <w:p w14:paraId="1405698A">
      <w:pPr>
        <w:pStyle w:val="44"/>
      </w:pPr>
      <w:r>
        <w:t>9. Tourism New Zealand (2024)</w:t>
      </w:r>
    </w:p>
    <w:p w14:paraId="2EAE9226">
      <w:pPr>
        <w:pStyle w:val="44"/>
      </w:pPr>
      <w:r>
        <w:rPr>
          <w:rStyle w:val="21"/>
        </w:rPr>
        <w:t>100% Pure New Zealand campaign celebrates 25 years</w:t>
      </w:r>
    </w:p>
    <w:p w14:paraId="73645BA9">
      <w:pPr>
        <w:pStyle w:val="44"/>
        <w:rPr>
          <w:rStyle w:val="17"/>
          <w:rFonts w:ascii="Times New Roman" w:hAnsi="Times New Roman" w:cs="Times New Roman" w:eastAsiaTheme="majorEastAsia"/>
        </w:rPr>
      </w:pPr>
      <w:r>
        <w:fldChar w:fldCharType="begin"/>
      </w:r>
      <w:r>
        <w:instrText xml:space="preserve"> HYPERLINK "https://www.tourismnewzealand.com/news-and-activity/tourism-new-zealands-100-pure-new-zealand-campaign-celebrates-25-years/" </w:instrText>
      </w:r>
      <w:r>
        <w:fldChar w:fldCharType="separate"/>
      </w:r>
      <w:r>
        <w:rPr>
          <w:rStyle w:val="19"/>
          <w:rFonts w:eastAsiaTheme="majorEastAsia"/>
          <w:sz w:val="20"/>
          <w:szCs w:val="20"/>
        </w:rPr>
        <w:t>https://www.tourismnewzealand.com/news-and-activity/tourism-new-zealands-100-pure-new-zealand-campaign-celebrates-25-years/</w:t>
      </w:r>
      <w:r>
        <w:rPr>
          <w:rStyle w:val="19"/>
          <w:rFonts w:eastAsiaTheme="majorEastAsia"/>
          <w:sz w:val="20"/>
          <w:szCs w:val="20"/>
        </w:rPr>
        <w:fldChar w:fldCharType="end"/>
      </w:r>
    </w:p>
    <w:p w14:paraId="26FD1C86">
      <w:pPr>
        <w:pStyle w:val="44"/>
      </w:pPr>
      <w:r>
        <w:t>10. Tourism New Zealand (2025)</w:t>
      </w:r>
    </w:p>
    <w:p w14:paraId="573BFBF2">
      <w:pPr>
        <w:pStyle w:val="44"/>
      </w:pPr>
      <w:r>
        <w:rPr>
          <w:rStyle w:val="21"/>
        </w:rPr>
        <w:t>Annual Report 2024/2025</w:t>
      </w:r>
    </w:p>
    <w:p w14:paraId="333D66C1">
      <w:pPr>
        <w:pStyle w:val="44"/>
        <w:rPr>
          <w:rStyle w:val="17"/>
          <w:rFonts w:ascii="Times New Roman" w:hAnsi="Times New Roman" w:cs="Times New Roman" w:eastAsiaTheme="majorEastAsia"/>
        </w:rPr>
      </w:pPr>
      <w:r>
        <w:fldChar w:fldCharType="begin"/>
      </w:r>
      <w:r>
        <w:instrText xml:space="preserve"> HYPERLINK "https://www.tourismnewzealand.com/assets/about/publications/annuals/TNZ-2024-25-Annual-Report.pdf" </w:instrText>
      </w:r>
      <w:r>
        <w:fldChar w:fldCharType="separate"/>
      </w:r>
      <w:r>
        <w:rPr>
          <w:rStyle w:val="19"/>
          <w:rFonts w:eastAsiaTheme="majorEastAsia"/>
          <w:sz w:val="20"/>
          <w:szCs w:val="20"/>
        </w:rPr>
        <w:t>https://www.tourismnewzealand.com/assets/about/publications/annuals/TNZ-2024-25-Annual-Report.pdf</w:t>
      </w:r>
      <w:r>
        <w:rPr>
          <w:rStyle w:val="19"/>
          <w:rFonts w:eastAsiaTheme="majorEastAsia"/>
          <w:sz w:val="20"/>
          <w:szCs w:val="20"/>
        </w:rPr>
        <w:fldChar w:fldCharType="end"/>
      </w:r>
    </w:p>
    <w:p w14:paraId="559BCCE8">
      <w:pPr>
        <w:pStyle w:val="44"/>
      </w:pPr>
      <w:r>
        <w:t>11. VisitBritain (2025)</w:t>
      </w:r>
    </w:p>
    <w:p w14:paraId="5510D578">
      <w:pPr>
        <w:pStyle w:val="44"/>
      </w:pPr>
      <w:r>
        <w:rPr>
          <w:rStyle w:val="21"/>
        </w:rPr>
        <w:t>Starring GREAT Britain campaign</w:t>
      </w:r>
    </w:p>
    <w:p w14:paraId="01DA39BC">
      <w:pPr>
        <w:pStyle w:val="44"/>
      </w:pPr>
      <w:r>
        <w:t>Use the official VisitBritain annual reporting page:</w:t>
      </w:r>
    </w:p>
    <w:p w14:paraId="2BE58C4F">
      <w:pPr>
        <w:pStyle w:val="44"/>
        <w:rPr>
          <w:rStyle w:val="17"/>
          <w:rFonts w:ascii="Times New Roman" w:hAnsi="Times New Roman" w:cs="Times New Roman" w:eastAsiaTheme="majorEastAsia"/>
        </w:rPr>
      </w:pPr>
      <w:r>
        <w:fldChar w:fldCharType="begin"/>
      </w:r>
      <w:r>
        <w:instrText xml:space="preserve"> HYPERLINK "https://www.visitbritain.org/our-annual-performance-and-reporting" </w:instrText>
      </w:r>
      <w:r>
        <w:fldChar w:fldCharType="separate"/>
      </w:r>
      <w:r>
        <w:rPr>
          <w:rStyle w:val="19"/>
          <w:rFonts w:eastAsiaTheme="majorEastAsia"/>
          <w:sz w:val="20"/>
          <w:szCs w:val="20"/>
        </w:rPr>
        <w:t>https://www.visitbritain.org/our-annual-performance-and-reporting</w:t>
      </w:r>
      <w:r>
        <w:rPr>
          <w:rStyle w:val="19"/>
          <w:rFonts w:eastAsiaTheme="majorEastAsia"/>
          <w:sz w:val="20"/>
          <w:szCs w:val="20"/>
        </w:rPr>
        <w:fldChar w:fldCharType="end"/>
      </w:r>
    </w:p>
    <w:p w14:paraId="7C91E3B0">
      <w:pPr>
        <w:pStyle w:val="44"/>
      </w:pPr>
      <w:r>
        <w:t>12. VisitBritain (2026a)</w:t>
      </w:r>
    </w:p>
    <w:p w14:paraId="03D8E4DB">
      <w:pPr>
        <w:pStyle w:val="44"/>
      </w:pPr>
      <w:r>
        <w:rPr>
          <w:rStyle w:val="21"/>
        </w:rPr>
        <w:t>2026 inbound tourism forecast</w:t>
      </w:r>
    </w:p>
    <w:p w14:paraId="32D05A16">
      <w:pPr>
        <w:pStyle w:val="44"/>
        <w:rPr>
          <w:rStyle w:val="17"/>
          <w:rFonts w:ascii="Times New Roman" w:hAnsi="Times New Roman" w:cs="Times New Roman" w:eastAsiaTheme="majorEastAsia"/>
        </w:rPr>
      </w:pPr>
      <w:r>
        <w:fldChar w:fldCharType="begin"/>
      </w:r>
      <w:r>
        <w:instrText xml:space="preserve"> HYPERLINK "https://www.visitbritain.org/research-insights/inbound-tourism-forecast" </w:instrText>
      </w:r>
      <w:r>
        <w:fldChar w:fldCharType="separate"/>
      </w:r>
      <w:r>
        <w:rPr>
          <w:rStyle w:val="19"/>
          <w:rFonts w:eastAsiaTheme="majorEastAsia"/>
          <w:sz w:val="20"/>
          <w:szCs w:val="20"/>
        </w:rPr>
        <w:t>https://www.visitbritain.org/research-insights/inbound-tourism-forecast</w:t>
      </w:r>
      <w:r>
        <w:rPr>
          <w:rStyle w:val="19"/>
          <w:rFonts w:eastAsiaTheme="majorEastAsia"/>
          <w:sz w:val="20"/>
          <w:szCs w:val="20"/>
        </w:rPr>
        <w:fldChar w:fldCharType="end"/>
      </w:r>
    </w:p>
    <w:p w14:paraId="7E1CBE21">
      <w:pPr>
        <w:pStyle w:val="44"/>
      </w:pPr>
      <w:r>
        <w:t>13. VisitBritain (2026b)</w:t>
      </w:r>
    </w:p>
    <w:p w14:paraId="2FB6E469">
      <w:pPr>
        <w:pStyle w:val="44"/>
      </w:pPr>
      <w:r>
        <w:rPr>
          <w:rStyle w:val="21"/>
        </w:rPr>
        <w:t>Our marketing and campaigns</w:t>
      </w:r>
    </w:p>
    <w:p w14:paraId="166563B1">
      <w:pPr>
        <w:pStyle w:val="44"/>
        <w:rPr>
          <w:rStyle w:val="17"/>
          <w:rFonts w:ascii="Times New Roman" w:hAnsi="Times New Roman" w:cs="Times New Roman" w:eastAsiaTheme="majorEastAsia"/>
        </w:rPr>
      </w:pPr>
      <w:r>
        <w:fldChar w:fldCharType="begin"/>
      </w:r>
      <w:r>
        <w:instrText xml:space="preserve"> HYPERLINK "https://www.visitbritain.org/our-marketing-and-campaigns" </w:instrText>
      </w:r>
      <w:r>
        <w:fldChar w:fldCharType="separate"/>
      </w:r>
      <w:r>
        <w:rPr>
          <w:rStyle w:val="19"/>
          <w:rFonts w:eastAsiaTheme="majorEastAsia"/>
          <w:sz w:val="20"/>
          <w:szCs w:val="20"/>
        </w:rPr>
        <w:t>https://www.visitbritain.org/our-marketing-and-campaigns</w:t>
      </w:r>
      <w:r>
        <w:rPr>
          <w:rStyle w:val="19"/>
          <w:rFonts w:eastAsiaTheme="majorEastAsia"/>
          <w:sz w:val="20"/>
          <w:szCs w:val="20"/>
        </w:rPr>
        <w:fldChar w:fldCharType="end"/>
      </w:r>
    </w:p>
    <w:p w14:paraId="4AAE4515">
      <w:pPr>
        <w:pStyle w:val="44"/>
      </w:pPr>
      <w:r>
        <w:t>14. VisitBritain (2026c)</w:t>
      </w:r>
    </w:p>
    <w:p w14:paraId="1A9D10EC">
      <w:pPr>
        <w:pStyle w:val="44"/>
      </w:pPr>
      <w:r>
        <w:rPr>
          <w:rStyle w:val="21"/>
        </w:rPr>
        <w:t>Germany: Inbound market insights</w:t>
      </w:r>
    </w:p>
    <w:p w14:paraId="169EDC7E">
      <w:pPr>
        <w:pStyle w:val="44"/>
        <w:rPr>
          <w:rStyle w:val="17"/>
          <w:rFonts w:ascii="Times New Roman" w:hAnsi="Times New Roman" w:cs="Times New Roman" w:eastAsiaTheme="majorEastAsia"/>
        </w:rPr>
      </w:pPr>
      <w:r>
        <w:fldChar w:fldCharType="begin"/>
      </w:r>
      <w:r>
        <w:instrText xml:space="preserve"> HYPERLINK "https://www.visitbritain.org/research-insights/inbound-markets/germany" </w:instrText>
      </w:r>
      <w:r>
        <w:fldChar w:fldCharType="separate"/>
      </w:r>
      <w:r>
        <w:rPr>
          <w:rStyle w:val="19"/>
          <w:rFonts w:eastAsiaTheme="majorEastAsia"/>
          <w:sz w:val="20"/>
          <w:szCs w:val="20"/>
        </w:rPr>
        <w:t>https://www.visitbritain.org/research-insights/inbound-markets/germany</w:t>
      </w:r>
      <w:r>
        <w:rPr>
          <w:rStyle w:val="19"/>
          <w:rFonts w:eastAsiaTheme="majorEastAsia"/>
          <w:sz w:val="20"/>
          <w:szCs w:val="20"/>
        </w:rPr>
        <w:fldChar w:fldCharType="end"/>
      </w:r>
    </w:p>
    <w:p w14:paraId="677D8E6F">
      <w:pPr>
        <w:pStyle w:val="44"/>
      </w:pPr>
      <w:r>
        <w:t>15. VisitBritain (2026d)</w:t>
      </w:r>
    </w:p>
    <w:p w14:paraId="56CE2F29">
      <w:pPr>
        <w:pStyle w:val="44"/>
      </w:pPr>
      <w:r>
        <w:rPr>
          <w:rStyle w:val="21"/>
        </w:rPr>
        <w:t>France: Inbound market insights</w:t>
      </w:r>
    </w:p>
    <w:p w14:paraId="3EF414E2">
      <w:pPr>
        <w:pStyle w:val="44"/>
        <w:rPr>
          <w:rStyle w:val="17"/>
          <w:rFonts w:ascii="Times New Roman" w:hAnsi="Times New Roman" w:cs="Times New Roman" w:eastAsiaTheme="majorEastAsia"/>
        </w:rPr>
      </w:pPr>
      <w:r>
        <w:fldChar w:fldCharType="begin"/>
      </w:r>
      <w:r>
        <w:instrText xml:space="preserve"> HYPERLINK "https://www.visitbritain.org/research-insights/inbound-markets/france" </w:instrText>
      </w:r>
      <w:r>
        <w:fldChar w:fldCharType="separate"/>
      </w:r>
      <w:r>
        <w:rPr>
          <w:rStyle w:val="19"/>
          <w:rFonts w:eastAsiaTheme="majorEastAsia"/>
          <w:sz w:val="20"/>
          <w:szCs w:val="20"/>
        </w:rPr>
        <w:t>https://www.visitbritain.org/research-insights/inbound-markets/france</w:t>
      </w:r>
      <w:r>
        <w:rPr>
          <w:rStyle w:val="19"/>
          <w:rFonts w:eastAsiaTheme="majorEastAsia"/>
          <w:sz w:val="20"/>
          <w:szCs w:val="20"/>
        </w:rPr>
        <w:fldChar w:fldCharType="end"/>
      </w:r>
    </w:p>
    <w:p w14:paraId="34D1E58A">
      <w:pPr>
        <w:pStyle w:val="44"/>
      </w:pPr>
      <w:r>
        <w:t>16. VisitBritain (2026e)</w:t>
      </w:r>
    </w:p>
    <w:p w14:paraId="735FA4E3">
      <w:pPr>
        <w:pStyle w:val="44"/>
      </w:pPr>
      <w:r>
        <w:rPr>
          <w:rStyle w:val="21"/>
        </w:rPr>
        <w:t>United States of America: Inbound market insights</w:t>
      </w:r>
    </w:p>
    <w:p w14:paraId="37459CCA">
      <w:pPr>
        <w:pStyle w:val="44"/>
        <w:rPr>
          <w:rStyle w:val="17"/>
          <w:rFonts w:ascii="Times New Roman" w:hAnsi="Times New Roman" w:cs="Times New Roman" w:eastAsiaTheme="majorEastAsia"/>
        </w:rPr>
      </w:pPr>
      <w:r>
        <w:fldChar w:fldCharType="begin"/>
      </w:r>
      <w:r>
        <w:instrText xml:space="preserve"> HYPERLINK "https://www.visitbritain.org/research-insights/inbound-markets/united-states-america-usa" </w:instrText>
      </w:r>
      <w:r>
        <w:fldChar w:fldCharType="separate"/>
      </w:r>
      <w:r>
        <w:rPr>
          <w:rStyle w:val="19"/>
          <w:rFonts w:eastAsiaTheme="majorEastAsia"/>
          <w:sz w:val="20"/>
          <w:szCs w:val="20"/>
        </w:rPr>
        <w:t>https://www.visitbritain.org/research-insights/inbound-markets/united-states-america-usa</w:t>
      </w:r>
      <w:r>
        <w:rPr>
          <w:rStyle w:val="19"/>
          <w:rFonts w:eastAsiaTheme="majorEastAsia"/>
          <w:sz w:val="20"/>
          <w:szCs w:val="20"/>
        </w:rPr>
        <w:fldChar w:fldCharType="end"/>
      </w:r>
    </w:p>
    <w:p w14:paraId="049CC2AF">
      <w:pPr>
        <w:pStyle w:val="44"/>
      </w:pPr>
      <w:r>
        <w:t>17. VisitBritain (2026f)</w:t>
      </w:r>
    </w:p>
    <w:p w14:paraId="0CE56A20">
      <w:pPr>
        <w:pStyle w:val="44"/>
      </w:pPr>
      <w:r>
        <w:rPr>
          <w:rStyle w:val="21"/>
        </w:rPr>
        <w:t>Inbound visits and spend: Annual, UK</w:t>
      </w:r>
    </w:p>
    <w:p w14:paraId="1029823D">
      <w:pPr>
        <w:pStyle w:val="44"/>
        <w:rPr>
          <w:rStyle w:val="17"/>
          <w:rFonts w:ascii="Times New Roman" w:hAnsi="Times New Roman" w:cs="Times New Roman" w:eastAsiaTheme="majorEastAsia"/>
        </w:rPr>
      </w:pPr>
      <w:r>
        <w:fldChar w:fldCharType="begin"/>
      </w:r>
      <w:r>
        <w:instrText xml:space="preserve"> HYPERLINK "https://www.visitbritain.org/research-insights/inbound-visits-and-spend-annual-uk" </w:instrText>
      </w:r>
      <w:r>
        <w:fldChar w:fldCharType="separate"/>
      </w:r>
      <w:r>
        <w:rPr>
          <w:rStyle w:val="19"/>
        </w:rPr>
        <w:t>https://www.visitbritain.org/research-insights/inbound-visits-and-spend-annual-uk</w:t>
      </w:r>
      <w:r>
        <w:rPr>
          <w:rStyle w:val="19"/>
        </w:rPr>
        <w:fldChar w:fldCharType="end"/>
      </w:r>
    </w:p>
    <w:p w14:paraId="77A370F4">
      <w:pPr>
        <w:pStyle w:val="18"/>
      </w:pPr>
    </w:p>
    <w:p w14:paraId="237617C8">
      <w:pPr>
        <w:pStyle w:val="42"/>
      </w:pPr>
      <w:r>
        <w:t>Appendices</w:t>
      </w:r>
    </w:p>
    <w:p w14:paraId="719E85FA">
      <w:pPr>
        <w:pStyle w:val="44"/>
        <w:rPr>
          <w:b/>
          <w:bCs/>
          <w:sz w:val="36"/>
          <w:szCs w:val="36"/>
        </w:rPr>
      </w:pPr>
      <w:r>
        <w:rPr>
          <w:b/>
          <w:bCs/>
          <w:sz w:val="36"/>
          <w:szCs w:val="36"/>
        </w:rPr>
        <w:t>Appendix A Company Comparison</w:t>
      </w:r>
    </w:p>
    <w:tbl>
      <w:tblPr>
        <w:tblStyle w:val="12"/>
        <w:tblW w:w="0" w:type="auto"/>
        <w:tblCellSpacing w:w="15" w:type="dxa"/>
        <w:tblInd w:w="0" w:type="dxa"/>
        <w:tblLayout w:type="autofit"/>
        <w:tblCellMar>
          <w:top w:w="15" w:type="dxa"/>
          <w:left w:w="15" w:type="dxa"/>
          <w:bottom w:w="15" w:type="dxa"/>
          <w:right w:w="15" w:type="dxa"/>
        </w:tblCellMar>
      </w:tblPr>
      <w:tblGrid>
        <w:gridCol w:w="1710"/>
        <w:gridCol w:w="2557"/>
        <w:gridCol w:w="2618"/>
        <w:gridCol w:w="2565"/>
      </w:tblGrid>
      <w:tr w14:paraId="3D277145">
        <w:tblPrEx>
          <w:tblCellMar>
            <w:top w:w="15" w:type="dxa"/>
            <w:left w:w="15" w:type="dxa"/>
            <w:bottom w:w="15" w:type="dxa"/>
            <w:right w:w="15" w:type="dxa"/>
          </w:tblCellMar>
        </w:tblPrEx>
        <w:trPr>
          <w:tblHeader/>
          <w:tblCellSpacing w:w="15" w:type="dxa"/>
        </w:trPr>
        <w:tc>
          <w:tcPr>
            <w:tcW w:w="0" w:type="auto"/>
            <w:vAlign w:val="center"/>
          </w:tcPr>
          <w:p w14:paraId="4A3E6889">
            <w:pPr>
              <w:pStyle w:val="44"/>
              <w:rPr>
                <w:b/>
                <w:bCs/>
              </w:rPr>
            </w:pPr>
            <w:r>
              <w:rPr>
                <w:b/>
                <w:bCs/>
              </w:rPr>
              <w:t>Organisation</w:t>
            </w:r>
          </w:p>
        </w:tc>
        <w:tc>
          <w:tcPr>
            <w:tcW w:w="0" w:type="auto"/>
            <w:vAlign w:val="center"/>
          </w:tcPr>
          <w:p w14:paraId="573D19F3">
            <w:pPr>
              <w:pStyle w:val="44"/>
              <w:rPr>
                <w:b/>
                <w:bCs/>
              </w:rPr>
            </w:pPr>
            <w:r>
              <w:rPr>
                <w:b/>
                <w:bCs/>
              </w:rPr>
              <w:t>Commercial approach</w:t>
            </w:r>
          </w:p>
        </w:tc>
        <w:tc>
          <w:tcPr>
            <w:tcW w:w="0" w:type="auto"/>
            <w:vAlign w:val="center"/>
          </w:tcPr>
          <w:p w14:paraId="5E19525F">
            <w:pPr>
              <w:pStyle w:val="44"/>
              <w:rPr>
                <w:b/>
                <w:bCs/>
              </w:rPr>
            </w:pPr>
            <w:r>
              <w:rPr>
                <w:b/>
                <w:bCs/>
              </w:rPr>
              <w:t>Marketing and customer value</w:t>
            </w:r>
          </w:p>
        </w:tc>
        <w:tc>
          <w:tcPr>
            <w:tcW w:w="0" w:type="auto"/>
            <w:vAlign w:val="center"/>
          </w:tcPr>
          <w:p w14:paraId="0C79F137">
            <w:pPr>
              <w:pStyle w:val="44"/>
              <w:rPr>
                <w:b/>
                <w:bCs/>
              </w:rPr>
            </w:pPr>
            <w:r>
              <w:rPr>
                <w:b/>
                <w:bCs/>
              </w:rPr>
              <w:t>Main risk</w:t>
            </w:r>
          </w:p>
        </w:tc>
      </w:tr>
      <w:tr w14:paraId="5E01F3C9">
        <w:tblPrEx>
          <w:tblCellMar>
            <w:top w:w="15" w:type="dxa"/>
            <w:left w:w="15" w:type="dxa"/>
            <w:bottom w:w="15" w:type="dxa"/>
            <w:right w:w="15" w:type="dxa"/>
          </w:tblCellMar>
        </w:tblPrEx>
        <w:trPr>
          <w:tblCellSpacing w:w="15" w:type="dxa"/>
        </w:trPr>
        <w:tc>
          <w:tcPr>
            <w:tcW w:w="0" w:type="auto"/>
            <w:vAlign w:val="center"/>
          </w:tcPr>
          <w:p w14:paraId="2D3136F0">
            <w:pPr>
              <w:pStyle w:val="44"/>
            </w:pPr>
            <w:r>
              <w:rPr>
                <w:b/>
                <w:bCs/>
              </w:rPr>
              <w:t>Apple</w:t>
            </w:r>
          </w:p>
        </w:tc>
        <w:tc>
          <w:tcPr>
            <w:tcW w:w="0" w:type="auto"/>
            <w:vAlign w:val="center"/>
          </w:tcPr>
          <w:p w14:paraId="54156AFB">
            <w:pPr>
              <w:pStyle w:val="44"/>
            </w:pPr>
            <w:r>
              <w:t>Premium pricing and ecosystem growth</w:t>
            </w:r>
          </w:p>
        </w:tc>
        <w:tc>
          <w:tcPr>
            <w:tcW w:w="0" w:type="auto"/>
            <w:vAlign w:val="center"/>
          </w:tcPr>
          <w:p w14:paraId="54B5F833">
            <w:pPr>
              <w:pStyle w:val="44"/>
            </w:pPr>
            <w:r>
              <w:t>Design, integration, brand reputation and services</w:t>
            </w:r>
          </w:p>
        </w:tc>
        <w:tc>
          <w:tcPr>
            <w:tcW w:w="0" w:type="auto"/>
            <w:vAlign w:val="center"/>
          </w:tcPr>
          <w:p w14:paraId="63FF8E46">
            <w:pPr>
              <w:pStyle w:val="44"/>
            </w:pPr>
            <w:r>
              <w:t>Premium value requires continuous innovation</w:t>
            </w:r>
          </w:p>
        </w:tc>
      </w:tr>
      <w:tr w14:paraId="340CE69E">
        <w:tblPrEx>
          <w:tblCellMar>
            <w:top w:w="15" w:type="dxa"/>
            <w:left w:w="15" w:type="dxa"/>
            <w:bottom w:w="15" w:type="dxa"/>
            <w:right w:w="15" w:type="dxa"/>
          </w:tblCellMar>
        </w:tblPrEx>
        <w:trPr>
          <w:tblCellSpacing w:w="15" w:type="dxa"/>
        </w:trPr>
        <w:tc>
          <w:tcPr>
            <w:tcW w:w="0" w:type="auto"/>
            <w:vAlign w:val="center"/>
          </w:tcPr>
          <w:p w14:paraId="0BF2567E">
            <w:pPr>
              <w:pStyle w:val="44"/>
            </w:pPr>
            <w:r>
              <w:rPr>
                <w:b/>
                <w:bCs/>
              </w:rPr>
              <w:t>Tesco</w:t>
            </w:r>
          </w:p>
        </w:tc>
        <w:tc>
          <w:tcPr>
            <w:tcW w:w="0" w:type="auto"/>
            <w:vAlign w:val="center"/>
          </w:tcPr>
          <w:p w14:paraId="6AECC589">
            <w:pPr>
              <w:pStyle w:val="44"/>
            </w:pPr>
            <w:r>
              <w:t>Competitive value, large-scale operations and digital retail</w:t>
            </w:r>
          </w:p>
        </w:tc>
        <w:tc>
          <w:tcPr>
            <w:tcW w:w="0" w:type="auto"/>
            <w:vAlign w:val="center"/>
          </w:tcPr>
          <w:p w14:paraId="18630797">
            <w:pPr>
              <w:pStyle w:val="44"/>
            </w:pPr>
            <w:r>
              <w:t>Clubcard, convenience and personalised offers</w:t>
            </w:r>
          </w:p>
        </w:tc>
        <w:tc>
          <w:tcPr>
            <w:tcW w:w="0" w:type="auto"/>
            <w:vAlign w:val="center"/>
          </w:tcPr>
          <w:p w14:paraId="2A26F836">
            <w:pPr>
              <w:pStyle w:val="44"/>
            </w:pPr>
            <w:r>
              <w:t>Price competition and concerns about customer-data privacy</w:t>
            </w:r>
          </w:p>
        </w:tc>
      </w:tr>
      <w:tr w14:paraId="41261AD4">
        <w:tblPrEx>
          <w:tblCellMar>
            <w:top w:w="15" w:type="dxa"/>
            <w:left w:w="15" w:type="dxa"/>
            <w:bottom w:w="15" w:type="dxa"/>
            <w:right w:w="15" w:type="dxa"/>
          </w:tblCellMar>
        </w:tblPrEx>
        <w:trPr>
          <w:tblCellSpacing w:w="15" w:type="dxa"/>
        </w:trPr>
        <w:tc>
          <w:tcPr>
            <w:tcW w:w="0" w:type="auto"/>
            <w:vAlign w:val="center"/>
          </w:tcPr>
          <w:p w14:paraId="6DF7FB4F">
            <w:pPr>
              <w:pStyle w:val="44"/>
            </w:pPr>
            <w:r>
              <w:rPr>
                <w:b/>
                <w:bCs/>
              </w:rPr>
              <w:t>Marriott International</w:t>
            </w:r>
          </w:p>
        </w:tc>
        <w:tc>
          <w:tcPr>
            <w:tcW w:w="0" w:type="auto"/>
            <w:vAlign w:val="center"/>
          </w:tcPr>
          <w:p w14:paraId="5D710394">
            <w:pPr>
              <w:pStyle w:val="44"/>
            </w:pPr>
            <w:r>
              <w:t>Franchising, management fees and revenue management</w:t>
            </w:r>
          </w:p>
        </w:tc>
        <w:tc>
          <w:tcPr>
            <w:tcW w:w="0" w:type="auto"/>
            <w:vAlign w:val="center"/>
          </w:tcPr>
          <w:p w14:paraId="53A32499">
            <w:pPr>
              <w:pStyle w:val="44"/>
            </w:pPr>
            <w:r>
              <w:t>Brand portfolio, Marriott Bonvoy and direct booking channels</w:t>
            </w:r>
          </w:p>
        </w:tc>
        <w:tc>
          <w:tcPr>
            <w:tcW w:w="0" w:type="auto"/>
            <w:vAlign w:val="center"/>
          </w:tcPr>
          <w:p w14:paraId="34BFE7A3">
            <w:pPr>
              <w:pStyle w:val="44"/>
            </w:pPr>
            <w:r>
              <w:t>Maintaining consistent service across third-party properties</w:t>
            </w:r>
          </w:p>
        </w:tc>
      </w:tr>
    </w:tbl>
    <w:p w14:paraId="5663B731">
      <w:pPr>
        <w:pStyle w:val="44"/>
      </w:pPr>
    </w:p>
    <w:p w14:paraId="0C60A891">
      <w:pPr>
        <w:pStyle w:val="44"/>
        <w:rPr>
          <w:sz w:val="36"/>
          <w:szCs w:val="36"/>
        </w:rPr>
      </w:pPr>
      <w:r>
        <w:rPr>
          <w:b/>
          <w:bCs/>
          <w:sz w:val="36"/>
          <w:szCs w:val="36"/>
        </w:rPr>
        <w:t>Appendix B Key Commercial Measures</w:t>
      </w:r>
    </w:p>
    <w:p w14:paraId="732F8549">
      <w:pPr>
        <w:pStyle w:val="44"/>
      </w:pPr>
      <w:r>
        <w:rPr>
          <w:b/>
          <w:bCs/>
        </w:rPr>
        <w:t xml:space="preserve">Sales revenue: </w:t>
      </w:r>
      <w:r>
        <w:t>Total income earned from sales before costs are deducted.</w:t>
      </w:r>
    </w:p>
    <w:p w14:paraId="01192DB8">
      <w:pPr>
        <w:pStyle w:val="44"/>
      </w:pPr>
      <w:r>
        <w:rPr>
          <w:b/>
          <w:bCs/>
        </w:rPr>
        <w:t xml:space="preserve">Gross margin: </w:t>
      </w:r>
      <w:r>
        <w:t>Revenue remaining after direct cost of sales is deducted.</w:t>
      </w:r>
    </w:p>
    <w:p w14:paraId="3DFBAA69">
      <w:pPr>
        <w:pStyle w:val="44"/>
      </w:pPr>
      <w:r>
        <w:rPr>
          <w:b/>
          <w:bCs/>
        </w:rPr>
        <w:t xml:space="preserve">Customer acquisition cost: </w:t>
      </w:r>
      <w:r>
        <w:t>Average sales and marketing cost required to gain one new customer.</w:t>
      </w:r>
    </w:p>
    <w:p w14:paraId="7AC54B52">
      <w:pPr>
        <w:pStyle w:val="44"/>
      </w:pPr>
      <w:r>
        <w:rPr>
          <w:b/>
          <w:bCs/>
        </w:rPr>
        <w:t xml:space="preserve">Conversion rate: </w:t>
      </w:r>
      <w:r>
        <w:t>Percentage of potential customers who complete the required action or purchase.</w:t>
      </w:r>
    </w:p>
    <w:p w14:paraId="7DE77189">
      <w:pPr>
        <w:pStyle w:val="44"/>
      </w:pPr>
      <w:r>
        <w:rPr>
          <w:b/>
          <w:bCs/>
        </w:rPr>
        <w:t xml:space="preserve">Customer retention: </w:t>
      </w:r>
      <w:r>
        <w:t>Ability of the organisation to keep customers over time.</w:t>
      </w:r>
    </w:p>
    <w:p w14:paraId="32FB9293">
      <w:pPr>
        <w:pStyle w:val="44"/>
      </w:pPr>
      <w:r>
        <w:rPr>
          <w:b/>
          <w:bCs/>
        </w:rPr>
        <w:t xml:space="preserve">Average order value: </w:t>
      </w:r>
      <w:r>
        <w:t>Average amount spent in one transaction.</w:t>
      </w:r>
    </w:p>
    <w:p w14:paraId="7832EA57">
      <w:pPr>
        <w:pStyle w:val="44"/>
      </w:pPr>
      <w:r>
        <w:rPr>
          <w:b/>
          <w:bCs/>
        </w:rPr>
        <w:t xml:space="preserve">Customer lifetime value: </w:t>
      </w:r>
      <w:r>
        <w:t>Estimated financial value created during the customer's relationship with the organisation.</w:t>
      </w:r>
    </w:p>
    <w:p w14:paraId="5454FCBF">
      <w:pPr>
        <w:pStyle w:val="44"/>
      </w:pPr>
      <w:r>
        <w:rPr>
          <w:b/>
          <w:bCs/>
        </w:rPr>
        <w:t xml:space="preserve">Return on marketing investment: </w:t>
      </w:r>
      <w:r>
        <w:t>Financial result of marketing activity compared with its cost.</w:t>
      </w:r>
    </w:p>
    <w:p w14:paraId="6903274F">
      <w:pPr>
        <w:pStyle w:val="44"/>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78782B"/>
    <w:multiLevelType w:val="multilevel"/>
    <w:tmpl w:val="1B78782B"/>
    <w:lvl w:ilvl="0" w:tentative="0">
      <w:start w:val="1"/>
      <w:numFmt w:val="decimal"/>
      <w:lvlText w:val="%1."/>
      <w:lvlJc w:val="left"/>
      <w:pPr>
        <w:ind w:left="780" w:hanging="4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BC6"/>
    <w:rsid w:val="000967B5"/>
    <w:rsid w:val="000E0BC6"/>
    <w:rsid w:val="001D234F"/>
    <w:rsid w:val="00230081"/>
    <w:rsid w:val="002B57C5"/>
    <w:rsid w:val="004B51BB"/>
    <w:rsid w:val="004E4B46"/>
    <w:rsid w:val="00535C3B"/>
    <w:rsid w:val="00586962"/>
    <w:rsid w:val="00732D2F"/>
    <w:rsid w:val="008E25CB"/>
    <w:rsid w:val="009F38B6"/>
    <w:rsid w:val="00A53D25"/>
    <w:rsid w:val="00AB7EF5"/>
    <w:rsid w:val="00AF503A"/>
    <w:rsid w:val="00CE53E6"/>
    <w:rsid w:val="00D9432D"/>
    <w:rsid w:val="00DA5134"/>
    <w:rsid w:val="00EC3ED7"/>
    <w:rsid w:val="48DA250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24"/>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25"/>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7"/>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9"/>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0"/>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2"/>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FollowedHyperlink"/>
    <w:basedOn w:val="11"/>
    <w:semiHidden/>
    <w:unhideWhenUsed/>
    <w:uiPriority w:val="99"/>
    <w:rPr>
      <w:color w:val="96607D" w:themeColor="followedHyperlink"/>
      <w:u w:val="single"/>
      <w14:textFill>
        <w14:solidFill>
          <w14:schemeClr w14:val="folHlink"/>
        </w14:solidFill>
      </w14:textFill>
    </w:rPr>
  </w:style>
  <w:style w:type="paragraph" w:styleId="15">
    <w:name w:val="footer"/>
    <w:basedOn w:val="1"/>
    <w:link w:val="49"/>
    <w:unhideWhenUsed/>
    <w:uiPriority w:val="99"/>
    <w:pPr>
      <w:tabs>
        <w:tab w:val="center" w:pos="4680"/>
        <w:tab w:val="right" w:pos="9360"/>
      </w:tabs>
      <w:spacing w:after="0" w:line="240" w:lineRule="auto"/>
    </w:pPr>
  </w:style>
  <w:style w:type="paragraph" w:styleId="16">
    <w:name w:val="header"/>
    <w:basedOn w:val="1"/>
    <w:link w:val="48"/>
    <w:unhideWhenUsed/>
    <w:uiPriority w:val="99"/>
    <w:pPr>
      <w:tabs>
        <w:tab w:val="center" w:pos="4680"/>
        <w:tab w:val="right" w:pos="9360"/>
      </w:tabs>
      <w:spacing w:after="0" w:line="240" w:lineRule="auto"/>
    </w:pPr>
  </w:style>
  <w:style w:type="character" w:styleId="17">
    <w:name w:val="HTML Code"/>
    <w:basedOn w:val="11"/>
    <w:semiHidden/>
    <w:unhideWhenUsed/>
    <w:uiPriority w:val="99"/>
    <w:rPr>
      <w:rFonts w:ascii="Courier New" w:hAnsi="Courier New" w:eastAsia="Times New Roman" w:cs="Courier New"/>
      <w:sz w:val="20"/>
      <w:szCs w:val="20"/>
    </w:rPr>
  </w:style>
  <w:style w:type="paragraph" w:styleId="18">
    <w:name w:val="HTML Preformatted"/>
    <w:basedOn w:val="1"/>
    <w:link w:val="46"/>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kern w:val="0"/>
      <w:sz w:val="20"/>
      <w:szCs w:val="20"/>
      <w:lang w:eastAsia="en-GB" w:bidi="ar-SA"/>
      <w14:ligatures w14:val="none"/>
    </w:rPr>
  </w:style>
  <w:style w:type="character" w:styleId="19">
    <w:name w:val="Hyperlink"/>
    <w:basedOn w:val="11"/>
    <w:unhideWhenUsed/>
    <w:uiPriority w:val="99"/>
    <w:rPr>
      <w:color w:val="0000FF"/>
      <w:u w:val="single"/>
    </w:rPr>
  </w:style>
  <w:style w:type="paragraph" w:styleId="2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Cs w:val="24"/>
      <w:lang w:eastAsia="en-GB" w:bidi="ar-SA"/>
      <w14:ligatures w14:val="none"/>
    </w:rPr>
  </w:style>
  <w:style w:type="character" w:styleId="21">
    <w:name w:val="Strong"/>
    <w:basedOn w:val="11"/>
    <w:qFormat/>
    <w:uiPriority w:val="22"/>
    <w:rPr>
      <w:b/>
      <w:bCs/>
    </w:rPr>
  </w:style>
  <w:style w:type="paragraph" w:styleId="22">
    <w:name w:val="Subtitle"/>
    <w:basedOn w:val="1"/>
    <w:next w:val="1"/>
    <w:link w:val="34"/>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23">
    <w:name w:val="Title"/>
    <w:basedOn w:val="1"/>
    <w:next w:val="1"/>
    <w:link w:val="33"/>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24">
    <w:name w:val="Heading 1 Char"/>
    <w:basedOn w:val="11"/>
    <w:link w:val="2"/>
    <w:qFormat/>
    <w:uiPriority w:val="9"/>
    <w:rPr>
      <w:rFonts w:asciiTheme="majorHAnsi" w:hAnsiTheme="majorHAnsi" w:eastAsiaTheme="majorEastAsia" w:cstheme="majorBidi"/>
      <w:color w:val="104862" w:themeColor="accent1" w:themeShade="BF"/>
      <w:sz w:val="40"/>
      <w:szCs w:val="50"/>
    </w:rPr>
  </w:style>
  <w:style w:type="character" w:customStyle="1" w:styleId="25">
    <w:name w:val="Heading 2 Char"/>
    <w:basedOn w:val="11"/>
    <w:link w:val="3"/>
    <w:qFormat/>
    <w:uiPriority w:val="9"/>
    <w:rPr>
      <w:rFonts w:asciiTheme="majorHAnsi" w:hAnsiTheme="majorHAnsi" w:eastAsiaTheme="majorEastAsia" w:cstheme="majorBidi"/>
      <w:color w:val="104862" w:themeColor="accent1" w:themeShade="BF"/>
      <w:sz w:val="32"/>
      <w:szCs w:val="40"/>
    </w:rPr>
  </w:style>
  <w:style w:type="character" w:customStyle="1" w:styleId="26">
    <w:name w:val="Heading 3 Char"/>
    <w:basedOn w:val="11"/>
    <w:link w:val="4"/>
    <w:semiHidden/>
    <w:qFormat/>
    <w:uiPriority w:val="9"/>
    <w:rPr>
      <w:rFonts w:eastAsiaTheme="majorEastAsia" w:cstheme="majorBidi"/>
      <w:color w:val="104862" w:themeColor="accent1" w:themeShade="BF"/>
      <w:sz w:val="28"/>
      <w:szCs w:val="35"/>
    </w:rPr>
  </w:style>
  <w:style w:type="character" w:customStyle="1" w:styleId="27">
    <w:name w:val="Heading 4 Char"/>
    <w:basedOn w:val="11"/>
    <w:link w:val="5"/>
    <w:semiHidden/>
    <w:qFormat/>
    <w:uiPriority w:val="9"/>
    <w:rPr>
      <w:rFonts w:eastAsiaTheme="majorEastAsia" w:cstheme="majorBidi"/>
      <w:i/>
      <w:iCs/>
      <w:color w:val="104862" w:themeColor="accent1" w:themeShade="BF"/>
    </w:rPr>
  </w:style>
  <w:style w:type="character" w:customStyle="1" w:styleId="28">
    <w:name w:val="Heading 5 Char"/>
    <w:basedOn w:val="11"/>
    <w:link w:val="6"/>
    <w:semiHidden/>
    <w:qFormat/>
    <w:uiPriority w:val="9"/>
    <w:rPr>
      <w:rFonts w:eastAsiaTheme="majorEastAsia" w:cstheme="majorBidi"/>
      <w:color w:val="104862" w:themeColor="accent1" w:themeShade="BF"/>
    </w:rPr>
  </w:style>
  <w:style w:type="character" w:customStyle="1" w:styleId="29">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0">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2">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3">
    <w:name w:val="Title Char"/>
    <w:basedOn w:val="11"/>
    <w:link w:val="23"/>
    <w:qFormat/>
    <w:uiPriority w:val="10"/>
    <w:rPr>
      <w:rFonts w:asciiTheme="majorHAnsi" w:hAnsiTheme="majorHAnsi" w:eastAsiaTheme="majorEastAsia" w:cstheme="majorBidi"/>
      <w:spacing w:val="-10"/>
      <w:kern w:val="28"/>
      <w:sz w:val="56"/>
      <w:szCs w:val="71"/>
    </w:rPr>
  </w:style>
  <w:style w:type="character" w:customStyle="1" w:styleId="34">
    <w:name w:val="Subtitle Char"/>
    <w:basedOn w:val="11"/>
    <w:link w:val="22"/>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Quote Char"/>
    <w:basedOn w:val="1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Intense Quote Char"/>
    <w:basedOn w:val="11"/>
    <w:link w:val="39"/>
    <w:uiPriority w:val="30"/>
    <w:rPr>
      <w:i/>
      <w:iCs/>
      <w:color w:val="104862" w:themeColor="accent1" w:themeShade="BF"/>
    </w:rPr>
  </w:style>
  <w:style w:type="character" w:customStyle="1" w:styleId="41">
    <w:name w:val="Intense Reference"/>
    <w:basedOn w:val="11"/>
    <w:qFormat/>
    <w:uiPriority w:val="32"/>
    <w:rPr>
      <w:b/>
      <w:bCs/>
      <w:smallCaps/>
      <w:color w:val="104862" w:themeColor="accent1" w:themeShade="BF"/>
      <w:spacing w:val="5"/>
    </w:rPr>
  </w:style>
  <w:style w:type="paragraph" w:customStyle="1" w:styleId="42">
    <w:name w:val="Heading"/>
    <w:basedOn w:val="1"/>
    <w:qFormat/>
    <w:uiPriority w:val="0"/>
    <w:rPr>
      <w:rFonts w:ascii="Times New Roman" w:hAnsi="Times New Roman" w:cs="Times New Roman"/>
      <w:b/>
      <w:bCs/>
      <w:sz w:val="44"/>
      <w:szCs w:val="44"/>
    </w:rPr>
  </w:style>
  <w:style w:type="paragraph" w:customStyle="1" w:styleId="43">
    <w:name w:val="sub-heading"/>
    <w:basedOn w:val="1"/>
    <w:qFormat/>
    <w:uiPriority w:val="0"/>
    <w:rPr>
      <w:rFonts w:ascii="Times New Roman" w:hAnsi="Times New Roman" w:cs="Times New Roman"/>
      <w:b/>
      <w:bCs/>
      <w:sz w:val="36"/>
      <w:szCs w:val="36"/>
    </w:rPr>
  </w:style>
  <w:style w:type="paragraph" w:customStyle="1" w:styleId="44">
    <w:name w:val="content"/>
    <w:basedOn w:val="1"/>
    <w:qFormat/>
    <w:uiPriority w:val="0"/>
    <w:rPr>
      <w:rFonts w:ascii="Times New Roman" w:hAnsi="Times New Roman" w:cs="Times New Roman"/>
    </w:rPr>
  </w:style>
  <w:style w:type="character" w:customStyle="1" w:styleId="45">
    <w:name w:val="contents"/>
    <w:basedOn w:val="11"/>
    <w:uiPriority w:val="0"/>
  </w:style>
  <w:style w:type="character" w:customStyle="1" w:styleId="46">
    <w:name w:val="HTML Preformatted Char"/>
    <w:basedOn w:val="11"/>
    <w:link w:val="18"/>
    <w:uiPriority w:val="99"/>
    <w:rPr>
      <w:rFonts w:ascii="Courier New" w:hAnsi="Courier New" w:eastAsia="Times New Roman" w:cs="Courier New"/>
      <w:kern w:val="0"/>
      <w:sz w:val="20"/>
      <w:szCs w:val="20"/>
      <w:lang w:eastAsia="en-GB" w:bidi="ar-SA"/>
      <w14:ligatures w14:val="none"/>
    </w:rPr>
  </w:style>
  <w:style w:type="character" w:customStyle="1" w:styleId="47">
    <w:name w:val="Unresolved Mention"/>
    <w:basedOn w:val="11"/>
    <w:semiHidden/>
    <w:unhideWhenUsed/>
    <w:uiPriority w:val="99"/>
    <w:rPr>
      <w:color w:val="605E5C"/>
      <w:shd w:val="clear" w:color="auto" w:fill="E1DFDD"/>
    </w:rPr>
  </w:style>
  <w:style w:type="character" w:customStyle="1" w:styleId="48">
    <w:name w:val="Header Char"/>
    <w:basedOn w:val="11"/>
    <w:link w:val="16"/>
    <w:uiPriority w:val="99"/>
  </w:style>
  <w:style w:type="character" w:customStyle="1" w:styleId="49">
    <w:name w:val="Footer Char"/>
    <w:basedOn w:val="11"/>
    <w:link w:val="15"/>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4613</Words>
  <Characters>30228</Characters>
  <Lines>258</Lines>
  <Paragraphs>72</Paragraphs>
  <TotalTime>10</TotalTime>
  <ScaleCrop>false</ScaleCrop>
  <LinksUpToDate>false</LinksUpToDate>
  <CharactersWithSpaces>34595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2026-09-17T15:49:00Z</dcterms:created>
  <dc:creator>vikanshu bangar</dc:creator>
  <cp:lastModifiedBy>Monika Chahal</cp:lastModifiedBy>
  <dcterms:modified xsi:type="dcterms:W3CDTF">2026-09-20T23:36:10Z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07E9F6EE174E40939B7B65F21DC41309_12</vt:lpwstr>
  </property>
</Properties>
</file>