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0"/>
      </w:pPr>
    </w:p>
    <w:p>
      <w:pPr>
        <w:spacing w:after="240" w:line="480"/>
        <w:jc w:val="center"/>
      </w:pPr>
      <w:r>
        <w:rPr>
          <w:rFonts w:ascii="Times New Roman" w:cs="Times New Roman" w:eastAsia="Times New Roman" w:hAnsi="Times New Roman"/>
          <w:b/>
          <w:bCs/>
          <w:sz w:val="28"/>
          <w:szCs w:val="28"/>
        </w:rPr>
        <w:t xml:space="preserve">Innovation Management and Business Model Transformation:</w:t>
      </w:r>
    </w:p>
    <w:p>
      <w:pPr>
        <w:spacing w:after="720" w:line="480"/>
        <w:jc w:val="center"/>
      </w:pPr>
      <w:r>
        <w:rPr>
          <w:rFonts w:ascii="Times New Roman" w:cs="Times New Roman" w:eastAsia="Times New Roman" w:hAnsi="Times New Roman"/>
          <w:b/>
          <w:bCs/>
          <w:sz w:val="28"/>
          <w:szCs w:val="28"/>
        </w:rPr>
        <w:t xml:space="preserve">Building an Innovation-Driven Organization in a Digital Business Environment</w:t>
      </w:r>
    </w:p>
    <w:p>
      <w:pPr>
        <w:tabs>
          <w:tab w:val="left" w:pos="2400"/>
        </w:tabs>
        <w:spacing w:after="60" w:line="480"/>
        <w:jc w:val="left"/>
      </w:pPr>
      <w:r>
        <w:rPr>
          <w:rFonts w:ascii="Times New Roman" w:cs="Times New Roman" w:eastAsia="Times New Roman" w:hAnsi="Times New Roman"/>
          <w:b/>
          <w:bCs/>
          <w:sz w:val="24"/>
          <w:szCs w:val="24"/>
        </w:rPr>
        <w:t xml:space="preserve">Name</w:t>
      </w:r>
      <w:r>
        <w:rPr>
          <w:rFonts w:ascii="Times New Roman" w:cs="Times New Roman" w:eastAsia="Times New Roman" w:hAnsi="Times New Roman"/>
          <w:sz w:val="24"/>
          <w:szCs w:val="24"/>
        </w:rPr>
        <w:t xml:space="preserve">	Gurjinder Kaur</w:t>
      </w:r>
    </w:p>
    <w:p>
      <w:pPr>
        <w:tabs>
          <w:tab w:val="left" w:pos="2400"/>
        </w:tabs>
        <w:spacing w:after="60" w:line="480"/>
        <w:jc w:val="left"/>
      </w:pPr>
      <w:r>
        <w:rPr>
          <w:rFonts w:ascii="Times New Roman" w:cs="Times New Roman" w:eastAsia="Times New Roman" w:hAnsi="Times New Roman"/>
          <w:b/>
          <w:bCs/>
          <w:sz w:val="24"/>
          <w:szCs w:val="24"/>
        </w:rPr>
        <w:t xml:space="preserve">Student Id</w:t>
      </w:r>
      <w:r>
        <w:rPr>
          <w:rFonts w:ascii="Times New Roman" w:cs="Times New Roman" w:eastAsia="Times New Roman" w:hAnsi="Times New Roman"/>
          <w:sz w:val="24"/>
          <w:szCs w:val="24"/>
        </w:rPr>
        <w:t xml:space="preserve">	PBM26051</w:t>
      </w:r>
    </w:p>
    <w:p>
      <w:pPr>
        <w:tabs>
          <w:tab w:val="left" w:pos="2400"/>
        </w:tabs>
        <w:spacing w:after="60" w:line="480"/>
        <w:jc w:val="left"/>
      </w:pPr>
      <w:r>
        <w:rPr>
          <w:rFonts w:ascii="Times New Roman" w:cs="Times New Roman" w:eastAsia="Times New Roman" w:hAnsi="Times New Roman"/>
          <w:b/>
          <w:bCs/>
          <w:sz w:val="24"/>
          <w:szCs w:val="24"/>
        </w:rPr>
        <w:t xml:space="preserve">University</w:t>
      </w:r>
      <w:r>
        <w:rPr>
          <w:rFonts w:ascii="Times New Roman" w:cs="Times New Roman" w:eastAsia="Times New Roman" w:hAnsi="Times New Roman"/>
          <w:sz w:val="24"/>
          <w:szCs w:val="24"/>
        </w:rPr>
        <w:t xml:space="preserve">	European Institute of Innovation, Entrepreneurship, and Technology</w:t>
      </w:r>
    </w:p>
    <w:p>
      <w:pPr>
        <w:tabs>
          <w:tab w:val="left" w:pos="2400"/>
        </w:tabs>
        <w:spacing w:after="60" w:line="480"/>
        <w:jc w:val="left"/>
      </w:pPr>
      <w:r>
        <w:rPr>
          <w:rFonts w:ascii="Times New Roman" w:cs="Times New Roman" w:eastAsia="Times New Roman" w:hAnsi="Times New Roman"/>
          <w:b/>
          <w:bCs/>
          <w:sz w:val="24"/>
          <w:szCs w:val="24"/>
        </w:rPr>
        <w:t xml:space="preserve">Program (BBAM)</w:t>
      </w:r>
      <w:r>
        <w:rPr>
          <w:rFonts w:ascii="Times New Roman" w:cs="Times New Roman" w:eastAsia="Times New Roman" w:hAnsi="Times New Roman"/>
          <w:sz w:val="24"/>
          <w:szCs w:val="24"/>
        </w:rPr>
        <w:t xml:space="preserve">	Bachelor in Business Administration and Management</w:t>
      </w:r>
    </w:p>
    <w:p>
      <w:pPr>
        <w:tabs>
          <w:tab w:val="left" w:pos="2400"/>
        </w:tabs>
        <w:spacing w:after="60" w:line="480"/>
        <w:jc w:val="left"/>
      </w:pPr>
      <w:r>
        <w:rPr>
          <w:rFonts w:ascii="Times New Roman" w:cs="Times New Roman" w:eastAsia="Times New Roman" w:hAnsi="Times New Roman"/>
          <w:b/>
          <w:bCs/>
          <w:sz w:val="24"/>
          <w:szCs w:val="24"/>
        </w:rPr>
        <w:t xml:space="preserve">Module</w:t>
      </w:r>
      <w:r>
        <w:rPr>
          <w:rFonts w:ascii="Times New Roman" w:cs="Times New Roman" w:eastAsia="Times New Roman" w:hAnsi="Times New Roman"/>
          <w:sz w:val="24"/>
          <w:szCs w:val="24"/>
        </w:rPr>
        <w:t xml:space="preserve">	M09 – Digital Transformation and Innovation</w:t>
      </w:r>
    </w:p>
    <w:p>
      <w:pPr>
        <w:tabs>
          <w:tab w:val="left" w:pos="2400"/>
        </w:tabs>
        <w:spacing w:after="60" w:line="480"/>
        <w:jc w:val="left"/>
      </w:pPr>
      <w:r>
        <w:rPr>
          <w:rFonts w:ascii="Times New Roman" w:cs="Times New Roman" w:eastAsia="Times New Roman" w:hAnsi="Times New Roman"/>
          <w:b/>
          <w:bCs/>
          <w:sz w:val="24"/>
          <w:szCs w:val="24"/>
        </w:rPr>
        <w:t xml:space="preserve">Words</w:t>
      </w:r>
      <w:r>
        <w:rPr>
          <w:rFonts w:ascii="Times New Roman" w:cs="Times New Roman" w:eastAsia="Times New Roman" w:hAnsi="Times New Roman"/>
          <w:sz w:val="24"/>
          <w:szCs w:val="24"/>
        </w:rPr>
        <w:t xml:space="preserve">	4,115</w:t>
      </w:r>
    </w:p>
    <w:p>
      <w:pPr>
        <w:tabs>
          <w:tab w:val="left" w:pos="2400"/>
        </w:tabs>
        <w:spacing w:after="60" w:line="480"/>
        <w:jc w:val="left"/>
      </w:pPr>
      <w:r>
        <w:rPr>
          <w:rFonts w:ascii="Times New Roman" w:cs="Times New Roman" w:eastAsia="Times New Roman" w:hAnsi="Times New Roman"/>
          <w:b/>
          <w:bCs/>
          <w:sz w:val="24"/>
          <w:szCs w:val="24"/>
        </w:rPr>
        <w:t xml:space="preserve">Date</w:t>
      </w:r>
      <w:r>
        <w:rPr>
          <w:rFonts w:ascii="Times New Roman" w:cs="Times New Roman" w:eastAsia="Times New Roman" w:hAnsi="Times New Roman"/>
          <w:sz w:val="24"/>
          <w:szCs w:val="24"/>
        </w:rPr>
        <w:t xml:space="preserve">	30 August 2026</w:t>
      </w:r>
    </w:p>
    <w:p>
      <w:r>
        <w:br w:type="page"/>
      </w:r>
    </w:p>
    <w:p>
      <w:pPr>
        <w:pStyle w:val="Heading1"/>
        <w:spacing w:after="120" w:before="240" w:line="480"/>
      </w:pPr>
      <w:r>
        <w:rPr>
          <w:rFonts w:ascii="Times New Roman" w:cs="Times New Roman" w:eastAsia="Times New Roman" w:hAnsi="Times New Roman"/>
          <w:b/>
          <w:bCs/>
          <w:sz w:val="28"/>
          <w:szCs w:val="28"/>
        </w:rPr>
        <w:t xml:space="preserve">Table of Contents</w:t>
      </w:r>
    </w:p>
    <w:p>
      <w:pPr>
        <w:tabs>
          <w:tab w:val="right" w:pos="9026" w:leader="dot"/>
        </w:tabs>
        <w:spacing w:after="120" w:line="360"/>
      </w:pPr>
      <w:r>
        <w:rPr>
          <w:rFonts w:ascii="Times New Roman" w:cs="Times New Roman" w:eastAsia="Times New Roman" w:hAnsi="Times New Roman"/>
          <w:sz w:val="24"/>
          <w:szCs w:val="24"/>
        </w:rPr>
        <w:t xml:space="preserve">Abstract</w:t>
      </w:r>
      <w:r>
        <w:rPr>
          <w:rFonts w:ascii="Times New Roman" w:cs="Times New Roman" w:eastAsia="Times New Roman" w:hAnsi="Times New Roman"/>
          <w:sz w:val="24"/>
          <w:szCs w:val="24"/>
        </w:rPr>
        <w:t xml:space="preserve">	3</w:t>
      </w:r>
    </w:p>
    <w:p>
      <w:pPr>
        <w:tabs>
          <w:tab w:val="right" w:pos="9026" w:leader="dot"/>
        </w:tabs>
        <w:spacing w:after="120" w:line="360"/>
      </w:pPr>
      <w:r>
        <w:rPr>
          <w:rFonts w:ascii="Times New Roman" w:cs="Times New Roman" w:eastAsia="Times New Roman" w:hAnsi="Times New Roman"/>
          <w:sz w:val="24"/>
          <w:szCs w:val="24"/>
        </w:rPr>
        <w:t xml:space="preserve">Introduction</w:t>
      </w:r>
      <w:r>
        <w:rPr>
          <w:rFonts w:ascii="Times New Roman" w:cs="Times New Roman" w:eastAsia="Times New Roman" w:hAnsi="Times New Roman"/>
          <w:sz w:val="24"/>
          <w:szCs w:val="24"/>
        </w:rPr>
        <w:t xml:space="preserve">	4</w:t>
      </w:r>
    </w:p>
    <w:p>
      <w:pPr>
        <w:tabs>
          <w:tab w:val="right" w:pos="9026" w:leader="dot"/>
        </w:tabs>
        <w:spacing w:after="120" w:line="360"/>
      </w:pPr>
      <w:r>
        <w:rPr>
          <w:rFonts w:ascii="Times New Roman" w:cs="Times New Roman" w:eastAsia="Times New Roman" w:hAnsi="Times New Roman"/>
          <w:sz w:val="24"/>
          <w:szCs w:val="24"/>
        </w:rPr>
        <w:t xml:space="preserve">Literature Review</w:t>
      </w:r>
      <w:r>
        <w:rPr>
          <w:rFonts w:ascii="Times New Roman" w:cs="Times New Roman" w:eastAsia="Times New Roman" w:hAnsi="Times New Roman"/>
          <w:sz w:val="24"/>
          <w:szCs w:val="24"/>
        </w:rPr>
        <w:t xml:space="preserve">	5</w:t>
      </w:r>
    </w:p>
    <w:p>
      <w:pPr>
        <w:tabs>
          <w:tab w:val="right" w:pos="9026" w:leader="dot"/>
        </w:tabs>
        <w:spacing w:after="120" w:line="360"/>
      </w:pPr>
      <w:r>
        <w:rPr>
          <w:rFonts w:ascii="Times New Roman" w:cs="Times New Roman" w:eastAsia="Times New Roman" w:hAnsi="Times New Roman"/>
          <w:sz w:val="24"/>
          <w:szCs w:val="24"/>
        </w:rPr>
        <w:t xml:space="preserve">Methodology</w:t>
      </w:r>
      <w:r>
        <w:rPr>
          <w:rFonts w:ascii="Times New Roman" w:cs="Times New Roman" w:eastAsia="Times New Roman" w:hAnsi="Times New Roman"/>
          <w:sz w:val="24"/>
          <w:szCs w:val="24"/>
        </w:rPr>
        <w:t xml:space="preserve">	8</w:t>
      </w:r>
    </w:p>
    <w:p>
      <w:pPr>
        <w:tabs>
          <w:tab w:val="right" w:pos="9026" w:leader="dot"/>
        </w:tabs>
        <w:spacing w:after="120" w:line="360"/>
      </w:pPr>
      <w:r>
        <w:rPr>
          <w:rFonts w:ascii="Times New Roman" w:cs="Times New Roman" w:eastAsia="Times New Roman" w:hAnsi="Times New Roman"/>
          <w:sz w:val="24"/>
          <w:szCs w:val="24"/>
        </w:rPr>
        <w:t xml:space="preserve">Findings</w:t>
      </w:r>
      <w:r>
        <w:rPr>
          <w:rFonts w:ascii="Times New Roman" w:cs="Times New Roman" w:eastAsia="Times New Roman" w:hAnsi="Times New Roman"/>
          <w:sz w:val="24"/>
          <w:szCs w:val="24"/>
        </w:rPr>
        <w:t xml:space="preserve">	10</w:t>
      </w:r>
    </w:p>
    <w:p>
      <w:pPr>
        <w:tabs>
          <w:tab w:val="right" w:pos="9026" w:leader="dot"/>
        </w:tabs>
        <w:spacing w:after="120" w:line="360"/>
      </w:pPr>
      <w:r>
        <w:rPr>
          <w:rFonts w:ascii="Times New Roman" w:cs="Times New Roman" w:eastAsia="Times New Roman" w:hAnsi="Times New Roman"/>
          <w:sz w:val="24"/>
          <w:szCs w:val="24"/>
        </w:rPr>
        <w:t xml:space="preserve">Discussion</w:t>
      </w:r>
      <w:r>
        <w:rPr>
          <w:rFonts w:ascii="Times New Roman" w:cs="Times New Roman" w:eastAsia="Times New Roman" w:hAnsi="Times New Roman"/>
          <w:sz w:val="24"/>
          <w:szCs w:val="24"/>
        </w:rPr>
        <w:t xml:space="preserve">	13</w:t>
      </w:r>
    </w:p>
    <w:p>
      <w:pPr>
        <w:tabs>
          <w:tab w:val="right" w:pos="9026" w:leader="dot"/>
        </w:tabs>
        <w:spacing w:after="120" w:line="360"/>
      </w:pPr>
      <w:r>
        <w:rPr>
          <w:rFonts w:ascii="Times New Roman" w:cs="Times New Roman" w:eastAsia="Times New Roman" w:hAnsi="Times New Roman"/>
          <w:sz w:val="24"/>
          <w:szCs w:val="24"/>
        </w:rPr>
        <w:t xml:space="preserve">Conclusion</w:t>
      </w:r>
      <w:r>
        <w:rPr>
          <w:rFonts w:ascii="Times New Roman" w:cs="Times New Roman" w:eastAsia="Times New Roman" w:hAnsi="Times New Roman"/>
          <w:sz w:val="24"/>
          <w:szCs w:val="24"/>
        </w:rPr>
        <w:t xml:space="preserve">	16</w:t>
      </w:r>
    </w:p>
    <w:p>
      <w:pPr>
        <w:tabs>
          <w:tab w:val="right" w:pos="9026" w:leader="dot"/>
        </w:tabs>
        <w:spacing w:after="120" w:line="360"/>
      </w:pPr>
      <w:r>
        <w:rPr>
          <w:rFonts w:ascii="Times New Roman" w:cs="Times New Roman" w:eastAsia="Times New Roman" w:hAnsi="Times New Roman"/>
          <w:sz w:val="24"/>
          <w:szCs w:val="24"/>
        </w:rPr>
        <w:t xml:space="preserve">References</w:t>
      </w:r>
      <w:r>
        <w:rPr>
          <w:rFonts w:ascii="Times New Roman" w:cs="Times New Roman" w:eastAsia="Times New Roman" w:hAnsi="Times New Roman"/>
          <w:sz w:val="24"/>
          <w:szCs w:val="24"/>
        </w:rPr>
        <w:t xml:space="preserve">	17</w:t>
      </w:r>
    </w:p>
    <w:p>
      <w:pPr>
        <w:tabs>
          <w:tab w:val="right" w:pos="9026" w:leader="dot"/>
        </w:tabs>
        <w:spacing w:after="120" w:line="360"/>
      </w:pPr>
      <w:r>
        <w:rPr>
          <w:rFonts w:ascii="Times New Roman" w:cs="Times New Roman" w:eastAsia="Times New Roman" w:hAnsi="Times New Roman"/>
          <w:sz w:val="24"/>
          <w:szCs w:val="24"/>
        </w:rPr>
        <w:t xml:space="preserve">Appendices</w:t>
      </w:r>
      <w:r>
        <w:rPr>
          <w:rFonts w:ascii="Times New Roman" w:cs="Times New Roman" w:eastAsia="Times New Roman" w:hAnsi="Times New Roman"/>
          <w:sz w:val="24"/>
          <w:szCs w:val="24"/>
        </w:rPr>
        <w:t xml:space="preserve">	19</w:t>
      </w:r>
    </w:p>
    <w:p>
      <w:r>
        <w:br w:type="page"/>
      </w:r>
    </w:p>
    <w:p>
      <w:pPr>
        <w:pStyle w:val="Heading1"/>
        <w:spacing w:after="120" w:before="240" w:line="480"/>
      </w:pPr>
      <w:r>
        <w:rPr>
          <w:rFonts w:ascii="Times New Roman" w:cs="Times New Roman" w:eastAsia="Times New Roman" w:hAnsi="Times New Roman"/>
          <w:b/>
          <w:bCs/>
          <w:sz w:val="28"/>
          <w:szCs w:val="28"/>
        </w:rPr>
        <w:t xml:space="preserve">Abstract</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Digital technologies have reduced the cost of experimentation and shortened product life cycles, forcing organizations to treat innovation as a continuous managerial discipline rather than an occasional project. This report examines how innovation management, disruptive innovation, open innovation, and digital business models combine to reshape the way organizations create, deliver, and capture value. Drawing on established innovation theory and a comparative review of secondary case evidence from firms such as Netflix, Salesforce, Adobe, Spotify, Tesla, Canva, and Zoom, the report analyses how organizations convert innovation into new products, services, processes, and revenue streams, and identifies the recurring barriers that limit that conversion, namely resistance to change, resource limitations, uneven technology adoption, and rigid organizational culture. The discussion synthesizes these findings into a practical set of strategies, including ambidextrous structures, staged experimentation, ecosystem partnerships, and structured change management, that leaders can use to build an innovation-driven organization capable of sustaining competitive advantage in a digital business environment. The report concludes that innovation management succeeds only when technological investment is matched by deliberate changes to organizational structure, culture, and leadership behaviour.</w:t>
      </w:r>
    </w:p>
    <w:p>
      <w:r>
        <w:br w:type="page"/>
      </w:r>
    </w:p>
    <w:p>
      <w:pPr>
        <w:pStyle w:val="Heading1"/>
        <w:spacing w:after="120" w:before="240" w:line="480"/>
      </w:pPr>
      <w:r>
        <w:rPr>
          <w:rFonts w:ascii="Times New Roman" w:cs="Times New Roman" w:eastAsia="Times New Roman" w:hAnsi="Times New Roman"/>
          <w:b/>
          <w:bCs/>
          <w:sz w:val="28"/>
          <w:szCs w:val="28"/>
        </w:rPr>
        <w:t xml:space="preserve">Introduction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Innovation has moved from the periphery of corporate strategy to its centre. Where organizations once treated new products or processes as the output of an isolated research and development function, digitalization has turned innovation into a continuous, organization-wide capability that touches every business model choice a firm makes (Tidd &amp; Bessant, 2018). Cloud computing, artificial intelligence, big data analytics, and platform technologies have lowered the barriers to entry in almost every industry, which means that competitive advantage today depends less on owning proprietary technology and more on how quickly an organization can reconfigure its business model around that technology (Teece, 2010). This shift has given rise to a distinct field of managerial concern: innovation management, understood as the deliberate process of generating, selecting, developing, and commercializing new ideas so that they translate into sustainable value for the organization and its customers (Tidd &amp; Bessant, 2018).</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This report addresses Option 2 of the M09 Digital Transformation and Innovation assignment brief, which asks for a strategic examination of the role of innovation in transforming business models. Four themes structure the analysis. First, the report explains the core concepts of innovation management, disruptive innovation, open innovation, and digital business models, situating each within the broader digital transformation literature. Second, it discusses how organizations use innovation to create new products, services, processes, and revenue streams, illustrating the discussion with real-world examples of firms that have restructured their business models around digital capability. Third, it analyses the organizational challenges that most commonly obstruct innovation efforts, namely resistance to change, resource limitations, technology adoption, and organizational culture. Fourth, it recommends practical strategies for building an innovation-driven organization capable of sustaining competitive advantage in a digital business environment.</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The report is structured as follows. The literature review presents the theoretical foundations of innovation management and digital business model transformation. The methodology section outlines the desk-based, case-comparative approach used to gather and interpret evidence. The findings section applies this evidence to the four themes identified above. The discussion synthesizes the findings into strategic recommendations, and the conclusion summarizes the report's central argument: that digital technology creates the opportunity for business model transformation, but only deliberate innovation management converts that opportunity into competitive advantage.</w:t>
      </w:r>
    </w:p>
    <w:p>
      <w:pPr>
        <w:pStyle w:val="Heading1"/>
        <w:spacing w:after="120" w:before="240" w:line="480"/>
      </w:pPr>
      <w:r>
        <w:rPr>
          <w:rFonts w:ascii="Times New Roman" w:cs="Times New Roman" w:eastAsia="Times New Roman" w:hAnsi="Times New Roman"/>
          <w:b/>
          <w:bCs/>
          <w:sz w:val="28"/>
          <w:szCs w:val="28"/>
        </w:rPr>
        <w:t xml:space="preserve">Literature Review</w:t>
      </w:r>
    </w:p>
    <w:p>
      <w:pPr>
        <w:pStyle w:val="Heading2"/>
        <w:spacing w:after="100" w:before="200" w:line="480"/>
      </w:pPr>
      <w:r>
        <w:rPr>
          <w:rFonts w:ascii="Times New Roman" w:cs="Times New Roman" w:eastAsia="Times New Roman" w:hAnsi="Times New Roman"/>
          <w:b/>
          <w:bCs/>
          <w:i/>
          <w:iCs/>
          <w:sz w:val="24"/>
          <w:szCs w:val="24"/>
        </w:rPr>
        <w:t xml:space="preserve">Innovation Management</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Innovation management is commonly defined as the structured process through which organizations search for, select, implement, and capture value from new ideas, whether those ideas relate to products, services, processes, or business models (Tidd &amp; Bessant, 2018). Unlike invention, which is the creation of something new, innovation requires that the new idea be successfully commercialized or adopted, meaning that innovation management is as much about organizational capability, resource allocation, and market insight as it is about creativity (Tidd &amp; Bessant, 2018). A useful distinction within this literature is between incremental innovation, which improves existing products or processes, and radical innovation, which creates entirely new markets or ways of operating. Organizations that manage innovation well typically build formal mechanisms, such as innovation funnels, cross-functional teams, and stage-gate development processes, that allow them to pursue both types of innovation simultaneously (O'Reilly &amp; Tushman, 2013).</w:t>
      </w:r>
    </w:p>
    <w:p>
      <w:pPr>
        <w:pStyle w:val="Heading2"/>
        <w:spacing w:after="100" w:before="200" w:line="480"/>
      </w:pPr>
      <w:r>
        <w:rPr>
          <w:rFonts w:ascii="Times New Roman" w:cs="Times New Roman" w:eastAsia="Times New Roman" w:hAnsi="Times New Roman"/>
          <w:b/>
          <w:bCs/>
          <w:i/>
          <w:iCs/>
          <w:sz w:val="24"/>
          <w:szCs w:val="24"/>
        </w:rPr>
        <w:t xml:space="preserve">Disruptive Innovation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Christensen's (1997) theory of disruptive innovation remains the most influential explanation for why successful, well-managed incumbent firms are repeatedly overtaken by smaller entrants. Christensen argued that disruptive innovations typically enter a market from below, offering a simpler, cheaper, or more accessible alternative to an existing product or service, often targeting customers who were previously overlooked or underserved by incumbents. Because established firms are organizationally incentivized to serve their most profitable existing customers, they systematically under-invest in the disruptive alternative until it has improved enough to capture the mainstream market. Digital technology has accelerated this dynamic: streaming, ride-hailing, and software-as-a-service platforms have each followed a broadly disruptive trajectory, entering niche segments before scaling to displace incumbents that were slower to change their underlying business model.</w:t>
      </w:r>
    </w:p>
    <w:p>
      <w:pPr>
        <w:pStyle w:val="Heading2"/>
        <w:spacing w:after="100" w:before="200" w:line="480"/>
      </w:pPr>
      <w:r>
        <w:rPr>
          <w:rFonts w:ascii="Times New Roman" w:cs="Times New Roman" w:eastAsia="Times New Roman" w:hAnsi="Times New Roman"/>
          <w:b/>
          <w:bCs/>
          <w:i/>
          <w:iCs/>
          <w:sz w:val="24"/>
          <w:szCs w:val="24"/>
        </w:rPr>
        <w:t xml:space="preserve">Open Innovation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Chesbrough (2003) introduced the concept of open innovation to describe a shift away from closed, internally funded research and development toward models in which organizations deliberately combine internal and external ideas, and internal and external paths to market, to advance their technology. Open innovation includes inbound practices, such as licensing external technology or partnering with start-ups, and outbound practices, such as licensing internal technology to other firms or spinning out ventures. In a digital environment, open innovation is reinforced by application programming interfaces, developer ecosystems, and platform architectures that make it commercially attractive for firms to invite external developers, suppliers, and even customers into their innovation process rather than attempting to internalize every capability.</w:t>
      </w:r>
    </w:p>
    <w:p>
      <w:pPr>
        <w:pStyle w:val="Heading2"/>
        <w:spacing w:after="100" w:before="200" w:line="480"/>
      </w:pPr>
      <w:r>
        <w:rPr>
          <w:rFonts w:ascii="Times New Roman" w:cs="Times New Roman" w:eastAsia="Times New Roman" w:hAnsi="Times New Roman"/>
          <w:b/>
          <w:bCs/>
          <w:i/>
          <w:iCs/>
          <w:sz w:val="24"/>
          <w:szCs w:val="24"/>
        </w:rPr>
        <w:t xml:space="preserve">Digital Business Models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A business model describes the logic by which an organization creates, delivers, and captures value (Osterwalder &amp; Pigneur, 2010; Zott et al., 2011). Digital transformation does not simply digitize existing business models; it frequently requires organizations to redesign the business model itself, changing how value is created (for example, moving from selling a physical product to selling a subscription-based service), how it is delivered (for example, moving from physical distribution to cloud delivery), and how it is captured (for example, moving from one-off transactions to recurring or usage-based revenue) (Teece, 2010; Vial, 2019). Platform-based business models, in which a firm creates infrastructure that facilitates value-creating interactions between external producers and consumers, have become one of the most consequential digital business model innovations, because they allow firms to scale without proportionally scaling internal production capacity (Parker et al., 2016).</w:t>
      </w:r>
    </w:p>
    <w:p>
      <w:pPr>
        <w:pStyle w:val="Heading2"/>
        <w:spacing w:after="100" w:before="200" w:line="480"/>
      </w:pPr>
      <w:r>
        <w:rPr>
          <w:rFonts w:ascii="Times New Roman" w:cs="Times New Roman" w:eastAsia="Times New Roman" w:hAnsi="Times New Roman"/>
          <w:b/>
          <w:bCs/>
          <w:i/>
          <w:iCs/>
          <w:sz w:val="24"/>
          <w:szCs w:val="24"/>
        </w:rPr>
        <w:t xml:space="preserve">Organizational Change and Digital Leadership</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Because business model transformation is ultimately an organizational change process, the innovation literature increasingly intersects with change management theory. Kotter (1996) identifies the failure to build a genuine sense of urgency, and the failure to anchor new approaches in organizational culture, as two of the most common reasons transformation efforts fail. Westerman et al. (2014) apply this insight specifically to digital transformation, arguing that organizations that succeed in transforming their business models combine a clear digital vision with strong governance that translates that vision into coordinated action across business units. O'Reilly and Tushman (2013) describe the organizational capability required to pursue this kind of transformation as ambidexterity: the ability to simultaneously exploit an existing, profitable business model while exploring new ones, typically by structurally separating exploratory units from the core business so that new ventures are not starved of resources or judged against the performance metrics of the established business.</w:t>
      </w:r>
    </w:p>
    <w:p>
      <w:pPr>
        <w:pStyle w:val="Heading2"/>
        <w:spacing w:after="100" w:before="200" w:line="480"/>
      </w:pPr>
      <w:r>
        <w:rPr>
          <w:rFonts w:ascii="Times New Roman" w:cs="Times New Roman" w:eastAsia="Times New Roman" w:hAnsi="Times New Roman"/>
          <w:b/>
          <w:bCs/>
          <w:i/>
          <w:iCs/>
          <w:sz w:val="24"/>
          <w:szCs w:val="24"/>
        </w:rPr>
        <w:t xml:space="preserve">Synthesis: From Digital Technology to Business Model Innovation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Read together, this literature suggests a chain of causation that runs from technological opportunity to organizational capability to business model outcome. Digital technologies such as cloud computing, artificial intelligence, and platform infrastructure lower the cost of entry and experimentation, which creates the conditions in which disruptive innovation becomes possible (Christensen, 1997; Vial, 2019). Open innovation practices determine how efficiently an organization can access the ideas, partnerships, and capabilities needed to exploit that opportunity (Chesbrough, 2003; Parker et al., 2016). Whether the organization actually redesigns its business model, rather than simply digitizing its existing one, depends on deliberate business model design choices concerning value creation, delivery, and capture (Osterwalder &amp; Pigneur, 2010; Teece, 2010; Zott et al., 2011). Finally, whether that redesigned business model is successfully implemented depends on organizational capability: ambidextrous structures that protect exploration from exploitation, and change leadership that manages the cultural and behavioural transition (Kotter, 1996; O'Reilly &amp; Tushman, 2013; Westerman et al., 2014). This chain of causation, technology, opportunity, business model design, and organizational capability, provides the analytical framework used in the Findings and Discussion sections of this report.</w:t>
      </w:r>
    </w:p>
    <w:p>
      <w:pPr>
        <w:pStyle w:val="Heading1"/>
        <w:spacing w:after="120" w:before="240" w:line="480"/>
      </w:pPr>
      <w:r>
        <w:rPr>
          <w:rFonts w:ascii="Times New Roman" w:cs="Times New Roman" w:eastAsia="Times New Roman" w:hAnsi="Times New Roman"/>
          <w:b/>
          <w:bCs/>
          <w:sz w:val="28"/>
          <w:szCs w:val="28"/>
        </w:rPr>
        <w:t xml:space="preserve">Methodology</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This report adopts a qualitative, desk-based research design appropriate to a strategic analysis of innovation management and business model transformation. Primary data collection was not undertaken; instead, the report synthesizes established innovation management theory with secondary evidence drawn from peer-reviewed academic literature, industry analysis, and publicly available information about the business model choices of well-known digital-era organizations.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The analytical approach is comparative and illustrative rather than statistical. A small set of organizations, namely Netflix, Salesforce, Adobe, Spotify, Tesla, Canva, and Zoom, was selected because each is widely documented in the academic and practitioner literature as having transformed its business model around a digital capability, and because together they illustrate a broad range of innovation types: disruptive market entry, open platform ecosystems, subscription and freemium revenue models, and vertically integrated digital-physical products. These organizations are used as illustrative cases to ground the theoretical discussion in observable business model choices, not as a representative statistical sample; the findings therefore describe patterns that recur across well-documented digital transformations rather than results that can be generalized with statistical confidence to all organizations or sectors.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Evidence was interpreted against four analytical categories derived directly from the assignment brief: (1) the concepts of innovation management, disruptive innovation, open innovation, and digital business models; (2) how organizations use innovation to create new products, services, processes, and revenue streams; (3) the organizational challenges that most commonly limit innovation; and (4) the strategies organizations use, or could use, to build an innovation-driven culture. This categorization structures the findings and discussion sections that follow. As with any desk-based qualitative analysis, the principal limitation of this methodology is its reliance on secondary and publicly available information, which may understate internal organizational challenges that are not externally disclosed; the report addresses this limitation by triangulating case evidence against established academic theory rather than relying on any single source.</w:t>
      </w:r>
    </w:p>
    <w:p>
      <w:pPr>
        <w:pStyle w:val="Heading1"/>
        <w:spacing w:after="120" w:before="240" w:line="480"/>
      </w:pPr>
      <w:r>
        <w:rPr>
          <w:rFonts w:ascii="Times New Roman" w:cs="Times New Roman" w:eastAsia="Times New Roman" w:hAnsi="Times New Roman"/>
          <w:b/>
          <w:bCs/>
          <w:sz w:val="28"/>
          <w:szCs w:val="28"/>
        </w:rPr>
        <w:t xml:space="preserve">Findings</w:t>
      </w:r>
    </w:p>
    <w:p>
      <w:pPr>
        <w:pStyle w:val="Heading2"/>
        <w:spacing w:after="100" w:before="200" w:line="480"/>
      </w:pPr>
      <w:r>
        <w:rPr>
          <w:rFonts w:ascii="Times New Roman" w:cs="Times New Roman" w:eastAsia="Times New Roman" w:hAnsi="Times New Roman"/>
          <w:b/>
          <w:bCs/>
          <w:i/>
          <w:iCs/>
          <w:sz w:val="24"/>
          <w:szCs w:val="24"/>
        </w:rPr>
        <w:t xml:space="preserve">Innovation as a Source of New Products, Services, and Processes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The case evidence reviewed for this report shows that digital-era organizations rarely innovate around a single product feature; instead, they tend to redesign the entire mechanism by which value is delivered. Netflix illustrates this pattern clearly: its shift from a DVD-by-mail rental service to a subscription-based streaming platform was not an incremental product improvement but a wholesale redefinition of how entertainment content is accessed, which in turn forced the traditional video rental industry into decline. Adobe followed a comparable logic when it converted its Creative Suite from a perpetually licensed, boxed software product into Adobe Creative Cloud, a subscription service delivered and updated continuously online; this process innovation changed not only the revenue model but also the pace at which new features could reach customers, since updates no longer depended on a multi-year release cycle.</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Salesforce demonstrates a similar dynamic in enterprise software, where its early adoption of the software-as-a-service model eliminated the large upfront licensing and infrastructure costs that had defined enterprise software purchasing, prompting established competitors to restructure their own pricing and delivery models in response. Canva shows how a freemium product architecture can function as an innovation strategy in its own right: by offering professional design tools free of charge and monetizing a smaller proportion of power users, Canva was able to reach a mass, largely non-professional market that incumbent design software had never effectively served. Zoom's growth reflects a related insight, namely that removing friction from adoption, in Zoom's case by offering a free, easy-to-use enterprise-grade video conferencing product, can itself constitute a disruptive innovation even in a market that already contained established competitors.</w:t>
      </w:r>
    </w:p>
    <w:p>
      <w:pPr>
        <w:pStyle w:val="Heading2"/>
        <w:spacing w:after="100" w:before="200" w:line="480"/>
      </w:pPr>
      <w:r>
        <w:rPr>
          <w:rFonts w:ascii="Times New Roman" w:cs="Times New Roman" w:eastAsia="Times New Roman" w:hAnsi="Times New Roman"/>
          <w:b/>
          <w:bCs/>
          <w:i/>
          <w:iCs/>
          <w:sz w:val="24"/>
          <w:szCs w:val="24"/>
        </w:rPr>
        <w:t xml:space="preserve">Innovation as a Source of New Revenue Streams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Beyond new products and processes, the reviewed evidence highlights how innovation reshapes revenue architecture. Subscription and freemium models, used by Netflix, Adobe, Salesforce, Spotify, and Canva, convert one-off transactional revenue into recurring revenue, which improves revenue predictability and allows these firms to fund continuous product development from a stable income base rather than from episodic product launches. Tesla illustrates a different revenue innovation: by vertically integrating vehicle manufacturing with battery production, software, and over-the-air update infrastructure, Tesla created the ability to sell software-based features and performance upgrades after a vehicle has already been purchased, a revenue stream that is largely unavailable to manufacturers whose vehicles depend on third-party software integration. Spotify's freemium, advertising-supported model similarly created a revenue stream, advertising income from free-tier users, that did not exist in the pre-digital, ownership-based model of music consumption.</w:t>
      </w:r>
    </w:p>
    <w:p>
      <w:pPr>
        <w:pStyle w:val="Heading2"/>
        <w:spacing w:after="100" w:before="200" w:line="480"/>
      </w:pPr>
      <w:r>
        <w:rPr>
          <w:rFonts w:ascii="Times New Roman" w:cs="Times New Roman" w:eastAsia="Times New Roman" w:hAnsi="Times New Roman"/>
          <w:b/>
          <w:bCs/>
          <w:i/>
          <w:iCs/>
          <w:sz w:val="24"/>
          <w:szCs w:val="24"/>
        </w:rPr>
        <w:t xml:space="preserve">Innovation Through Open and Platform-Based Ecosystems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A further pattern in the case evidence concerns where innovation originates. Rather than developing every capability internally, several of the organizations reviewed for this report grew their product and service offering by opening parts of their business model to external developers, partners, or users, consistent with Chesbrough's (2003) concept of open innovation and Parker et al.'s (2016) account of platform business models. Salesforce's AppExchange marketplace allows third-party developers to build and sell applications that extend its core customer relationship management platform, which means Salesforce's product offering expands continuously through external innovation rather than depending solely on its internal development roadmap. Spotify's growth has similarly depended on external relationships, licensing agreements with record labels and, more recently, tools that allow independent artists and podcast creators to distribute content directly through the platform, which shifts part of the burden of content innovation onto participants outside the firm's own boundaries. These examples illustrate that, in a digital environment, business model innovation frequently involves redesigning the boundary of the firm itself, deciding which activities to keep internal and which to open to an external ecosystem, rather than only redesigning what happens inside that boundary.</w:t>
      </w:r>
    </w:p>
    <w:p>
      <w:pPr>
        <w:pStyle w:val="Heading2"/>
        <w:spacing w:after="100" w:before="200" w:line="480"/>
      </w:pPr>
      <w:r>
        <w:rPr>
          <w:rFonts w:ascii="Times New Roman" w:cs="Times New Roman" w:eastAsia="Times New Roman" w:hAnsi="Times New Roman"/>
          <w:b/>
          <w:bCs/>
          <w:i/>
          <w:iCs/>
          <w:sz w:val="24"/>
          <w:szCs w:val="24"/>
        </w:rPr>
        <w:t xml:space="preserve">Organizational Challenges to Innovation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The literature and case evidence converge on four recurring barriers to innovation-driven business model transformation. The first is resistance to change. Employees and middle management frequently resist new business models when those models threaten established roles, performance metrics, or informal sources of authority; Kotter (1996) identifies this resistance as one of the leading causes of failed transformation efforts, particularly when leadership has not built a credible sense of urgency for the change. The second barrier is resource limitations. Exploratory innovation activity typically produces uncertain, delayed returns, which puts it at a structural disadvantage when competing for capital and talent against an established, profitable core business; this is especially acute for small and medium-sized enterprises that lack the balance sheet capacity of larger digital-native competitors.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A related dimension of resource limitation is capability, not just capital: organizations often underestimate the specialist digital, data, and platform-design skills required to execute a business model transformation, and competition for that talent with digital-native firms can leave incumbents unable to resource transformation initiatives even when funding is available. The third barrier is uneven technology adoption. Even when an organization has access to a new technology, the pace at which employees, partners, and customers actually adopt and use that technology in practice varies considerably, a pattern long described in the diffusion-of-innovation literature (Rogers, 2003), and one that is frequently underestimated in digital transformation planning, which tends to focus on technology procurement rather than user adoption. The fourth barrier is organizational culture. Cultures built around risk avoidance, hierarchical decision-making, and short-term performance targets are poorly suited to the iterative, failure-tolerant experimentation that digital innovation requires; O'Reilly and Tushman (2013) argue that this is precisely why many incumbents choose to structurally separate exploratory innovation units from the core business, rather than attempting to change the culture of the core business itself.</w:t>
      </w:r>
    </w:p>
    <w:p>
      <w:pPr>
        <w:pStyle w:val="Heading1"/>
        <w:spacing w:after="120" w:before="240" w:line="480"/>
      </w:pPr>
      <w:r>
        <w:rPr>
          <w:rFonts w:ascii="Times New Roman" w:cs="Times New Roman" w:eastAsia="Times New Roman" w:hAnsi="Times New Roman"/>
          <w:b/>
          <w:bCs/>
          <w:sz w:val="28"/>
          <w:szCs w:val="28"/>
        </w:rPr>
        <w:t xml:space="preserve">Discussion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The findings indicate that innovation-driven business model transformation is not primarily a technology problem; the technologies involved, cloud infrastructure, subscription billing, platform architecture, are widely available and increasingly commoditized. The differentiator between organizations that successfully transform their business model and those that do not is organizational: how leadership allocates resources, how culture responds to experimentation and failure, and how deliberately change is managed. This section synthesizes the findings into four practical recommendations for building an innovation-driven organization.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First, organizations should pursue structural ambidexterity rather than attempting to force radical innovation through the same processes, metrics, and incentives that govern the core business. Following O'Reilly and Tushman (2013), this means establishing a degree of organizational separation, whether through a dedicated innovation unit, a venture arm, or a protected product team, that allows new business models to be judged against appropriate early-stage metrics rather than the mature-business metrics applied to the core. Salesforce's own internal use of separate teams to incubate emerging product lines, and Adobe's staged, multi-year migration from its licensed to its subscription model, both reflect this principle of allowing new and old business models to coexist during a managed transition rather than requiring an abrupt switch.</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Second, organizations should adopt open innovation practices deliberately rather than defaulting to closed, internally funded development. Chesbrough's (2003) framework suggests that partnerships, licensing arrangements, developer ecosystems, and start-up investment can each substitute for, or accelerate, internal research and development, particularly for organizations that lack the resource base to build every capability internally. Platform-based business models extend this logic further: by opening infrastructure to external developers and partners, as Parker et al. (2016) describe, an organization can generate innovation from its ecosystem rather than relying solely on internal capacity, though this requires accepting a degree of reduced control over the pace and direction of that innovation.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Third, technology adoption should be managed as a change process, not treated as complete once a system has been procured and deployed. Because diffusion of new tools among employees, partners, and customers is uneven and gradual (Rogers, 2003), organizations should build structured adoption programmes, including training, incentive alignment, and visible sponsorship from senior leadership, into their innovation roadmap from the outset, rather than treating adoption as an afterthought to be managed once resistance has already appeared.</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Fourth, and most fundamentally, leadership must build organizational culture and change management capability alongside technological investment. Kotter's (1996) emphasis on establishing urgency and anchoring new practices in culture, and Westerman et al.'s (2014) emphasis on combining a clear digital vision with strong cross-unit governance, both point to the same conclusion: digital leaders succeed by treating culture change as a first-order strategic task, not a secondary consequence of technology deployment. In practice, this means senior leaders visibly modelling the behaviours the new business model requires, creating psychological safety for experimentation and failure, and communicating a coherent narrative that connects the transformation to the organization's long-term competitive position rather than presenting it as a series of disconnected technology projects.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These recommendations also carry an important caveat regarding scale. Large digital-native organizations such as Salesforce and Adobe were able to fund a multi-year, staged transition between business models, absorbing short-term revenue disruption while the new subscription model matured. Smaller organizations and resource-constrained incumbents rarely have this luxury, which means the resource-limitation barrier identified in the Findings section is not evenly distributed across firms of different sizes. For smaller organizations, the practical implication of this report's recommendations is to prioritize open innovation and ecosystem partnerships over internally funded ambidextrous units, since partnerships can substitute for capital that a smaller firm does not have, and to sequence business model change in smaller, faster iterations rather than attempting a single large-scale transformation.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Taken together, these recommendations suggest that the organizations most likely to sustain competitive advantage in a digital business environment are those that treat innovation management as a continuous organizational capability rather than a one-time strategic response to competitive threat. This requires deliberate investment in structure, partnership, adoption, and culture, in addition to technology, and it requires leadership that is willing to protect exploratory innovation from the short-term performance pressures of the existing core business.</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It is also worth noting a limitation of the case evidence used in this discussion: Netflix, Salesforce, Adobe, Spotify, Tesla, Canva, and Zoom are each, to varying degrees, success stories, and success stories are more visible in public reporting than failed transformation attempts. A fuller evidentiary base would need to weigh these examples against organizations whose business model transformations failed or stalled, since the barriers identified in the Findings section, resistance to change, resource limitations, uneven adoption, and unsupportive culture, are precisely the factors that would be expected to produce those failures. The recommendations above should therefore be read as a set of conditions that make successful transformation more likely, not as a guarantee of a particular outcome, since firm-specific factors such as industry structure, competitive intensity, and regulatory context will also shape whether a given business model transformation ultimately succeeds.</w:t>
      </w:r>
    </w:p>
    <w:p>
      <w:pPr>
        <w:pStyle w:val="Heading1"/>
        <w:spacing w:after="120" w:before="240" w:line="480"/>
      </w:pPr>
      <w:r>
        <w:rPr>
          <w:rFonts w:ascii="Times New Roman" w:cs="Times New Roman" w:eastAsia="Times New Roman" w:hAnsi="Times New Roman"/>
          <w:b/>
          <w:bCs/>
          <w:sz w:val="28"/>
          <w:szCs w:val="28"/>
        </w:rPr>
        <w:t xml:space="preserve">Conclusion</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This report has examined how innovation management, disruptive innovation, open innovation, and digital business models combine to transform organizational competitiveness. The evidence reviewed shows that digital-era organizations, including Netflix, Adobe, Salesforce, Spotify, Tesla, Canva, and Zoom, have each used innovation to redesign not just individual products but the underlying logic by which they create, deliver, and capture value, generating new products, services, processes, and, critically, new and more predictable revenue streams. At the same time, the report has shown that this transformation is consistently constrained by resistance to change, resource limitations, uneven technology adoption, and organizational culture, barriers that are organizational rather than technological in nature.</w:t>
      </w:r>
    </w:p>
    <w:p>
      <w:pPr>
        <w:keepNext w:val="false"/>
        <w:spacing w:after="0" w:line="480" w:lineRule="auto"/>
        <w:jc w:val="both"/>
      </w:pPr>
      <w:r>
        <w:rPr>
          <w:rFonts w:ascii="Times New Roman" w:cs="Times New Roman" w:eastAsia="Times New Roman" w:hAnsi="Times New Roman"/>
          <w:b w:val="false"/>
          <w:bCs w:val="false"/>
          <w:i w:val="false"/>
          <w:iCs w:val="false"/>
          <w:sz w:val="24"/>
          <w:szCs w:val="24"/>
        </w:rPr>
        <w:t xml:space="preserve">The central argument of this report is that digital technology creates the opportunity for business model transformation, but it is deliberate innovation management, structural ambidexterity, open innovation partnerships, managed technology adoption, and culture-aware change leadership, that converts that opportunity into sustained competitive advantage. Organizations seeking to build an innovation-driven culture in a digital business environment should therefore treat innovation not as a discrete project but as an ongoing organizational capability, supported by leadership that is prepared to invest as deliberately in structure and culture as it does in technology.</w:t>
      </w:r>
    </w:p>
    <w:p>
      <w:pPr>
        <w:pStyle w:val="Heading1"/>
        <w:spacing w:after="120" w:before="240" w:line="480"/>
      </w:pPr>
      <w:r>
        <w:rPr>
          <w:rFonts w:ascii="Times New Roman" w:cs="Times New Roman" w:eastAsia="Times New Roman" w:hAnsi="Times New Roman"/>
          <w:b/>
          <w:bCs/>
          <w:sz w:val="28"/>
          <w:szCs w:val="28"/>
        </w:rPr>
        <w:t xml:space="preserve">References</w:t>
      </w:r>
    </w:p>
    <w:p>
      <w:pPr>
        <w:spacing w:after="0" w:line="480"/>
        <w:ind w:left="720" w:hanging="720"/>
        <w:jc w:val="left"/>
      </w:pPr>
      <w:r>
        <w:rPr>
          <w:rFonts w:ascii="Times New Roman" w:cs="Times New Roman" w:eastAsia="Times New Roman" w:hAnsi="Times New Roman"/>
          <w:sz w:val="24"/>
          <w:szCs w:val="24"/>
        </w:rPr>
        <w:t xml:space="preserve">Chesbrough, H. (2003). Open innovation: The new imperative for creating and profiting from technology. Harvard Business School Press.</w:t>
      </w:r>
    </w:p>
    <w:p>
      <w:pPr>
        <w:spacing w:after="0" w:line="480"/>
        <w:ind w:left="720" w:hanging="720"/>
        <w:jc w:val="left"/>
      </w:pPr>
      <w:r>
        <w:rPr>
          <w:rFonts w:ascii="Times New Roman" w:cs="Times New Roman" w:eastAsia="Times New Roman" w:hAnsi="Times New Roman"/>
          <w:sz w:val="24"/>
          <w:szCs w:val="24"/>
        </w:rPr>
        <w:t xml:space="preserve">Christensen, C. M. (1997). The innovator's dilemma: When new technologies cause great firms to fail. Harvard Business School Press.</w:t>
      </w:r>
    </w:p>
    <w:p>
      <w:pPr>
        <w:spacing w:after="0" w:line="480"/>
        <w:ind w:left="720" w:hanging="720"/>
        <w:jc w:val="left"/>
      </w:pPr>
      <w:r>
        <w:rPr>
          <w:rFonts w:ascii="Times New Roman" w:cs="Times New Roman" w:eastAsia="Times New Roman" w:hAnsi="Times New Roman"/>
          <w:sz w:val="24"/>
          <w:szCs w:val="24"/>
        </w:rPr>
        <w:t xml:space="preserve">Kotter, J. P. (1996). Leading change. Harvard Business School Press.</w:t>
      </w:r>
    </w:p>
    <w:p>
      <w:pPr>
        <w:spacing w:after="0" w:line="480"/>
        <w:ind w:left="720" w:hanging="720"/>
        <w:jc w:val="left"/>
      </w:pPr>
      <w:r>
        <w:rPr>
          <w:rFonts w:ascii="Times New Roman" w:cs="Times New Roman" w:eastAsia="Times New Roman" w:hAnsi="Times New Roman"/>
          <w:sz w:val="24"/>
          <w:szCs w:val="24"/>
        </w:rPr>
        <w:t xml:space="preserve">O'Reilly, C. A., &amp; Tushman, M. L. (2013). Organizational ambidexterity: Past, present, and future. Academy of Management Perspectives, 27(4), 324–338.</w:t>
      </w:r>
    </w:p>
    <w:p>
      <w:pPr>
        <w:spacing w:after="0" w:line="480"/>
        <w:ind w:left="720" w:hanging="720"/>
        <w:jc w:val="left"/>
      </w:pPr>
      <w:r>
        <w:rPr>
          <w:rFonts w:ascii="Times New Roman" w:cs="Times New Roman" w:eastAsia="Times New Roman" w:hAnsi="Times New Roman"/>
          <w:sz w:val="24"/>
          <w:szCs w:val="24"/>
        </w:rPr>
        <w:t xml:space="preserve">Osterwalder, A., &amp; Pigneur, Y. (2010). Business model generation: A handbook for visionaries, game changers, and challengers. Wiley.</w:t>
      </w:r>
    </w:p>
    <w:p>
      <w:pPr>
        <w:spacing w:after="0" w:line="480"/>
        <w:ind w:left="720" w:hanging="720"/>
        <w:jc w:val="left"/>
      </w:pPr>
      <w:r>
        <w:rPr>
          <w:rFonts w:ascii="Times New Roman" w:cs="Times New Roman" w:eastAsia="Times New Roman" w:hAnsi="Times New Roman"/>
          <w:sz w:val="24"/>
          <w:szCs w:val="24"/>
        </w:rPr>
        <w:t xml:space="preserve">Parker, G. G., Van Alstyne, M. W., &amp; Choudary, S. P. (2016). Platform revolution: How networked markets are transforming the economy and how to make them work for you. W. W. Norton &amp; Company.</w:t>
      </w:r>
    </w:p>
    <w:p>
      <w:pPr>
        <w:spacing w:after="0" w:line="480"/>
        <w:ind w:left="720" w:hanging="720"/>
        <w:jc w:val="left"/>
      </w:pPr>
      <w:r>
        <w:rPr>
          <w:rFonts w:ascii="Times New Roman" w:cs="Times New Roman" w:eastAsia="Times New Roman" w:hAnsi="Times New Roman"/>
          <w:sz w:val="24"/>
          <w:szCs w:val="24"/>
        </w:rPr>
        <w:t xml:space="preserve">Rogers, E. M. (2003). Diffusion of innovations (5th ed.). Free Press.</w:t>
      </w:r>
    </w:p>
    <w:p>
      <w:pPr>
        <w:spacing w:after="0" w:line="480"/>
        <w:ind w:left="720" w:hanging="720"/>
        <w:jc w:val="left"/>
      </w:pPr>
      <w:r>
        <w:rPr>
          <w:rFonts w:ascii="Times New Roman" w:cs="Times New Roman" w:eastAsia="Times New Roman" w:hAnsi="Times New Roman"/>
          <w:sz w:val="24"/>
          <w:szCs w:val="24"/>
        </w:rPr>
        <w:t xml:space="preserve">Teece, D. J. (2010). Business models, business strategy and innovation. Long Range Planning, 43(2–3), 172–194.</w:t>
      </w:r>
    </w:p>
    <w:p>
      <w:pPr>
        <w:spacing w:after="0" w:line="480"/>
        <w:ind w:left="720" w:hanging="720"/>
        <w:jc w:val="left"/>
      </w:pPr>
      <w:r>
        <w:rPr>
          <w:rFonts w:ascii="Times New Roman" w:cs="Times New Roman" w:eastAsia="Times New Roman" w:hAnsi="Times New Roman"/>
          <w:sz w:val="24"/>
          <w:szCs w:val="24"/>
        </w:rPr>
        <w:t xml:space="preserve">Tidd, J., &amp; Bessant, J. (2018). Managing innovation: Integrating technological, market and organizational change (6th ed.). Wiley.</w:t>
      </w:r>
    </w:p>
    <w:p>
      <w:pPr>
        <w:spacing w:after="0" w:line="480"/>
        <w:ind w:left="720" w:hanging="720"/>
        <w:jc w:val="left"/>
      </w:pPr>
      <w:r>
        <w:rPr>
          <w:rFonts w:ascii="Times New Roman" w:cs="Times New Roman" w:eastAsia="Times New Roman" w:hAnsi="Times New Roman"/>
          <w:sz w:val="24"/>
          <w:szCs w:val="24"/>
        </w:rPr>
        <w:t xml:space="preserve">Vial, G. (2019). Understanding digital transformation: A review and a research agenda. Journal of Strategic Information Systems, 28(2), 118–144.</w:t>
      </w:r>
    </w:p>
    <w:p>
      <w:pPr>
        <w:spacing w:after="0" w:line="480"/>
        <w:ind w:left="720" w:hanging="720"/>
        <w:jc w:val="left"/>
      </w:pPr>
      <w:r>
        <w:rPr>
          <w:rFonts w:ascii="Times New Roman" w:cs="Times New Roman" w:eastAsia="Times New Roman" w:hAnsi="Times New Roman"/>
          <w:sz w:val="24"/>
          <w:szCs w:val="24"/>
        </w:rPr>
        <w:t xml:space="preserve">Westerman, G., Bonnet, D., &amp; McAfee, A. (2014). Leading digital: Turning technology into business transformation. Harvard Business Review Press.</w:t>
      </w:r>
    </w:p>
    <w:p>
      <w:pPr>
        <w:spacing w:after="0" w:line="480"/>
        <w:ind w:left="720" w:hanging="720"/>
        <w:jc w:val="left"/>
      </w:pPr>
      <w:r>
        <w:rPr>
          <w:rFonts w:ascii="Times New Roman" w:cs="Times New Roman" w:eastAsia="Times New Roman" w:hAnsi="Times New Roman"/>
          <w:sz w:val="24"/>
          <w:szCs w:val="24"/>
        </w:rPr>
        <w:t xml:space="preserve">Zott, C., Amit, R., &amp; Massa, L. (2011). The business model: Recent developments and future research. Journal of Management, 37(4), 1019–1042.</w:t>
      </w:r>
    </w:p>
    <w:p>
      <w:r>
        <w:br w:type="page"/>
      </w:r>
    </w:p>
    <w:p>
      <w:pPr>
        <w:pStyle w:val="Heading1"/>
        <w:spacing w:after="120" w:before="240" w:line="480"/>
      </w:pPr>
      <w:r>
        <w:rPr>
          <w:rFonts w:ascii="Times New Roman" w:cs="Times New Roman" w:eastAsia="Times New Roman" w:hAnsi="Times New Roman"/>
          <w:b/>
          <w:bCs/>
          <w:sz w:val="28"/>
          <w:szCs w:val="28"/>
        </w:rPr>
        <w:t xml:space="preserve">Appendices</w:t>
      </w:r>
    </w:p>
    <w:p>
      <w:pPr>
        <w:pStyle w:val="Heading2"/>
        <w:spacing w:after="100" w:before="200" w:line="480"/>
      </w:pPr>
      <w:r>
        <w:rPr>
          <w:rFonts w:ascii="Times New Roman" w:cs="Times New Roman" w:eastAsia="Times New Roman" w:hAnsi="Times New Roman"/>
          <w:b/>
          <w:bCs/>
          <w:i/>
          <w:iCs/>
          <w:sz w:val="24"/>
          <w:szCs w:val="24"/>
        </w:rPr>
        <w:t xml:space="preserve">Appendix A: Summary of Illustrative Case Evidence</w:t>
      </w:r>
    </w:p>
    <w:p>
      <w:pPr>
        <w:keepNext w:val="false"/>
        <w:spacing w:after="200" w:line="480" w:lineRule="auto"/>
        <w:jc w:val="both"/>
      </w:pPr>
      <w:r>
        <w:rPr>
          <w:rFonts w:ascii="Times New Roman" w:cs="Times New Roman" w:eastAsia="Times New Roman" w:hAnsi="Times New Roman"/>
          <w:b w:val="false"/>
          <w:bCs w:val="false"/>
          <w:i w:val="false"/>
          <w:iCs w:val="false"/>
          <w:sz w:val="24"/>
          <w:szCs w:val="24"/>
        </w:rPr>
        <w:t xml:space="preserve">The table below summarizes the innovation type, business model shift, and observed outcome for each organization referenced in the Findings section.</w:t>
      </w:r>
    </w:p>
    <w:tbl>
      <w:tblPr>
        <w:tblW w:type="dxa" w:w="10400"/>
        <w:tblBorders>
          <w:top w:val="single" w:color="auto" w:sz="4"/>
          <w:left w:val="single" w:color="auto" w:sz="4"/>
          <w:bottom w:val="single" w:color="auto" w:sz="4"/>
          <w:right w:val="single" w:color="auto" w:sz="4"/>
          <w:insideH w:val="single" w:color="auto" w:sz="4"/>
          <w:insideV w:val="single" w:color="auto" w:sz="4"/>
        </w:tblBorders>
      </w:tblPr>
      <w:tblGrid>
        <w:gridCol w:w="1800"/>
        <w:gridCol w:w="2600"/>
        <w:gridCol w:w="3200"/>
        <w:gridCol w:w="2800"/>
      </w:tblGrid>
      <w:tr>
        <w:trPr>
          <w:tblHeader/>
        </w:trPr>
        <w:tc>
          <w:tcPr>
            <w:tcW w:type="dxa" w:w="1800"/>
            <w:shd w:fill="D9D9D9" w:val="clear"/>
            <w:tcMar>
              <w:top w:type="dxa" w:w="80"/>
              <w:left w:type="dxa" w:w="100"/>
              <w:bottom w:type="dxa" w:w="80"/>
              <w:right w:type="dxa" w:w="100"/>
            </w:tcMar>
          </w:tcPr>
          <w:p>
            <w:pPr>
              <w:spacing w:line="276"/>
            </w:pPr>
            <w:r>
              <w:rPr>
                <w:rFonts w:ascii="Times New Roman" w:cs="Times New Roman" w:eastAsia="Times New Roman" w:hAnsi="Times New Roman"/>
                <w:b/>
                <w:bCs/>
                <w:sz w:val="22"/>
                <w:szCs w:val="22"/>
              </w:rPr>
              <w:t xml:space="preserve">Organization</w:t>
            </w:r>
          </w:p>
        </w:tc>
        <w:tc>
          <w:tcPr>
            <w:tcW w:type="dxa" w:w="2600"/>
            <w:shd w:fill="D9D9D9" w:val="clear"/>
            <w:tcMar>
              <w:top w:type="dxa" w:w="80"/>
              <w:left w:type="dxa" w:w="100"/>
              <w:bottom w:type="dxa" w:w="80"/>
              <w:right w:type="dxa" w:w="100"/>
            </w:tcMar>
          </w:tcPr>
          <w:p>
            <w:pPr>
              <w:spacing w:line="276"/>
            </w:pPr>
            <w:r>
              <w:rPr>
                <w:rFonts w:ascii="Times New Roman" w:cs="Times New Roman" w:eastAsia="Times New Roman" w:hAnsi="Times New Roman"/>
                <w:b/>
                <w:bCs/>
                <w:sz w:val="22"/>
                <w:szCs w:val="22"/>
              </w:rPr>
              <w:t xml:space="preserve">Primary Innovation Type</w:t>
            </w:r>
          </w:p>
        </w:tc>
        <w:tc>
          <w:tcPr>
            <w:tcW w:type="dxa" w:w="3200"/>
            <w:shd w:fill="D9D9D9" w:val="clear"/>
            <w:tcMar>
              <w:top w:type="dxa" w:w="80"/>
              <w:left w:type="dxa" w:w="100"/>
              <w:bottom w:type="dxa" w:w="80"/>
              <w:right w:type="dxa" w:w="100"/>
            </w:tcMar>
          </w:tcPr>
          <w:p>
            <w:pPr>
              <w:spacing w:line="276"/>
            </w:pPr>
            <w:r>
              <w:rPr>
                <w:rFonts w:ascii="Times New Roman" w:cs="Times New Roman" w:eastAsia="Times New Roman" w:hAnsi="Times New Roman"/>
                <w:b/>
                <w:bCs/>
                <w:sz w:val="22"/>
                <w:szCs w:val="22"/>
              </w:rPr>
              <w:t xml:space="preserve">Business Model Shift</w:t>
            </w:r>
          </w:p>
        </w:tc>
        <w:tc>
          <w:tcPr>
            <w:tcW w:type="dxa" w:w="2800"/>
            <w:shd w:fill="D9D9D9" w:val="clear"/>
            <w:tcMar>
              <w:top w:type="dxa" w:w="80"/>
              <w:left w:type="dxa" w:w="100"/>
              <w:bottom w:type="dxa" w:w="80"/>
              <w:right w:type="dxa" w:w="100"/>
            </w:tcMar>
          </w:tcPr>
          <w:p>
            <w:pPr>
              <w:spacing w:line="276"/>
            </w:pPr>
            <w:r>
              <w:rPr>
                <w:rFonts w:ascii="Times New Roman" w:cs="Times New Roman" w:eastAsia="Times New Roman" w:hAnsi="Times New Roman"/>
                <w:b/>
                <w:bCs/>
                <w:sz w:val="22"/>
                <w:szCs w:val="22"/>
              </w:rPr>
              <w:t xml:space="preserve">Observed Outcome</w:t>
            </w:r>
          </w:p>
        </w:tc>
      </w:tr>
      <w:tr>
        <w:tc>
          <w:tcPr>
            <w:tcW w:type="dxa" w:w="1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Netflix</w:t>
            </w:r>
          </w:p>
        </w:tc>
        <w:tc>
          <w:tcPr>
            <w:tcW w:type="dxa" w:w="26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Disruptive innovation</w:t>
            </w:r>
          </w:p>
        </w:tc>
        <w:tc>
          <w:tcPr>
            <w:tcW w:type="dxa" w:w="32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Physical DVD rental to subscription streaming</w:t>
            </w:r>
          </w:p>
        </w:tc>
        <w:tc>
          <w:tcPr>
            <w:tcW w:type="dxa" w:w="2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Displaced traditional video rental incumbents</w:t>
            </w:r>
          </w:p>
        </w:tc>
      </w:tr>
      <w:tr>
        <w:tc>
          <w:tcPr>
            <w:tcW w:type="dxa" w:w="1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Adobe</w:t>
            </w:r>
          </w:p>
        </w:tc>
        <w:tc>
          <w:tcPr>
            <w:tcW w:type="dxa" w:w="26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Process / revenue model innovation</w:t>
            </w:r>
          </w:p>
        </w:tc>
        <w:tc>
          <w:tcPr>
            <w:tcW w:type="dxa" w:w="32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Perpetual licence to Creative Cloud subscription</w:t>
            </w:r>
          </w:p>
        </w:tc>
        <w:tc>
          <w:tcPr>
            <w:tcW w:type="dxa" w:w="2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Recurring revenue; faster, continuous feature releases</w:t>
            </w:r>
          </w:p>
        </w:tc>
      </w:tr>
      <w:tr>
        <w:tc>
          <w:tcPr>
            <w:tcW w:type="dxa" w:w="1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Salesforce</w:t>
            </w:r>
          </w:p>
        </w:tc>
        <w:tc>
          <w:tcPr>
            <w:tcW w:type="dxa" w:w="26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Disruptive / open innovation</w:t>
            </w:r>
          </w:p>
        </w:tc>
        <w:tc>
          <w:tcPr>
            <w:tcW w:type="dxa" w:w="32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On-premise licence to cloud SaaS</w:t>
            </w:r>
          </w:p>
        </w:tc>
        <w:tc>
          <w:tcPr>
            <w:tcW w:type="dxa" w:w="2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Lowered adoption barriers; forced competitor repricing</w:t>
            </w:r>
          </w:p>
        </w:tc>
      </w:tr>
      <w:tr>
        <w:tc>
          <w:tcPr>
            <w:tcW w:type="dxa" w:w="1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Spotify</w:t>
            </w:r>
          </w:p>
        </w:tc>
        <w:tc>
          <w:tcPr>
            <w:tcW w:type="dxa" w:w="26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Business model innovation</w:t>
            </w:r>
          </w:p>
        </w:tc>
        <w:tc>
          <w:tcPr>
            <w:tcW w:type="dxa" w:w="32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Ownership (purchase) to freemium streaming access</w:t>
            </w:r>
          </w:p>
        </w:tc>
        <w:tc>
          <w:tcPr>
            <w:tcW w:type="dxa" w:w="2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New advertising and subscription revenue streams</w:t>
            </w:r>
          </w:p>
        </w:tc>
      </w:tr>
      <w:tr>
        <w:tc>
          <w:tcPr>
            <w:tcW w:type="dxa" w:w="1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Tesla</w:t>
            </w:r>
          </w:p>
        </w:tc>
        <w:tc>
          <w:tcPr>
            <w:tcW w:type="dxa" w:w="26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Product / revenue model innovation</w:t>
            </w:r>
          </w:p>
        </w:tc>
        <w:tc>
          <w:tcPr>
            <w:tcW w:type="dxa" w:w="32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Vertical integration with software-enabled vehicles</w:t>
            </w:r>
          </w:p>
        </w:tc>
        <w:tc>
          <w:tcPr>
            <w:tcW w:type="dxa" w:w="2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Post-sale software and feature-upgrade revenue</w:t>
            </w:r>
          </w:p>
        </w:tc>
      </w:tr>
      <w:tr>
        <w:tc>
          <w:tcPr>
            <w:tcW w:type="dxa" w:w="1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Canva</w:t>
            </w:r>
          </w:p>
        </w:tc>
        <w:tc>
          <w:tcPr>
            <w:tcW w:type="dxa" w:w="26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Disruptive / freemium innovation</w:t>
            </w:r>
          </w:p>
        </w:tc>
        <w:tc>
          <w:tcPr>
            <w:tcW w:type="dxa" w:w="32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Professional design software to free, accessible platform</w:t>
            </w:r>
          </w:p>
        </w:tc>
        <w:tc>
          <w:tcPr>
            <w:tcW w:type="dxa" w:w="2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Reached a mass non-professional market</w:t>
            </w:r>
          </w:p>
        </w:tc>
      </w:tr>
      <w:tr>
        <w:tc>
          <w:tcPr>
            <w:tcW w:type="dxa" w:w="1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Zoom</w:t>
            </w:r>
          </w:p>
        </w:tc>
        <w:tc>
          <w:tcPr>
            <w:tcW w:type="dxa" w:w="26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Disruptive innovation</w:t>
            </w:r>
          </w:p>
        </w:tc>
        <w:tc>
          <w:tcPr>
            <w:tcW w:type="dxa" w:w="32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Paid enterprise conferencing to free, frictionless access</w:t>
            </w:r>
          </w:p>
        </w:tc>
        <w:tc>
          <w:tcPr>
            <w:tcW w:type="dxa" w:w="2800"/>
            <w:tcMar>
              <w:top w:type="dxa" w:w="80"/>
              <w:left w:type="dxa" w:w="100"/>
              <w:bottom w:type="dxa" w:w="80"/>
              <w:right w:type="dxa" w:w="100"/>
            </w:tcMar>
          </w:tcPr>
          <w:p>
            <w:pPr>
              <w:spacing w:line="276"/>
            </w:pPr>
            <w:r>
              <w:rPr>
                <w:rFonts w:ascii="Times New Roman" w:cs="Times New Roman" w:eastAsia="Times New Roman" w:hAnsi="Times New Roman"/>
                <w:b w:val="false"/>
                <w:bCs w:val="false"/>
                <w:sz w:val="22"/>
                <w:szCs w:val="22"/>
              </w:rPr>
              <w:t xml:space="preserve">Rapid mass adoption; forced incumbent price restructuring</w:t>
            </w:r>
          </w:p>
        </w:tc>
      </w:tr>
    </w:tbl>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sz w:val="20"/>
        <w:szCs w:val="20"/>
      </w:rPr>
      <w:t xml:space="preserve"/>
    </w:r>
    <w:r>
      <w:rPr>
        <w:rFonts w:ascii="Times New Roman" w:cs="Times New Roman" w:eastAsia="Times New Roman" w:hAnsi="Times New Roman"/>
        <w:sz w:val="20"/>
        <w:szCs w:val="20"/>
      </w:rPr>
      <w:fldChar w:fldCharType="begin"/>
      <w:instrText xml:space="preserve">PAGE</w:instrText>
      <w:fldChar w:fldCharType="separate"/>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20" w:before="240"/>
    </w:pPr>
    <w:rPr>
      <w:rFonts w:ascii="Times New Roman" w:cs="Times New Roman" w:eastAsia="Times New Roman" w:hAnsi="Times New Roman"/>
      <w:b/>
      <w:bCs/>
      <w:color w:val="000000"/>
      <w:sz w:val="28"/>
      <w:szCs w:val="28"/>
    </w:rPr>
  </w:style>
  <w:style w:type="paragraph" w:styleId="Heading2">
    <w:name w:val="Heading 2"/>
    <w:basedOn w:val="Normal"/>
    <w:next w:val="Normal"/>
    <w:qFormat/>
    <w:pPr>
      <w:spacing w:after="100" w:before="200"/>
    </w:pPr>
    <w:rPr>
      <w:rFonts w:ascii="Times New Roman" w:cs="Times New Roman" w:eastAsia="Times New Roman" w:hAnsi="Times New Roman"/>
      <w:b/>
      <w:bCs/>
      <w:i/>
      <w:iCs/>
      <w:color w:val="000000"/>
      <w:sz w:val="24"/>
      <w:szCs w:val="24"/>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Management and Business Model Transformation</dc:title>
  <dc:creator>Gurjinder Kaur</dc:creator>
  <cp:lastModifiedBy>Un-named</cp:lastModifiedBy>
  <cp:revision>1</cp:revision>
  <dcterms:created xsi:type="dcterms:W3CDTF">2026-08-30T14:02:10.817Z</dcterms:created>
  <dcterms:modified xsi:type="dcterms:W3CDTF">2026-08-30T14:02:10.830Z</dcterms:modified>
</cp:coreProperties>
</file>

<file path=docProps/custom.xml><?xml version="1.0" encoding="utf-8"?>
<Properties xmlns="http://schemas.openxmlformats.org/officeDocument/2006/custom-properties" xmlns:vt="http://schemas.openxmlformats.org/officeDocument/2006/docPropsVTypes"/>
</file>