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1F6B6" w14:textId="77777777" w:rsidR="00006CC8" w:rsidRDefault="00006CC8">
      <w:r>
        <w:t>‎Assignment Title: Resilience in Volatility: Strategic Survival for Tourism Businesses Selected Topic: Strategies for survival during commercial disruptions.</w:t>
      </w:r>
    </w:p>
    <w:p w14:paraId="53129C00" w14:textId="77777777" w:rsidR="00006CC8" w:rsidRDefault="00006CC8">
      <w:r>
        <w:t>‎</w:t>
      </w:r>
    </w:p>
    <w:p w14:paraId="0BF79DD2" w14:textId="77777777" w:rsidR="00006CC8" w:rsidRDefault="00006CC8">
      <w:r>
        <w:t>‎Introduction</w:t>
      </w:r>
    </w:p>
    <w:p w14:paraId="356E3165" w14:textId="77777777" w:rsidR="00006CC8" w:rsidRDefault="00006CC8">
      <w:r>
        <w:t>‎The tourism industry is uniquely sensitive to macro-environmental shocks. Unlike goods that can be stored, tourism inventory (such as hotel room nights or airline seats) is perishable; if it is not sold today, the revenue is lost forever. When commercial disruptions occur—whether they are economic recessions that curb discretionary spending or pandemics that physically halt mobility—tourism businesses face immediate existential threats. To survive these periods of volatility, businesses must move beyond passive endurance and adopt proactive strategies. Survival depends on a tripartite approach: financial retrenchment, market diversification, and accelerated digital transformation.</w:t>
      </w:r>
    </w:p>
    <w:p w14:paraId="5F69BAB1" w14:textId="77777777" w:rsidR="00006CC8" w:rsidRDefault="00006CC8">
      <w:r>
        <w:t>‎</w:t>
      </w:r>
    </w:p>
    <w:p w14:paraId="762C11AE" w14:textId="77777777" w:rsidR="00006CC8" w:rsidRDefault="00006CC8">
      <w:r>
        <w:t>‎Financial Retrenchment and Operational Agility</w:t>
      </w:r>
    </w:p>
    <w:p w14:paraId="13AF4A4F" w14:textId="77777777" w:rsidR="00006CC8" w:rsidRDefault="00006CC8">
      <w:r>
        <w:t>‎The immediate priority during any commercial disruption is liquidity. During a recession or pandemic, revenue streams often dry up faster than fixed costs can be reduced. Therefore, the first strategy is aggressive cost management combined with operational agility.</w:t>
      </w:r>
    </w:p>
    <w:p w14:paraId="46C2632F" w14:textId="77777777" w:rsidR="00006CC8" w:rsidRDefault="00006CC8">
      <w:r>
        <w:t>‎</w:t>
      </w:r>
    </w:p>
    <w:p w14:paraId="2A63DB8A" w14:textId="4F074158" w:rsidR="00006CC8" w:rsidRDefault="00006CC8">
      <w:r>
        <w:t>‎In the initial stages of a crisis, businesses must shift from a growth mindset to a survival mindset. This involves converting fixed costs into variable costs wherever possible. For example, hotels might close unused wings to save on utilities or renegotiate supplier contracts to align with reduced demand. However, cost-cutting must be strategic; slashing marketing budgets entirely can be detrimental, as maintaining brand visibility is crucial for the recovery phase. Instead, successful businesses often focus on “lean” operations, preserving their core workforce—their most valuable asset—through government retention schemes or flexible working hours, rather than immediate mass layoffs which damage long-term service quality (Gössling et al., 2020).</w:t>
      </w:r>
    </w:p>
    <w:p w14:paraId="53EA1253" w14:textId="77777777" w:rsidR="00006CC8" w:rsidRDefault="00006CC8">
      <w:r>
        <w:t>‎</w:t>
      </w:r>
    </w:p>
    <w:p w14:paraId="55CDE825" w14:textId="77777777" w:rsidR="00006CC8" w:rsidRDefault="00006CC8">
      <w:r>
        <w:t>‎Market Diversification: The Pivot to Domestic</w:t>
      </w:r>
    </w:p>
    <w:p w14:paraId="574FC628" w14:textId="77777777" w:rsidR="00006CC8" w:rsidRDefault="00006CC8">
      <w:r>
        <w:t>‎Globalization has led many tourism operators to rely heavily on international travelers. However, pandemics and geopolitical conflicts often sever international transit routes first. Consequently, a vital survival strategy is the "domestic pivot."</w:t>
      </w:r>
    </w:p>
    <w:p w14:paraId="2A71C9E5" w14:textId="77777777" w:rsidR="00006CC8" w:rsidRDefault="00006CC8">
      <w:r>
        <w:lastRenderedPageBreak/>
        <w:t>‎</w:t>
      </w:r>
    </w:p>
    <w:p w14:paraId="6A5B161A" w14:textId="6B102D68" w:rsidR="00006CC8" w:rsidRDefault="00006CC8">
      <w:r>
        <w:t>‎When international borders close or air travel becomes prohibitively expensive due to recession, local and domestic tourism often remains resilient. This is known as the “staycation” phenomenon. Businesses that survive disruptions are often those that quickly repackage their offerings for the local market. For instance, during the COVID-19 pandemic, luxury city hotels that previously catered to international business travelers pivoted to offer “work-from-hotel” day packages for locals seeking a quiet office space, or “staycation” weekends for families unable to travel abroad. By diversifying their target market to include the local community, businesses can insulate themselves from the total collapse of international arrival numbers (Sigala, 2020).</w:t>
      </w:r>
    </w:p>
    <w:p w14:paraId="436BE153" w14:textId="77777777" w:rsidR="00006CC8" w:rsidRDefault="00006CC8">
      <w:r>
        <w:t>‎</w:t>
      </w:r>
    </w:p>
    <w:p w14:paraId="1CB00CFD" w14:textId="77777777" w:rsidR="00006CC8" w:rsidRDefault="00006CC8">
      <w:r>
        <w:t>‎Digital Transformation and Touchless Service</w:t>
      </w:r>
    </w:p>
    <w:p w14:paraId="28EF059A" w14:textId="77777777" w:rsidR="00006CC8" w:rsidRDefault="00006CC8">
      <w:r>
        <w:t>‎Finally, commercial disruptions often accelerate technological shifts. In the context of a pandemic, safety becomes the new luxury. To survive, businesses must adopt digital technologies that reduce physical friction and increase efficiency.</w:t>
      </w:r>
    </w:p>
    <w:p w14:paraId="74B6A78E" w14:textId="77777777" w:rsidR="00006CC8" w:rsidRDefault="00006CC8">
      <w:r>
        <w:t>‎</w:t>
      </w:r>
    </w:p>
    <w:p w14:paraId="1E46DEC9" w14:textId="435DD3FD" w:rsidR="00006CC8" w:rsidRDefault="00006CC8">
      <w:r>
        <w:t>‎This goes beyond simple online booking. It involves the integration of contactless technologies—mobile check-ins, digital menus, and virtual concierge services. These innovations serve a dual purpose: they comply with health regulations during a health crisis, and they streamline labor costs during an economic recession. Furthermore, digital tools allow businesses to keep their destination “top of mind” even when travel is impossible. Museums and tour operators that offered high-quality virtual tours during lockdowns were able to maintain customer engagement and monetize digital content, creating a secondary revenue stream that buffered against the loss of physical ticket sales.</w:t>
      </w:r>
    </w:p>
    <w:p w14:paraId="1FDD8396" w14:textId="77777777" w:rsidR="00006CC8" w:rsidRDefault="00006CC8">
      <w:r>
        <w:t>‎</w:t>
      </w:r>
    </w:p>
    <w:p w14:paraId="100DDEAC" w14:textId="77777777" w:rsidR="00006CC8" w:rsidRDefault="00006CC8">
      <w:r>
        <w:t>‎Conclusion</w:t>
      </w:r>
    </w:p>
    <w:p w14:paraId="7F242367" w14:textId="77777777" w:rsidR="00006CC8" w:rsidRDefault="00006CC8">
      <w:r>
        <w:t>‎Commercial disruptions are inevitable in the cyclical nature of the global economy. For tourism businesses, survival is not a matter of luck, but of strategic adaptation. By maintaining strict financial discipline, pivoting marketing efforts toward domestic and local resilience, and embracing digital innovations to lower costs and improve safety, tourism operators can weather the storm. These strategies do not merely ensure survival; they often result in a leaner, more agile business model ready to thrive when stability returns.</w:t>
      </w:r>
    </w:p>
    <w:p w14:paraId="286F2C18" w14:textId="77777777" w:rsidR="00006CC8" w:rsidRDefault="00006CC8">
      <w:r>
        <w:t>‎</w:t>
      </w:r>
    </w:p>
    <w:p w14:paraId="4BFB49FE" w14:textId="77777777" w:rsidR="00006CC8" w:rsidRDefault="00006CC8">
      <w:r>
        <w:lastRenderedPageBreak/>
        <w:t>‎References</w:t>
      </w:r>
    </w:p>
    <w:p w14:paraId="025274BC" w14:textId="77777777" w:rsidR="00006CC8" w:rsidRDefault="00006CC8">
      <w:r>
        <w:t>‎Gössling, S., Scott, D., &amp; Hall</w:t>
      </w:r>
    </w:p>
    <w:p w14:paraId="0C98A527" w14:textId="188B6452" w:rsidR="00006CC8" w:rsidRDefault="000C5B28">
      <w:r>
        <w:t xml:space="preserve"> Name </w:t>
      </w:r>
      <w:r w:rsidR="00D942ED">
        <w:t>_ vishavjeet Singh</w:t>
      </w:r>
    </w:p>
    <w:sectPr w:rsidR="00006C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CC8"/>
    <w:rsid w:val="00006CC8"/>
    <w:rsid w:val="000C5B28"/>
    <w:rsid w:val="0090064C"/>
    <w:rsid w:val="00D94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1F947C"/>
  <w15:chartTrackingRefBased/>
  <w15:docId w15:val="{723BF828-FE6A-A34E-BE46-09E53A8CF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C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6C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6C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6C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6C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6C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6C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6C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6C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C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6C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6C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6C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6C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6C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6C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6C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6CC8"/>
    <w:rPr>
      <w:rFonts w:eastAsiaTheme="majorEastAsia" w:cstheme="majorBidi"/>
      <w:color w:val="272727" w:themeColor="text1" w:themeTint="D8"/>
    </w:rPr>
  </w:style>
  <w:style w:type="paragraph" w:styleId="Title">
    <w:name w:val="Title"/>
    <w:basedOn w:val="Normal"/>
    <w:next w:val="Normal"/>
    <w:link w:val="TitleChar"/>
    <w:uiPriority w:val="10"/>
    <w:qFormat/>
    <w:rsid w:val="00006C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6C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6C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6C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6CC8"/>
    <w:pPr>
      <w:spacing w:before="160"/>
      <w:jc w:val="center"/>
    </w:pPr>
    <w:rPr>
      <w:i/>
      <w:iCs/>
      <w:color w:val="404040" w:themeColor="text1" w:themeTint="BF"/>
    </w:rPr>
  </w:style>
  <w:style w:type="character" w:customStyle="1" w:styleId="QuoteChar">
    <w:name w:val="Quote Char"/>
    <w:basedOn w:val="DefaultParagraphFont"/>
    <w:link w:val="Quote"/>
    <w:uiPriority w:val="29"/>
    <w:rsid w:val="00006CC8"/>
    <w:rPr>
      <w:i/>
      <w:iCs/>
      <w:color w:val="404040" w:themeColor="text1" w:themeTint="BF"/>
    </w:rPr>
  </w:style>
  <w:style w:type="paragraph" w:styleId="ListParagraph">
    <w:name w:val="List Paragraph"/>
    <w:basedOn w:val="Normal"/>
    <w:uiPriority w:val="34"/>
    <w:qFormat/>
    <w:rsid w:val="00006CC8"/>
    <w:pPr>
      <w:ind w:left="720"/>
      <w:contextualSpacing/>
    </w:pPr>
  </w:style>
  <w:style w:type="character" w:styleId="IntenseEmphasis">
    <w:name w:val="Intense Emphasis"/>
    <w:basedOn w:val="DefaultParagraphFont"/>
    <w:uiPriority w:val="21"/>
    <w:qFormat/>
    <w:rsid w:val="00006CC8"/>
    <w:rPr>
      <w:i/>
      <w:iCs/>
      <w:color w:val="0F4761" w:themeColor="accent1" w:themeShade="BF"/>
    </w:rPr>
  </w:style>
  <w:style w:type="paragraph" w:styleId="IntenseQuote">
    <w:name w:val="Intense Quote"/>
    <w:basedOn w:val="Normal"/>
    <w:next w:val="Normal"/>
    <w:link w:val="IntenseQuoteChar"/>
    <w:uiPriority w:val="30"/>
    <w:qFormat/>
    <w:rsid w:val="00006C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6CC8"/>
    <w:rPr>
      <w:i/>
      <w:iCs/>
      <w:color w:val="0F4761" w:themeColor="accent1" w:themeShade="BF"/>
    </w:rPr>
  </w:style>
  <w:style w:type="character" w:styleId="IntenseReference">
    <w:name w:val="Intense Reference"/>
    <w:basedOn w:val="DefaultParagraphFont"/>
    <w:uiPriority w:val="32"/>
    <w:qFormat/>
    <w:rsid w:val="00006C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687</Words>
  <Characters>3920</Characters>
  <Application>Microsoft Office Word</Application>
  <DocSecurity>0</DocSecurity>
  <Lines>32</Lines>
  <Paragraphs>9</Paragraphs>
  <ScaleCrop>false</ScaleCrop>
  <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vishavjeet singh</dc:creator>
  <cp:keywords/>
  <dc:description/>
  <cp:lastModifiedBy>vishavjeet singh</cp:lastModifiedBy>
  <cp:revision>2</cp:revision>
  <dcterms:created xsi:type="dcterms:W3CDTF">2025-12-09T21:47:00Z</dcterms:created>
  <dcterms:modified xsi:type="dcterms:W3CDTF">2025-12-09T21:47:00Z</dcterms:modified>
</cp:coreProperties>
</file>