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F14D1"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09E9A53" w14:textId="77777777" w:rsidR="00672345" w:rsidRPr="0019504D" w:rsidRDefault="00672345" w:rsidP="00672345">
      <w:pPr>
        <w:rPr>
          <w:b/>
          <w:bCs/>
          <w:lang w:val="en-US"/>
        </w:rPr>
      </w:pPr>
      <w:r>
        <w:rPr>
          <w:b/>
          <w:bCs/>
          <w:lang w:val="en-US"/>
        </w:rPr>
        <w:t xml:space="preserve">Cultural Heritage Management </w:t>
      </w:r>
    </w:p>
    <w:p w14:paraId="4F933A7E" w14:textId="77777777" w:rsidR="00672345" w:rsidRDefault="00672345" w:rsidP="00672345">
      <w:pPr>
        <w:rPr>
          <w:lang w:val="en-US"/>
        </w:rPr>
      </w:pPr>
      <w:r w:rsidRPr="0019504D">
        <w:rPr>
          <w:lang w:val="en-US"/>
        </w:rPr>
        <w:t>Ass</w:t>
      </w:r>
      <w:r>
        <w:rPr>
          <w:lang w:val="en-US"/>
        </w:rPr>
        <w:t>ignment 1</w:t>
      </w:r>
    </w:p>
    <w:p w14:paraId="5E37D388" w14:textId="77777777" w:rsidR="00672345" w:rsidRPr="0019504D" w:rsidRDefault="00672345" w:rsidP="00672345">
      <w:pPr>
        <w:rPr>
          <w:lang w:val="en-US"/>
        </w:rPr>
      </w:pPr>
      <w:r>
        <w:rPr>
          <w:lang w:val="en-US"/>
        </w:rPr>
        <w:t>08.04.2026</w:t>
      </w:r>
    </w:p>
    <w:p w14:paraId="1EBAE77E" w14:textId="77777777" w:rsidR="00672345" w:rsidRDefault="00672345"/>
    <w:p w14:paraId="034F9383" w14:textId="77777777" w:rsidR="00672345" w:rsidRDefault="00672345"/>
    <w:p w14:paraId="1EDAA7B0" w14:textId="77777777" w:rsidR="00672345" w:rsidRDefault="00672345"/>
    <w:p w14:paraId="455FCD07" w14:textId="77777777" w:rsidR="00672345" w:rsidRDefault="00672345"/>
    <w:p w14:paraId="074957F8" w14:textId="05936B3C" w:rsidR="00672345" w:rsidRDefault="006F71F3">
      <w:pPr>
        <w:rPr>
          <w:lang w:val="en-GB"/>
        </w:rPr>
      </w:pPr>
      <w:r>
        <w:rPr>
          <w:lang w:val="en-GB"/>
        </w:rPr>
        <w:t>Student name: Karma Wangchuk</w:t>
      </w:r>
    </w:p>
    <w:p w14:paraId="34EB8B63" w14:textId="1E957FB8" w:rsidR="006F71F3" w:rsidRPr="006F71F3" w:rsidRDefault="001D128A">
      <w:pPr>
        <w:rPr>
          <w:lang w:val="en-GB"/>
        </w:rPr>
      </w:pPr>
      <w:r>
        <w:rPr>
          <w:lang w:val="en-GB"/>
        </w:rPr>
        <w:t>ID number</w:t>
      </w:r>
      <w:r w:rsidR="006F71F3">
        <w:rPr>
          <w:lang w:val="en-GB"/>
        </w:rPr>
        <w:t>: DE240180</w:t>
      </w:r>
    </w:p>
    <w:p w14:paraId="23C07114" w14:textId="77777777" w:rsidR="00672345" w:rsidRDefault="00672345"/>
    <w:p w14:paraId="28BED7A5" w14:textId="77777777" w:rsidR="00672345" w:rsidRPr="006F71F3" w:rsidRDefault="00672345" w:rsidP="006F71F3">
      <w:pPr>
        <w:spacing w:line="360" w:lineRule="auto"/>
        <w:jc w:val="both"/>
        <w:rPr>
          <w:rFonts w:ascii="Times New Roman" w:hAnsi="Times New Roman" w:cs="Times New Roman"/>
        </w:rPr>
      </w:pPr>
    </w:p>
    <w:p w14:paraId="6F3451FC" w14:textId="3A4A4844" w:rsidR="006F71F3" w:rsidRPr="006F71F3" w:rsidRDefault="006F71F3" w:rsidP="006F71F3">
      <w:pPr>
        <w:spacing w:line="360" w:lineRule="auto"/>
        <w:jc w:val="both"/>
        <w:rPr>
          <w:rFonts w:ascii="Times New Roman" w:hAnsi="Times New Roman" w:cs="Times New Roman"/>
          <w:lang w:val="en-GB"/>
        </w:rPr>
      </w:pPr>
      <w:r w:rsidRPr="006F71F3">
        <w:rPr>
          <w:rFonts w:ascii="Times New Roman" w:hAnsi="Times New Roman" w:cs="Times New Roman"/>
          <w:lang w:val="en-GB"/>
        </w:rPr>
        <w:t xml:space="preserve">So, what exactly do we mean when we </w:t>
      </w:r>
      <w:r w:rsidRPr="006F71F3">
        <w:rPr>
          <w:rFonts w:ascii="Times New Roman" w:hAnsi="Times New Roman" w:cs="Times New Roman"/>
          <w:lang w:val="en-GB"/>
        </w:rPr>
        <w:t>say,</w:t>
      </w:r>
      <w:r w:rsidRPr="006F71F3">
        <w:rPr>
          <w:rFonts w:ascii="Times New Roman" w:hAnsi="Times New Roman" w:cs="Times New Roman"/>
          <w:lang w:val="en-GB"/>
        </w:rPr>
        <w:t xml:space="preserve"> "cultural heritage"? Honestly, it's more than just old stuff in museums. Cultural heritage is the living, breathing collection of everything a community values from its past</w:t>
      </w:r>
      <w:r>
        <w:rPr>
          <w:rFonts w:ascii="Times New Roman" w:hAnsi="Times New Roman" w:cs="Times New Roman"/>
          <w:lang w:val="en-GB"/>
        </w:rPr>
        <w:t xml:space="preserve"> </w:t>
      </w:r>
      <w:r w:rsidRPr="006F71F3">
        <w:rPr>
          <w:rFonts w:ascii="Times New Roman" w:hAnsi="Times New Roman" w:cs="Times New Roman"/>
          <w:lang w:val="en-GB"/>
        </w:rPr>
        <w:t>traditions, stories, places, even smells and sounds</w:t>
      </w:r>
      <w:r>
        <w:rPr>
          <w:rFonts w:ascii="Times New Roman" w:hAnsi="Times New Roman" w:cs="Times New Roman"/>
          <w:lang w:val="en-GB"/>
        </w:rPr>
        <w:t xml:space="preserve"> </w:t>
      </w:r>
      <w:r w:rsidRPr="006F71F3">
        <w:rPr>
          <w:rFonts w:ascii="Times New Roman" w:hAnsi="Times New Roman" w:cs="Times New Roman"/>
          <w:lang w:val="en-GB"/>
        </w:rPr>
        <w:t>that people decide is worth keeping alive for their kids and grandkids (Smith, 2006). It's not static; it changes as we change.</w:t>
      </w:r>
    </w:p>
    <w:p w14:paraId="453A2DD4" w14:textId="51ED9C7B" w:rsidR="006F71F3" w:rsidRPr="006F71F3" w:rsidRDefault="006F71F3" w:rsidP="006F71F3">
      <w:pPr>
        <w:spacing w:line="360" w:lineRule="auto"/>
        <w:jc w:val="both"/>
        <w:rPr>
          <w:rFonts w:ascii="Times New Roman" w:hAnsi="Times New Roman" w:cs="Times New Roman"/>
          <w:lang w:val="en-GB"/>
        </w:rPr>
      </w:pPr>
      <w:r w:rsidRPr="006F71F3">
        <w:rPr>
          <w:rFonts w:ascii="Times New Roman" w:hAnsi="Times New Roman" w:cs="Times New Roman"/>
          <w:lang w:val="en-GB"/>
        </w:rPr>
        <w:t>UNESCO, the big UN agency that deals with this, has really shaped how the world thinks about heritage. Back in 1972, they focused mostly on </w:t>
      </w:r>
      <w:r w:rsidRPr="006F71F3">
        <w:rPr>
          <w:rFonts w:ascii="Times New Roman" w:hAnsi="Times New Roman" w:cs="Times New Roman"/>
          <w:i/>
          <w:iCs/>
          <w:lang w:val="en-GB"/>
        </w:rPr>
        <w:t>physical</w:t>
      </w:r>
      <w:r w:rsidRPr="006F71F3">
        <w:rPr>
          <w:rFonts w:ascii="Times New Roman" w:hAnsi="Times New Roman" w:cs="Times New Roman"/>
          <w:lang w:val="en-GB"/>
        </w:rPr>
        <w:t> things</w:t>
      </w:r>
      <w:r>
        <w:rPr>
          <w:rFonts w:ascii="Times New Roman" w:hAnsi="Times New Roman" w:cs="Times New Roman"/>
          <w:lang w:val="en-GB"/>
        </w:rPr>
        <w:t xml:space="preserve"> </w:t>
      </w:r>
      <w:r w:rsidRPr="006F71F3">
        <w:rPr>
          <w:rFonts w:ascii="Times New Roman" w:hAnsi="Times New Roman" w:cs="Times New Roman"/>
          <w:lang w:val="en-GB"/>
        </w:rPr>
        <w:t>think the Pyramids or the Great Wall. That was the classic "monument" view. But critics pointed out that this ignored living traditions. So, UNESCO shifted gears. By 2003, they officially recognized </w:t>
      </w:r>
      <w:r w:rsidRPr="006F71F3">
        <w:rPr>
          <w:rFonts w:ascii="Times New Roman" w:hAnsi="Times New Roman" w:cs="Times New Roman"/>
          <w:i/>
          <w:iCs/>
          <w:lang w:val="en-GB"/>
        </w:rPr>
        <w:t>intangible</w:t>
      </w:r>
      <w:r w:rsidRPr="006F71F3">
        <w:rPr>
          <w:rFonts w:ascii="Times New Roman" w:hAnsi="Times New Roman" w:cs="Times New Roman"/>
          <w:lang w:val="en-GB"/>
        </w:rPr>
        <w:t> heritage, like oral stories, dance, and rituals. Today, UNESCO sees heritage less as a dusty trophy and more as a living process</w:t>
      </w:r>
      <w:r>
        <w:rPr>
          <w:rFonts w:ascii="Times New Roman" w:hAnsi="Times New Roman" w:cs="Times New Roman"/>
          <w:lang w:val="en-GB"/>
        </w:rPr>
        <w:t xml:space="preserve"> </w:t>
      </w:r>
      <w:r w:rsidRPr="006F71F3">
        <w:rPr>
          <w:rFonts w:ascii="Times New Roman" w:hAnsi="Times New Roman" w:cs="Times New Roman"/>
          <w:lang w:val="en-GB"/>
        </w:rPr>
        <w:t>something communities actively participate in, not just observe (Blake, 2015).</w:t>
      </w:r>
    </w:p>
    <w:p w14:paraId="0FF14C95" w14:textId="77777777" w:rsidR="006F71F3" w:rsidRDefault="006F71F3" w:rsidP="006F71F3">
      <w:pPr>
        <w:spacing w:line="360" w:lineRule="auto"/>
        <w:jc w:val="both"/>
        <w:rPr>
          <w:rFonts w:ascii="Times New Roman" w:hAnsi="Times New Roman" w:cs="Times New Roman"/>
          <w:b/>
          <w:bCs/>
          <w:lang w:val="en-GB"/>
        </w:rPr>
      </w:pPr>
    </w:p>
    <w:p w14:paraId="5405F771" w14:textId="3EA18213" w:rsidR="006F71F3" w:rsidRPr="006F71F3" w:rsidRDefault="006F71F3" w:rsidP="006F71F3">
      <w:pPr>
        <w:spacing w:line="360" w:lineRule="auto"/>
        <w:jc w:val="both"/>
        <w:rPr>
          <w:rFonts w:ascii="Times New Roman" w:hAnsi="Times New Roman" w:cs="Times New Roman"/>
          <w:lang w:val="en-GB"/>
        </w:rPr>
      </w:pPr>
      <w:r w:rsidRPr="006F71F3">
        <w:rPr>
          <w:rFonts w:ascii="Times New Roman" w:hAnsi="Times New Roman" w:cs="Times New Roman"/>
          <w:lang w:val="en-GB"/>
        </w:rPr>
        <w:t>Tangible heritage is the stuff you can physically touch. Walk up to it, knock on it, put it in a glass case. This includes two types: </w:t>
      </w:r>
      <w:r w:rsidRPr="006F71F3">
        <w:rPr>
          <w:rFonts w:ascii="Times New Roman" w:hAnsi="Times New Roman" w:cs="Times New Roman"/>
          <w:i/>
          <w:iCs/>
          <w:lang w:val="en-GB"/>
        </w:rPr>
        <w:t>movable</w:t>
      </w:r>
      <w:r w:rsidRPr="006F71F3">
        <w:rPr>
          <w:rFonts w:ascii="Times New Roman" w:hAnsi="Times New Roman" w:cs="Times New Roman"/>
          <w:lang w:val="en-GB"/>
        </w:rPr>
        <w:t> (paintings, books, furniture) and </w:t>
      </w:r>
      <w:r w:rsidRPr="006F71F3">
        <w:rPr>
          <w:rFonts w:ascii="Times New Roman" w:hAnsi="Times New Roman" w:cs="Times New Roman"/>
          <w:i/>
          <w:iCs/>
          <w:lang w:val="en-GB"/>
        </w:rPr>
        <w:t>immovable</w:t>
      </w:r>
      <w:r w:rsidRPr="006F71F3">
        <w:rPr>
          <w:rFonts w:ascii="Times New Roman" w:hAnsi="Times New Roman" w:cs="Times New Roman"/>
          <w:lang w:val="en-GB"/>
        </w:rPr>
        <w:t xml:space="preserve"> (buildings, monuments, archaeological sites). The Colosseum in Rome? Tangible. A medieval manuscript? </w:t>
      </w:r>
      <w:r w:rsidRPr="006F71F3">
        <w:rPr>
          <w:rFonts w:ascii="Times New Roman" w:hAnsi="Times New Roman" w:cs="Times New Roman"/>
          <w:lang w:val="en-GB"/>
        </w:rPr>
        <w:t>Also,</w:t>
      </w:r>
      <w:r w:rsidRPr="006F71F3">
        <w:rPr>
          <w:rFonts w:ascii="Times New Roman" w:hAnsi="Times New Roman" w:cs="Times New Roman"/>
          <w:lang w:val="en-GB"/>
        </w:rPr>
        <w:t xml:space="preserve"> tangible. The main goal here is </w:t>
      </w:r>
      <w:r w:rsidRPr="006F71F3">
        <w:rPr>
          <w:rFonts w:ascii="Times New Roman" w:hAnsi="Times New Roman" w:cs="Times New Roman"/>
          <w:i/>
          <w:iCs/>
          <w:lang w:val="en-GB"/>
        </w:rPr>
        <w:t>conservation</w:t>
      </w:r>
      <w:r>
        <w:rPr>
          <w:rFonts w:ascii="Times New Roman" w:hAnsi="Times New Roman" w:cs="Times New Roman"/>
          <w:lang w:val="en-GB"/>
        </w:rPr>
        <w:t xml:space="preserve"> </w:t>
      </w:r>
      <w:r w:rsidRPr="006F71F3">
        <w:rPr>
          <w:rFonts w:ascii="Times New Roman" w:hAnsi="Times New Roman" w:cs="Times New Roman"/>
          <w:lang w:val="en-GB"/>
        </w:rPr>
        <w:t>keeping the physical object from falling apart (UNESCO, 1972).</w:t>
      </w:r>
    </w:p>
    <w:p w14:paraId="0A861FCF" w14:textId="77777777" w:rsidR="006F71F3" w:rsidRDefault="006F71F3" w:rsidP="006F71F3">
      <w:pPr>
        <w:spacing w:line="360" w:lineRule="auto"/>
        <w:jc w:val="both"/>
        <w:rPr>
          <w:rFonts w:ascii="Times New Roman" w:hAnsi="Times New Roman" w:cs="Times New Roman"/>
          <w:b/>
          <w:bCs/>
          <w:lang w:val="en-GB"/>
        </w:rPr>
      </w:pPr>
    </w:p>
    <w:p w14:paraId="03F28C23" w14:textId="782D7712" w:rsidR="006F71F3" w:rsidRPr="006F71F3" w:rsidRDefault="006F71F3" w:rsidP="006F71F3">
      <w:pPr>
        <w:spacing w:line="360" w:lineRule="auto"/>
        <w:jc w:val="both"/>
        <w:rPr>
          <w:rFonts w:ascii="Times New Roman" w:hAnsi="Times New Roman" w:cs="Times New Roman"/>
          <w:lang w:val="en-GB"/>
        </w:rPr>
      </w:pPr>
      <w:r w:rsidRPr="006F71F3">
        <w:rPr>
          <w:rFonts w:ascii="Times New Roman" w:hAnsi="Times New Roman" w:cs="Times New Roman"/>
          <w:lang w:val="en-GB"/>
        </w:rPr>
        <w:t>Intangible heritage is trickier because you can't hold it in your hand. It's the living traditions people do. UNESCO (2003) lists things like oral storytelling, performing arts (flamenco, anyone?), social rituals (weddings, festivals), and traditional craftsmanship. Think of it this way: a guitar is tangible. The skill of playing flamenco</w:t>
      </w:r>
      <w:r>
        <w:rPr>
          <w:rFonts w:ascii="Times New Roman" w:hAnsi="Times New Roman" w:cs="Times New Roman"/>
          <w:lang w:val="en-GB"/>
        </w:rPr>
        <w:t xml:space="preserve"> </w:t>
      </w:r>
      <w:r w:rsidRPr="006F71F3">
        <w:rPr>
          <w:rFonts w:ascii="Times New Roman" w:hAnsi="Times New Roman" w:cs="Times New Roman"/>
          <w:lang w:val="en-GB"/>
        </w:rPr>
        <w:t>the rhythm, the emotion, the passing down of techniques from abuela to granddaughter</w:t>
      </w:r>
      <w:r>
        <w:rPr>
          <w:rFonts w:ascii="Times New Roman" w:hAnsi="Times New Roman" w:cs="Times New Roman"/>
          <w:lang w:val="en-GB"/>
        </w:rPr>
        <w:t xml:space="preserve"> </w:t>
      </w:r>
      <w:r w:rsidRPr="006F71F3">
        <w:rPr>
          <w:rFonts w:ascii="Times New Roman" w:hAnsi="Times New Roman" w:cs="Times New Roman"/>
          <w:lang w:val="en-GB"/>
        </w:rPr>
        <w:t xml:space="preserve">that's intangible. It exists only when people </w:t>
      </w:r>
      <w:r w:rsidRPr="006F71F3">
        <w:rPr>
          <w:rFonts w:ascii="Times New Roman" w:hAnsi="Times New Roman" w:cs="Times New Roman"/>
          <w:lang w:val="en-GB"/>
        </w:rPr>
        <w:lastRenderedPageBreak/>
        <w:t>perform it. And here's the kicker: they're often tangled together. A temple (tangible) might be meaningless without the annual festival (intangible) held there (Smith &amp; Akagawa, 2009).</w:t>
      </w:r>
    </w:p>
    <w:p w14:paraId="4B3F1C65" w14:textId="77777777" w:rsidR="006F71F3" w:rsidRDefault="006F71F3" w:rsidP="006F71F3">
      <w:pPr>
        <w:spacing w:line="360" w:lineRule="auto"/>
        <w:jc w:val="both"/>
        <w:rPr>
          <w:rFonts w:ascii="Times New Roman" w:hAnsi="Times New Roman" w:cs="Times New Roman"/>
          <w:b/>
          <w:bCs/>
          <w:lang w:val="en-GB"/>
        </w:rPr>
      </w:pPr>
    </w:p>
    <w:p w14:paraId="75DCD18C" w14:textId="77777777" w:rsidR="006F71F3" w:rsidRDefault="006F71F3" w:rsidP="006F71F3">
      <w:pPr>
        <w:spacing w:line="360" w:lineRule="auto"/>
        <w:jc w:val="both"/>
        <w:rPr>
          <w:rFonts w:ascii="Times New Roman" w:hAnsi="Times New Roman" w:cs="Times New Roman"/>
          <w:b/>
          <w:bCs/>
          <w:lang w:val="en-GB"/>
        </w:rPr>
      </w:pPr>
    </w:p>
    <w:p w14:paraId="0278E981" w14:textId="77777777" w:rsidR="006F71F3" w:rsidRDefault="006F71F3" w:rsidP="006F71F3">
      <w:pPr>
        <w:spacing w:line="360" w:lineRule="auto"/>
        <w:jc w:val="both"/>
        <w:rPr>
          <w:rFonts w:ascii="Times New Roman" w:hAnsi="Times New Roman" w:cs="Times New Roman"/>
          <w:b/>
          <w:bCs/>
          <w:lang w:val="en-GB"/>
        </w:rPr>
      </w:pPr>
    </w:p>
    <w:p w14:paraId="0AF6C547" w14:textId="335FEFA2" w:rsidR="006F71F3" w:rsidRPr="006F71F3" w:rsidRDefault="006F71F3" w:rsidP="006F71F3">
      <w:pPr>
        <w:spacing w:line="360" w:lineRule="auto"/>
        <w:jc w:val="both"/>
        <w:rPr>
          <w:rFonts w:ascii="Times New Roman" w:hAnsi="Times New Roman" w:cs="Times New Roman"/>
          <w:b/>
          <w:bCs/>
          <w:lang w:val="en-GB"/>
        </w:rPr>
      </w:pPr>
      <w:r w:rsidRPr="006F71F3">
        <w:rPr>
          <w:rFonts w:ascii="Times New Roman" w:hAnsi="Times New Roman" w:cs="Times New Roman"/>
          <w:b/>
          <w:bCs/>
          <w:lang w:val="en-GB"/>
        </w:rPr>
        <w:t>References</w:t>
      </w:r>
    </w:p>
    <w:p w14:paraId="37FAEEDD" w14:textId="77777777" w:rsidR="006F71F3" w:rsidRPr="006F71F3" w:rsidRDefault="006F71F3" w:rsidP="006F71F3">
      <w:pPr>
        <w:spacing w:line="360" w:lineRule="auto"/>
        <w:jc w:val="both"/>
        <w:rPr>
          <w:rFonts w:ascii="Times New Roman" w:hAnsi="Times New Roman" w:cs="Times New Roman"/>
          <w:lang w:val="en-GB"/>
        </w:rPr>
      </w:pPr>
      <w:r w:rsidRPr="006F71F3">
        <w:rPr>
          <w:rFonts w:ascii="Times New Roman" w:hAnsi="Times New Roman" w:cs="Times New Roman"/>
          <w:lang w:val="en-GB"/>
        </w:rPr>
        <w:t>Blake, J. (2015). </w:t>
      </w:r>
      <w:r w:rsidRPr="006F71F3">
        <w:rPr>
          <w:rFonts w:ascii="Times New Roman" w:hAnsi="Times New Roman" w:cs="Times New Roman"/>
          <w:i/>
          <w:iCs/>
          <w:lang w:val="en-GB"/>
        </w:rPr>
        <w:t>International cultural heritage law</w:t>
      </w:r>
      <w:r w:rsidRPr="006F71F3">
        <w:rPr>
          <w:rFonts w:ascii="Times New Roman" w:hAnsi="Times New Roman" w:cs="Times New Roman"/>
          <w:lang w:val="en-GB"/>
        </w:rPr>
        <w:t>. Oxford University Press.</w:t>
      </w:r>
    </w:p>
    <w:p w14:paraId="30AA655C" w14:textId="77777777" w:rsidR="006F71F3" w:rsidRPr="006F71F3" w:rsidRDefault="006F71F3" w:rsidP="006F71F3">
      <w:pPr>
        <w:spacing w:line="360" w:lineRule="auto"/>
        <w:jc w:val="both"/>
        <w:rPr>
          <w:rFonts w:ascii="Times New Roman" w:hAnsi="Times New Roman" w:cs="Times New Roman"/>
          <w:lang w:val="en-GB"/>
        </w:rPr>
      </w:pPr>
      <w:r w:rsidRPr="006F71F3">
        <w:rPr>
          <w:rFonts w:ascii="Times New Roman" w:hAnsi="Times New Roman" w:cs="Times New Roman"/>
          <w:lang w:val="en-GB"/>
        </w:rPr>
        <w:t>Smith, L. (2006). </w:t>
      </w:r>
      <w:r w:rsidRPr="006F71F3">
        <w:rPr>
          <w:rFonts w:ascii="Times New Roman" w:hAnsi="Times New Roman" w:cs="Times New Roman"/>
          <w:i/>
          <w:iCs/>
          <w:lang w:val="en-GB"/>
        </w:rPr>
        <w:t>Uses of heritage</w:t>
      </w:r>
      <w:r w:rsidRPr="006F71F3">
        <w:rPr>
          <w:rFonts w:ascii="Times New Roman" w:hAnsi="Times New Roman" w:cs="Times New Roman"/>
          <w:lang w:val="en-GB"/>
        </w:rPr>
        <w:t>. Routledge.</w:t>
      </w:r>
    </w:p>
    <w:p w14:paraId="13FF426E" w14:textId="77777777" w:rsidR="006F71F3" w:rsidRPr="006F71F3" w:rsidRDefault="006F71F3" w:rsidP="006F71F3">
      <w:pPr>
        <w:spacing w:line="360" w:lineRule="auto"/>
        <w:jc w:val="both"/>
        <w:rPr>
          <w:rFonts w:ascii="Times New Roman" w:hAnsi="Times New Roman" w:cs="Times New Roman"/>
          <w:lang w:val="en-GB"/>
        </w:rPr>
      </w:pPr>
      <w:r w:rsidRPr="006F71F3">
        <w:rPr>
          <w:rFonts w:ascii="Times New Roman" w:hAnsi="Times New Roman" w:cs="Times New Roman"/>
          <w:lang w:val="en-GB"/>
        </w:rPr>
        <w:t>Smith, L., &amp; Akagawa, N. (Eds.). (2009). </w:t>
      </w:r>
      <w:r w:rsidRPr="006F71F3">
        <w:rPr>
          <w:rFonts w:ascii="Times New Roman" w:hAnsi="Times New Roman" w:cs="Times New Roman"/>
          <w:i/>
          <w:iCs/>
          <w:lang w:val="en-GB"/>
        </w:rPr>
        <w:t>Intangible heritage</w:t>
      </w:r>
      <w:r w:rsidRPr="006F71F3">
        <w:rPr>
          <w:rFonts w:ascii="Times New Roman" w:hAnsi="Times New Roman" w:cs="Times New Roman"/>
          <w:lang w:val="en-GB"/>
        </w:rPr>
        <w:t>. Routledge.</w:t>
      </w:r>
    </w:p>
    <w:p w14:paraId="42A43ECB" w14:textId="77777777" w:rsidR="006F71F3" w:rsidRPr="006F71F3" w:rsidRDefault="006F71F3" w:rsidP="006F71F3">
      <w:pPr>
        <w:spacing w:line="360" w:lineRule="auto"/>
        <w:jc w:val="both"/>
        <w:rPr>
          <w:rFonts w:ascii="Times New Roman" w:hAnsi="Times New Roman" w:cs="Times New Roman"/>
          <w:lang w:val="en-GB"/>
        </w:rPr>
      </w:pPr>
      <w:r w:rsidRPr="006F71F3">
        <w:rPr>
          <w:rFonts w:ascii="Times New Roman" w:hAnsi="Times New Roman" w:cs="Times New Roman"/>
          <w:lang w:val="en-GB"/>
        </w:rPr>
        <w:t>UNESCO. (1972). </w:t>
      </w:r>
      <w:r w:rsidRPr="006F71F3">
        <w:rPr>
          <w:rFonts w:ascii="Times New Roman" w:hAnsi="Times New Roman" w:cs="Times New Roman"/>
          <w:i/>
          <w:iCs/>
          <w:lang w:val="en-GB"/>
        </w:rPr>
        <w:t>Convention concerning the protection of the world cultural and natural heritage</w:t>
      </w:r>
      <w:r w:rsidRPr="006F71F3">
        <w:rPr>
          <w:rFonts w:ascii="Times New Roman" w:hAnsi="Times New Roman" w:cs="Times New Roman"/>
          <w:lang w:val="en-GB"/>
        </w:rPr>
        <w:t>. UNESCO World Heritage Centre.</w:t>
      </w:r>
    </w:p>
    <w:p w14:paraId="3209BA81" w14:textId="77777777" w:rsidR="006F71F3" w:rsidRPr="006F71F3" w:rsidRDefault="006F71F3" w:rsidP="006F71F3">
      <w:pPr>
        <w:spacing w:line="360" w:lineRule="auto"/>
        <w:jc w:val="both"/>
        <w:rPr>
          <w:rFonts w:ascii="Times New Roman" w:hAnsi="Times New Roman" w:cs="Times New Roman"/>
          <w:lang w:val="en-GB"/>
        </w:rPr>
      </w:pPr>
      <w:r w:rsidRPr="006F71F3">
        <w:rPr>
          <w:rFonts w:ascii="Times New Roman" w:hAnsi="Times New Roman" w:cs="Times New Roman"/>
          <w:lang w:val="en-GB"/>
        </w:rPr>
        <w:t>UNESCO. (2003). </w:t>
      </w:r>
      <w:r w:rsidRPr="006F71F3">
        <w:rPr>
          <w:rFonts w:ascii="Times New Roman" w:hAnsi="Times New Roman" w:cs="Times New Roman"/>
          <w:i/>
          <w:iCs/>
          <w:lang w:val="en-GB"/>
        </w:rPr>
        <w:t>Convention for the safeguarding of the intangible cultural heritage</w:t>
      </w:r>
      <w:r w:rsidRPr="006F71F3">
        <w:rPr>
          <w:rFonts w:ascii="Times New Roman" w:hAnsi="Times New Roman" w:cs="Times New Roman"/>
          <w:lang w:val="en-GB"/>
        </w:rPr>
        <w:t>. UNESCO.</w:t>
      </w:r>
    </w:p>
    <w:p w14:paraId="0C60A987" w14:textId="77777777" w:rsidR="00672345" w:rsidRPr="006F71F3" w:rsidRDefault="00672345" w:rsidP="006F71F3">
      <w:pPr>
        <w:spacing w:line="360" w:lineRule="auto"/>
        <w:jc w:val="both"/>
        <w:rPr>
          <w:rFonts w:ascii="Times New Roman" w:hAnsi="Times New Roman" w:cs="Times New Roman"/>
          <w:lang w:val="en-GB"/>
        </w:rPr>
      </w:pPr>
    </w:p>
    <w:p w14:paraId="73545F0E" w14:textId="77777777" w:rsidR="00672345" w:rsidRPr="006F71F3" w:rsidRDefault="00672345" w:rsidP="006F71F3">
      <w:pPr>
        <w:spacing w:line="360" w:lineRule="auto"/>
        <w:jc w:val="both"/>
        <w:rPr>
          <w:rFonts w:ascii="Times New Roman" w:hAnsi="Times New Roman" w:cs="Times New Roman"/>
        </w:rPr>
      </w:pPr>
    </w:p>
    <w:p w14:paraId="06CF9313" w14:textId="77777777" w:rsidR="00672345" w:rsidRPr="006F71F3" w:rsidRDefault="00672345" w:rsidP="006F71F3">
      <w:pPr>
        <w:spacing w:line="360" w:lineRule="auto"/>
        <w:jc w:val="both"/>
        <w:rPr>
          <w:rFonts w:ascii="Times New Roman" w:hAnsi="Times New Roman" w:cs="Times New Roman"/>
        </w:rPr>
      </w:pPr>
    </w:p>
    <w:p w14:paraId="1568DF83" w14:textId="77777777" w:rsidR="00672345" w:rsidRPr="006F71F3" w:rsidRDefault="00672345" w:rsidP="006F71F3">
      <w:pPr>
        <w:spacing w:line="360" w:lineRule="auto"/>
        <w:jc w:val="both"/>
        <w:rPr>
          <w:rFonts w:ascii="Times New Roman" w:hAnsi="Times New Roman" w:cs="Times New Roman"/>
        </w:rPr>
      </w:pPr>
    </w:p>
    <w:sectPr w:rsidR="00672345" w:rsidRPr="006F71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C864D1A1-A8CE-4627-B9A6-238F04615484}"/>
    <w:embedBold r:id="rId2" w:fontKey="{762931C1-7F04-4A5E-A553-8A1B1299DF5C}"/>
    <w:embedItalic r:id="rId3" w:fontKey="{7D9546EF-897F-4EA3-B773-1B87A624F05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06E8A35-8AA4-4C22-8760-A6388D610EED}"/>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5" w:fontKey="{5A59848F-C20C-46FB-BD09-302FF3A54FD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1D128A"/>
    <w:rsid w:val="00224FD9"/>
    <w:rsid w:val="002F4AE0"/>
    <w:rsid w:val="003213C2"/>
    <w:rsid w:val="00384E8A"/>
    <w:rsid w:val="003D1074"/>
    <w:rsid w:val="00426865"/>
    <w:rsid w:val="00477CAA"/>
    <w:rsid w:val="00502E29"/>
    <w:rsid w:val="005E458B"/>
    <w:rsid w:val="00672345"/>
    <w:rsid w:val="006F71F3"/>
    <w:rsid w:val="00844EC2"/>
    <w:rsid w:val="008516FE"/>
    <w:rsid w:val="009C1D0A"/>
    <w:rsid w:val="00A044F7"/>
    <w:rsid w:val="00A8150E"/>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B35FF"/>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384</Words>
  <Characters>2195</Characters>
  <Application>Microsoft Office Word</Application>
  <DocSecurity>0</DocSecurity>
  <Lines>18</Lines>
  <Paragraphs>5</Paragraphs>
  <ScaleCrop>false</ScaleCrop>
  <Company/>
  <LinksUpToDate>false</LinksUpToDate>
  <CharactersWithSpaces>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karma wangchuk</cp:lastModifiedBy>
  <cp:revision>3</cp:revision>
  <dcterms:created xsi:type="dcterms:W3CDTF">2026-04-08T12:41:00Z</dcterms:created>
  <dcterms:modified xsi:type="dcterms:W3CDTF">2026-04-14T16:42:00Z</dcterms:modified>
</cp:coreProperties>
</file>