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D59E7"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27EA978" w14:textId="77777777" w:rsidR="00672345" w:rsidRPr="0019504D" w:rsidRDefault="00672345" w:rsidP="00672345">
      <w:pPr>
        <w:rPr>
          <w:b/>
          <w:bCs/>
          <w:lang w:val="en-US"/>
        </w:rPr>
      </w:pPr>
      <w:r>
        <w:rPr>
          <w:b/>
          <w:bCs/>
          <w:lang w:val="en-US"/>
        </w:rPr>
        <w:t xml:space="preserve">Cultural Heritage Management </w:t>
      </w:r>
    </w:p>
    <w:p w14:paraId="50381D0F" w14:textId="77777777" w:rsidR="00672345" w:rsidRDefault="00672345" w:rsidP="00672345">
      <w:pPr>
        <w:rPr>
          <w:lang w:val="en-US"/>
        </w:rPr>
      </w:pPr>
      <w:r w:rsidRPr="0019504D">
        <w:rPr>
          <w:lang w:val="en-US"/>
        </w:rPr>
        <w:t>Ass</w:t>
      </w:r>
      <w:r>
        <w:rPr>
          <w:lang w:val="en-US"/>
        </w:rPr>
        <w:t xml:space="preserve">ignment </w:t>
      </w:r>
      <w:r w:rsidR="00942251">
        <w:rPr>
          <w:lang w:val="en-US"/>
        </w:rPr>
        <w:t>2</w:t>
      </w:r>
    </w:p>
    <w:p w14:paraId="13BFB8B2" w14:textId="77777777" w:rsidR="00672345" w:rsidRPr="0019504D" w:rsidRDefault="00942251" w:rsidP="00672345">
      <w:pPr>
        <w:rPr>
          <w:lang w:val="en-US"/>
        </w:rPr>
      </w:pPr>
      <w:r>
        <w:rPr>
          <w:lang w:val="en-US"/>
        </w:rPr>
        <w:t>15</w:t>
      </w:r>
      <w:r w:rsidR="00672345">
        <w:rPr>
          <w:lang w:val="en-US"/>
        </w:rPr>
        <w:t>.0</w:t>
      </w:r>
      <w:r>
        <w:rPr>
          <w:lang w:val="en-US"/>
        </w:rPr>
        <w:t>4</w:t>
      </w:r>
      <w:r w:rsidR="00672345">
        <w:rPr>
          <w:lang w:val="en-US"/>
        </w:rPr>
        <w:t>.2026</w:t>
      </w:r>
    </w:p>
    <w:p w14:paraId="3D1D52E4" w14:textId="77777777" w:rsidR="00672345" w:rsidRDefault="00672345"/>
    <w:p w14:paraId="2901C095" w14:textId="77777777" w:rsidR="00672345" w:rsidRDefault="00672345"/>
    <w:p w14:paraId="4345E01B" w14:textId="77777777" w:rsidR="00672345" w:rsidRDefault="00672345"/>
    <w:p w14:paraId="6AB34CB0" w14:textId="77777777" w:rsidR="00672345" w:rsidRDefault="00672345"/>
    <w:p w14:paraId="7B91F6D1" w14:textId="77777777" w:rsidR="00672345" w:rsidRDefault="00672345"/>
    <w:p w14:paraId="29B6ABEF" w14:textId="77777777" w:rsidR="00672345" w:rsidRDefault="00672345"/>
    <w:p w14:paraId="5FEEBAFA" w14:textId="77777777" w:rsidR="00672345" w:rsidRDefault="00672345"/>
    <w:p w14:paraId="6487E9C7" w14:textId="77777777" w:rsidR="00672345" w:rsidRDefault="00672345"/>
    <w:p w14:paraId="4D2052C8" w14:textId="77777777" w:rsidR="00672345" w:rsidRDefault="00672345"/>
    <w:p w14:paraId="6C14942D" w14:textId="77777777" w:rsidR="00672345" w:rsidRDefault="00672345"/>
    <w:p w14:paraId="6C857429" w14:textId="77777777" w:rsidR="00672345" w:rsidRDefault="00672345"/>
    <w:p w14:paraId="56C645CD" w14:textId="77777777" w:rsidR="00672345" w:rsidRDefault="00672345"/>
    <w:p w14:paraId="0F709B86" w14:textId="77777777" w:rsidR="00672345" w:rsidRDefault="00672345"/>
    <w:p w14:paraId="6E0B132F" w14:textId="77777777" w:rsidR="00672345" w:rsidRDefault="00672345" w:rsidP="00672345">
      <w:pPr>
        <w:spacing w:line="276" w:lineRule="auto"/>
        <w:rPr>
          <w:b/>
          <w:bCs/>
          <w:lang w:val="en-US"/>
        </w:rPr>
      </w:pPr>
      <w:r w:rsidRPr="00EA737F">
        <w:rPr>
          <w:b/>
          <w:bCs/>
          <w:lang w:val="en-US"/>
        </w:rPr>
        <w:t>In no more than 500 words</w:t>
      </w:r>
      <w:r>
        <w:rPr>
          <w:b/>
          <w:bCs/>
          <w:lang w:val="en-US"/>
        </w:rPr>
        <w:t>, each explain and 2-4 references:</w:t>
      </w:r>
    </w:p>
    <w:p w14:paraId="39EBD20F" w14:textId="77777777" w:rsidR="00672345" w:rsidRDefault="00672345" w:rsidP="00672345">
      <w:pPr>
        <w:spacing w:line="276" w:lineRule="auto"/>
        <w:rPr>
          <w:b/>
          <w:bCs/>
          <w:lang w:val="en-US"/>
        </w:rPr>
      </w:pPr>
    </w:p>
    <w:p w14:paraId="26E65727" w14:textId="77777777" w:rsidR="00672345" w:rsidRPr="00EA737F" w:rsidRDefault="00672345" w:rsidP="00672345">
      <w:pPr>
        <w:spacing w:line="276" w:lineRule="auto"/>
        <w:rPr>
          <w:b/>
          <w:bCs/>
          <w:lang w:val="en-US"/>
        </w:rPr>
      </w:pPr>
    </w:p>
    <w:p w14:paraId="6DAA3481" w14:textId="77777777" w:rsidR="00672345" w:rsidRDefault="00672345" w:rsidP="00672345">
      <w:pPr>
        <w:spacing w:line="276" w:lineRule="auto"/>
        <w:rPr>
          <w:lang w:val="en-US"/>
        </w:rPr>
      </w:pPr>
    </w:p>
    <w:p w14:paraId="35AD21B0" w14:textId="77777777" w:rsidR="00672345" w:rsidRDefault="00672345" w:rsidP="00942251">
      <w:pPr>
        <w:spacing w:line="276" w:lineRule="auto"/>
        <w:rPr>
          <w:lang w:val="en-US"/>
        </w:rPr>
      </w:pPr>
      <w:r w:rsidRPr="009C582A">
        <w:rPr>
          <w:lang w:val="en-US"/>
        </w:rPr>
        <w:t xml:space="preserve">1- </w:t>
      </w:r>
      <w:r w:rsidR="00942251" w:rsidRPr="00942251">
        <w:rPr>
          <w:lang w:val="en-US"/>
        </w:rPr>
        <w:t>Using examples, discuss the differences between the conventional and value-led approaches in heritage management and evaluate which approach is more effective in contemporary contexts.</w:t>
      </w:r>
    </w:p>
    <w:p w14:paraId="5E43EB5A" w14:textId="77777777" w:rsidR="004F00A3" w:rsidRDefault="004F00A3" w:rsidP="00942251">
      <w:pPr>
        <w:spacing w:line="276" w:lineRule="auto"/>
        <w:rPr>
          <w:lang w:val="en-US"/>
        </w:rPr>
      </w:pPr>
    </w:p>
    <w:p w14:paraId="5A5FEDE5" w14:textId="77777777" w:rsidR="004F00A3" w:rsidRDefault="004F00A3" w:rsidP="00942251">
      <w:pPr>
        <w:spacing w:line="276" w:lineRule="auto"/>
        <w:rPr>
          <w:lang w:val="en-US"/>
        </w:rPr>
      </w:pPr>
    </w:p>
    <w:p w14:paraId="192412D1" w14:textId="77777777" w:rsidR="004F00A3" w:rsidRDefault="004F00A3" w:rsidP="00942251">
      <w:pPr>
        <w:spacing w:line="276" w:lineRule="auto"/>
        <w:rPr>
          <w:lang w:val="en-US"/>
        </w:rPr>
      </w:pPr>
    </w:p>
    <w:p w14:paraId="53064AF7" w14:textId="77777777" w:rsidR="004F00A3" w:rsidRDefault="004F00A3" w:rsidP="00942251">
      <w:pPr>
        <w:spacing w:line="276" w:lineRule="auto"/>
        <w:rPr>
          <w:lang w:val="en-US"/>
        </w:rPr>
      </w:pPr>
    </w:p>
    <w:p w14:paraId="6CA32117" w14:textId="77777777" w:rsidR="004F00A3" w:rsidRDefault="004F00A3" w:rsidP="00942251">
      <w:pPr>
        <w:spacing w:line="276" w:lineRule="auto"/>
        <w:rPr>
          <w:lang w:val="en-US"/>
        </w:rPr>
      </w:pPr>
    </w:p>
    <w:p w14:paraId="384377AF" w14:textId="77777777" w:rsidR="004F00A3" w:rsidRDefault="004F00A3" w:rsidP="00942251">
      <w:pPr>
        <w:spacing w:line="276" w:lineRule="auto"/>
        <w:rPr>
          <w:lang w:val="en-US"/>
        </w:rPr>
      </w:pPr>
    </w:p>
    <w:p w14:paraId="0955F14C" w14:textId="77777777" w:rsidR="004F00A3" w:rsidRDefault="004F00A3" w:rsidP="00942251">
      <w:pPr>
        <w:spacing w:line="276" w:lineRule="auto"/>
        <w:rPr>
          <w:lang w:val="en-US"/>
        </w:rPr>
      </w:pPr>
    </w:p>
    <w:p w14:paraId="1C095885" w14:textId="77777777" w:rsidR="004F00A3" w:rsidRDefault="004F00A3" w:rsidP="00942251">
      <w:pPr>
        <w:spacing w:line="276" w:lineRule="auto"/>
        <w:rPr>
          <w:lang w:val="en-US"/>
        </w:rPr>
      </w:pPr>
    </w:p>
    <w:p w14:paraId="63250548" w14:textId="77777777" w:rsidR="004F00A3" w:rsidRDefault="004F00A3" w:rsidP="00942251">
      <w:pPr>
        <w:spacing w:line="276" w:lineRule="auto"/>
        <w:rPr>
          <w:lang w:val="en-US"/>
        </w:rPr>
      </w:pPr>
    </w:p>
    <w:p w14:paraId="5F9A2B54" w14:textId="77777777" w:rsidR="004F00A3" w:rsidRDefault="004F00A3" w:rsidP="00942251">
      <w:pPr>
        <w:spacing w:line="276" w:lineRule="auto"/>
        <w:rPr>
          <w:lang w:val="en-US"/>
        </w:rPr>
      </w:pPr>
    </w:p>
    <w:p w14:paraId="342FA049" w14:textId="77777777" w:rsidR="004F00A3" w:rsidRDefault="004F00A3" w:rsidP="00942251">
      <w:pPr>
        <w:spacing w:line="276" w:lineRule="auto"/>
        <w:rPr>
          <w:lang w:val="en-US"/>
        </w:rPr>
      </w:pPr>
    </w:p>
    <w:p w14:paraId="7E8A2E38" w14:textId="77777777" w:rsidR="004F00A3" w:rsidRDefault="004F00A3" w:rsidP="00942251">
      <w:pPr>
        <w:spacing w:line="276" w:lineRule="auto"/>
        <w:rPr>
          <w:lang w:val="en-US"/>
        </w:rPr>
      </w:pPr>
    </w:p>
    <w:p w14:paraId="4D19B6B7" w14:textId="77777777" w:rsidR="004F00A3" w:rsidRDefault="004F00A3" w:rsidP="00942251">
      <w:pPr>
        <w:spacing w:line="276" w:lineRule="auto"/>
        <w:rPr>
          <w:lang w:val="en-US"/>
        </w:rPr>
      </w:pPr>
    </w:p>
    <w:p w14:paraId="421C8A6B" w14:textId="77777777" w:rsidR="004F00A3" w:rsidRDefault="004F00A3" w:rsidP="00942251">
      <w:pPr>
        <w:spacing w:line="276" w:lineRule="auto"/>
        <w:rPr>
          <w:lang w:val="en-US"/>
        </w:rPr>
      </w:pPr>
    </w:p>
    <w:p w14:paraId="2D5758FB" w14:textId="77777777" w:rsidR="004F00A3" w:rsidRDefault="004F00A3" w:rsidP="00942251">
      <w:pPr>
        <w:spacing w:line="276" w:lineRule="auto"/>
        <w:rPr>
          <w:lang w:val="en-US"/>
        </w:rPr>
      </w:pPr>
    </w:p>
    <w:p w14:paraId="37488E79" w14:textId="77777777" w:rsidR="004F00A3" w:rsidRDefault="004F00A3" w:rsidP="00942251">
      <w:pPr>
        <w:spacing w:line="276" w:lineRule="auto"/>
        <w:rPr>
          <w:lang w:val="en-US"/>
        </w:rPr>
      </w:pPr>
    </w:p>
    <w:p w14:paraId="79765109" w14:textId="77777777" w:rsidR="004F00A3" w:rsidRDefault="004F00A3" w:rsidP="00942251">
      <w:pPr>
        <w:spacing w:line="276" w:lineRule="auto"/>
        <w:rPr>
          <w:lang w:val="en-US"/>
        </w:rPr>
      </w:pPr>
    </w:p>
    <w:p w14:paraId="3868D441" w14:textId="77777777" w:rsidR="004F00A3" w:rsidRDefault="004F00A3" w:rsidP="00942251">
      <w:pPr>
        <w:spacing w:line="276" w:lineRule="auto"/>
        <w:rPr>
          <w:lang w:val="en-US"/>
        </w:rPr>
      </w:pPr>
    </w:p>
    <w:p w14:paraId="278CA2F2" w14:textId="77777777" w:rsidR="004F00A3" w:rsidRDefault="004F00A3" w:rsidP="00942251">
      <w:pPr>
        <w:spacing w:line="276" w:lineRule="auto"/>
        <w:rPr>
          <w:lang w:val="en-US"/>
        </w:rPr>
      </w:pPr>
    </w:p>
    <w:p w14:paraId="1038CD1F" w14:textId="77777777" w:rsidR="004F00A3" w:rsidRPr="004F00A3" w:rsidRDefault="004F00A3" w:rsidP="004F00A3">
      <w:pPr>
        <w:spacing w:line="276" w:lineRule="auto"/>
        <w:rPr>
          <w:lang w:val="en-GB"/>
        </w:rPr>
      </w:pPr>
      <w:r w:rsidRPr="004F00A3">
        <w:rPr>
          <w:b/>
          <w:bCs/>
          <w:lang w:val="en-GB"/>
        </w:rPr>
        <w:lastRenderedPageBreak/>
        <w:t>Differences between Conventional and Value-led Approaches in Heritage Management</w:t>
      </w:r>
    </w:p>
    <w:p w14:paraId="6E21DF4C" w14:textId="77777777" w:rsidR="004F00A3" w:rsidRPr="004F00A3" w:rsidRDefault="004F00A3" w:rsidP="004F00A3">
      <w:pPr>
        <w:spacing w:line="276" w:lineRule="auto"/>
        <w:rPr>
          <w:lang w:val="en-GB"/>
        </w:rPr>
      </w:pPr>
      <w:r w:rsidRPr="004F00A3">
        <w:rPr>
          <w:lang w:val="en-GB"/>
        </w:rPr>
        <w:t xml:space="preserve">Conventional heritage management is primarily expert-driven and focused on the physical conservation of monuments and sites. It tends to prioritize material authenticity, historical significance, and preservation techniques rooted in disciplines such as archaeology and architecture. For example, early restoration work at sites like the Acropolis in Greece emphasized structural stability and aesthetic reconstruction based on scholarly interpretation, often with limited input from local communities. This approach typically follows a top-down model where decisions are made by professionals, with heritage seen as something to be protected </w:t>
      </w:r>
      <w:r w:rsidRPr="004F00A3">
        <w:rPr>
          <w:i/>
          <w:iCs/>
          <w:lang w:val="en-GB"/>
        </w:rPr>
        <w:t>for</w:t>
      </w:r>
      <w:r w:rsidRPr="004F00A3">
        <w:rPr>
          <w:lang w:val="en-GB"/>
        </w:rPr>
        <w:t xml:space="preserve"> society rather than </w:t>
      </w:r>
      <w:r w:rsidRPr="004F00A3">
        <w:rPr>
          <w:i/>
          <w:iCs/>
          <w:lang w:val="en-GB"/>
        </w:rPr>
        <w:t>with</w:t>
      </w:r>
      <w:r w:rsidRPr="004F00A3">
        <w:rPr>
          <w:lang w:val="en-GB"/>
        </w:rPr>
        <w:t xml:space="preserve"> society.</w:t>
      </w:r>
    </w:p>
    <w:p w14:paraId="248059ED" w14:textId="77777777" w:rsidR="004F00A3" w:rsidRPr="004F00A3" w:rsidRDefault="004F00A3" w:rsidP="004F00A3">
      <w:pPr>
        <w:spacing w:line="276" w:lineRule="auto"/>
        <w:rPr>
          <w:lang w:val="en-GB"/>
        </w:rPr>
      </w:pPr>
      <w:r w:rsidRPr="004F00A3">
        <w:rPr>
          <w:lang w:val="en-GB"/>
        </w:rPr>
        <w:t>In contrast, the value-led approach (also called values-based management) recognizes that heritage holds multiple meanings and values—social, cultural, spiritual, economic, and political—that vary across different stakeholder groups. It emphasizes inclusivity, stakeholder engagement, and the dynamic nature of heritage. For instance, the management of Uluru-Kata Tjuta National Park in Australia incorporates Indigenous Anangu perspectives, recognizing spiritual and cultural values alongside environmental and touristic considerations. This approach shifts from a purely material focus to understanding heritage as a living process shaped by people.</w:t>
      </w:r>
    </w:p>
    <w:p w14:paraId="6B06A18D" w14:textId="77777777" w:rsidR="004F00A3" w:rsidRPr="004F00A3" w:rsidRDefault="004F00A3" w:rsidP="004F00A3">
      <w:pPr>
        <w:spacing w:line="276" w:lineRule="auto"/>
        <w:rPr>
          <w:lang w:val="en-GB"/>
        </w:rPr>
      </w:pPr>
      <w:r w:rsidRPr="004F00A3">
        <w:rPr>
          <w:lang w:val="en-GB"/>
        </w:rPr>
        <w:t>The key differences between the two approaches lie in decision-making, scope, and adaptability. Conventional methods prioritize expert knowledge and universal standards (e.g., Venice Charter principles), while value-led approaches integrate diverse perspectives, including local communities, indigenous groups, and visitors. Conventional management often treats heritage as static and fixed, whereas value-led frameworks see it as evolving and context-dependent.</w:t>
      </w:r>
    </w:p>
    <w:p w14:paraId="787090DC" w14:textId="77777777" w:rsidR="004F00A3" w:rsidRPr="004F00A3" w:rsidRDefault="004F00A3" w:rsidP="004F00A3">
      <w:pPr>
        <w:spacing w:line="276" w:lineRule="auto"/>
        <w:rPr>
          <w:lang w:val="en-GB"/>
        </w:rPr>
      </w:pPr>
      <w:r w:rsidRPr="004F00A3">
        <w:rPr>
          <w:lang w:val="en-GB"/>
        </w:rPr>
        <w:t>In contemporary contexts, the value-led approach is generally considered more effective. This is because modern heritage management operates in increasingly complex social environments where issues such as identity, sustainability, and community rights are central. Value-led approaches help prevent conflicts by involving stakeholders early in the process and ensuring that management strategies reflect a broader range of interests. For example, community-led conservation projects in places like Bhaktapur, Nepal, have demonstrated how local participation can improve both preservation outcomes and social cohesion.</w:t>
      </w:r>
    </w:p>
    <w:p w14:paraId="117244D5" w14:textId="77777777" w:rsidR="004F00A3" w:rsidRPr="004F00A3" w:rsidRDefault="004F00A3" w:rsidP="004F00A3">
      <w:pPr>
        <w:spacing w:line="276" w:lineRule="auto"/>
        <w:rPr>
          <w:lang w:val="en-GB"/>
        </w:rPr>
      </w:pPr>
      <w:r w:rsidRPr="004F00A3">
        <w:rPr>
          <w:lang w:val="en-GB"/>
        </w:rPr>
        <w:t>However, value-led approaches are not without challenges. They can be time-consuming, may involve conflicting values, and require strong facilitation and governance structures. In some cases, expert knowledge remains essential to ensure technical conservation standards are maintained. Therefore, the most effective contemporary practice often combines both approaches—retaining scientific rigor while embracing participatory, value-sensitive frameworks.</w:t>
      </w:r>
    </w:p>
    <w:p w14:paraId="67C74B0F" w14:textId="77777777" w:rsidR="004F00A3" w:rsidRDefault="004F00A3" w:rsidP="004F00A3">
      <w:pPr>
        <w:spacing w:line="276" w:lineRule="auto"/>
        <w:rPr>
          <w:lang w:val="en-GB"/>
        </w:rPr>
      </w:pPr>
      <w:r w:rsidRPr="004F00A3">
        <w:rPr>
          <w:lang w:val="en-GB"/>
        </w:rPr>
        <w:t>In conclusion, while the conventional approach laid the foundation for heritage conservation, the value-led approach offers a more holistic and socially responsive model suited to today’s diverse and dynamic contexts.</w:t>
      </w:r>
    </w:p>
    <w:p w14:paraId="612B4FB3" w14:textId="77777777" w:rsidR="004F00A3" w:rsidRDefault="004F00A3" w:rsidP="004F00A3">
      <w:pPr>
        <w:spacing w:line="276" w:lineRule="auto"/>
        <w:rPr>
          <w:lang w:val="en-GB"/>
        </w:rPr>
      </w:pPr>
    </w:p>
    <w:p w14:paraId="120072FD" w14:textId="77777777" w:rsidR="004F00A3" w:rsidRPr="004F00A3" w:rsidRDefault="004F00A3" w:rsidP="004F00A3">
      <w:pPr>
        <w:spacing w:line="276" w:lineRule="auto"/>
        <w:rPr>
          <w:lang w:val="en-GB"/>
        </w:rPr>
      </w:pPr>
    </w:p>
    <w:p w14:paraId="63977AAE" w14:textId="77777777" w:rsidR="004F00A3" w:rsidRPr="004F00A3" w:rsidRDefault="004F00A3" w:rsidP="004F00A3">
      <w:pPr>
        <w:spacing w:line="276" w:lineRule="auto"/>
        <w:rPr>
          <w:lang w:val="en-GB"/>
        </w:rPr>
      </w:pPr>
      <w:r w:rsidRPr="004F00A3">
        <w:rPr>
          <w:b/>
          <w:bCs/>
          <w:lang w:val="en-GB"/>
        </w:rPr>
        <w:lastRenderedPageBreak/>
        <w:t>References:</w:t>
      </w:r>
    </w:p>
    <w:p w14:paraId="454A4532" w14:textId="77777777" w:rsidR="004F00A3" w:rsidRPr="004F00A3" w:rsidRDefault="004F00A3" w:rsidP="004F00A3">
      <w:pPr>
        <w:numPr>
          <w:ilvl w:val="0"/>
          <w:numId w:val="1"/>
        </w:numPr>
        <w:spacing w:line="276" w:lineRule="auto"/>
        <w:rPr>
          <w:lang w:val="en-GB"/>
        </w:rPr>
      </w:pPr>
      <w:r w:rsidRPr="004F00A3">
        <w:rPr>
          <w:lang w:val="en-GB"/>
        </w:rPr>
        <w:t xml:space="preserve">Mason, R. (2002). </w:t>
      </w:r>
      <w:r w:rsidRPr="004F00A3">
        <w:rPr>
          <w:i/>
          <w:iCs/>
          <w:lang w:val="en-GB"/>
        </w:rPr>
        <w:t>Assessing Values in Conservation Planning</w:t>
      </w:r>
      <w:r w:rsidRPr="004F00A3">
        <w:rPr>
          <w:lang w:val="en-GB"/>
        </w:rPr>
        <w:t xml:space="preserve">. Getty Conservation Institute. </w:t>
      </w:r>
    </w:p>
    <w:p w14:paraId="4D4D5CCA" w14:textId="77777777" w:rsidR="004F00A3" w:rsidRPr="004F00A3" w:rsidRDefault="004F00A3" w:rsidP="004F00A3">
      <w:pPr>
        <w:numPr>
          <w:ilvl w:val="0"/>
          <w:numId w:val="1"/>
        </w:numPr>
        <w:spacing w:line="276" w:lineRule="auto"/>
        <w:rPr>
          <w:lang w:val="en-GB"/>
        </w:rPr>
      </w:pPr>
      <w:r w:rsidRPr="004F00A3">
        <w:rPr>
          <w:lang w:val="en-GB"/>
        </w:rPr>
        <w:t xml:space="preserve">Smith, L. (2006). </w:t>
      </w:r>
      <w:r w:rsidRPr="004F00A3">
        <w:rPr>
          <w:i/>
          <w:iCs/>
          <w:lang w:val="en-GB"/>
        </w:rPr>
        <w:t>Uses of Heritage</w:t>
      </w:r>
      <w:r w:rsidRPr="004F00A3">
        <w:rPr>
          <w:lang w:val="en-GB"/>
        </w:rPr>
        <w:t xml:space="preserve">. Routledge. </w:t>
      </w:r>
    </w:p>
    <w:p w14:paraId="2BED921E" w14:textId="77777777" w:rsidR="004F00A3" w:rsidRPr="004F00A3" w:rsidRDefault="004F00A3" w:rsidP="004F00A3">
      <w:pPr>
        <w:numPr>
          <w:ilvl w:val="0"/>
          <w:numId w:val="1"/>
        </w:numPr>
        <w:spacing w:line="276" w:lineRule="auto"/>
        <w:rPr>
          <w:lang w:val="en-GB"/>
        </w:rPr>
      </w:pPr>
      <w:proofErr w:type="spellStart"/>
      <w:r w:rsidRPr="004F00A3">
        <w:rPr>
          <w:lang w:val="en-GB"/>
        </w:rPr>
        <w:t>Avrami</w:t>
      </w:r>
      <w:proofErr w:type="spellEnd"/>
      <w:r w:rsidRPr="004F00A3">
        <w:rPr>
          <w:lang w:val="en-GB"/>
        </w:rPr>
        <w:t xml:space="preserve">, E., Mason, R., &amp; de la Torre, M. (2000). </w:t>
      </w:r>
      <w:r w:rsidRPr="004F00A3">
        <w:rPr>
          <w:i/>
          <w:iCs/>
          <w:lang w:val="en-GB"/>
        </w:rPr>
        <w:t>Values and Heritage Conservation</w:t>
      </w:r>
      <w:r w:rsidRPr="004F00A3">
        <w:rPr>
          <w:lang w:val="en-GB"/>
        </w:rPr>
        <w:t xml:space="preserve">. Getty Conservation Institute. </w:t>
      </w:r>
    </w:p>
    <w:p w14:paraId="540B4F7B" w14:textId="77777777" w:rsidR="004F00A3" w:rsidRPr="004F00A3" w:rsidRDefault="004F00A3" w:rsidP="004F00A3">
      <w:pPr>
        <w:numPr>
          <w:ilvl w:val="0"/>
          <w:numId w:val="1"/>
        </w:numPr>
        <w:spacing w:line="276" w:lineRule="auto"/>
        <w:rPr>
          <w:lang w:val="en-GB"/>
        </w:rPr>
      </w:pPr>
      <w:r w:rsidRPr="004F00A3">
        <w:rPr>
          <w:lang w:val="en-GB"/>
        </w:rPr>
        <w:t xml:space="preserve">UNESCO (2013). </w:t>
      </w:r>
      <w:r w:rsidRPr="004F00A3">
        <w:rPr>
          <w:i/>
          <w:iCs/>
          <w:lang w:val="en-GB"/>
        </w:rPr>
        <w:t>Managing Cultural World Heritage</w:t>
      </w:r>
      <w:r w:rsidRPr="004F00A3">
        <w:rPr>
          <w:lang w:val="en-GB"/>
        </w:rPr>
        <w:t>. UNESCO World Heritage Centre.</w:t>
      </w:r>
    </w:p>
    <w:p w14:paraId="776DCC7D" w14:textId="77777777" w:rsidR="004F00A3" w:rsidRDefault="004F00A3" w:rsidP="00942251">
      <w:pPr>
        <w:spacing w:line="276" w:lineRule="auto"/>
        <w:rPr>
          <w:lang w:val="en-US"/>
        </w:rPr>
      </w:pPr>
    </w:p>
    <w:sectPr w:rsidR="004F00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52DF7807-3B19-48F8-875F-769AE88E9748}"/>
    <w:embedBold r:id="rId2" w:fontKey="{8C0A3B6D-5A93-4FD6-A393-DA51CE5DBF06}"/>
    <w:embedItalic r:id="rId3" w:fontKey="{BB74EF25-F6C9-49F0-B1F5-A1FFB0D396E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6BF01DB0-9276-49AC-9C90-710613130979}"/>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2FB4CFDD-FCE9-4FF4-9FD0-CC990B2302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D136B8"/>
    <w:multiLevelType w:val="multilevel"/>
    <w:tmpl w:val="D1E00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010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D1074"/>
    <w:rsid w:val="00426865"/>
    <w:rsid w:val="00477CAA"/>
    <w:rsid w:val="004F00A3"/>
    <w:rsid w:val="00502E29"/>
    <w:rsid w:val="005E458B"/>
    <w:rsid w:val="00672345"/>
    <w:rsid w:val="0078667C"/>
    <w:rsid w:val="00844EC2"/>
    <w:rsid w:val="008516FE"/>
    <w:rsid w:val="00942251"/>
    <w:rsid w:val="009C1D0A"/>
    <w:rsid w:val="00A044F7"/>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B91A7"/>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575</Words>
  <Characters>3281</Characters>
  <Application>Microsoft Office Word</Application>
  <DocSecurity>0</DocSecurity>
  <Lines>27</Lines>
  <Paragraphs>7</Paragraphs>
  <ScaleCrop>false</ScaleCrop>
  <Company/>
  <LinksUpToDate>false</LinksUpToDate>
  <CharactersWithSpaces>3849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2026-04-18T10:09:00Z</dcterms:created>
  <dcterms:modified xsi:type="dcterms:W3CDTF">2026-04-18T10:09:00Z</dcterms:modified>
</cp:coreProperties>
</file>