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1B73F" w14:textId="77777777" w:rsidR="00420176" w:rsidRPr="00420176" w:rsidRDefault="00420176" w:rsidP="00420176">
      <w:pPr>
        <w:spacing w:line="360" w:lineRule="auto"/>
        <w:rPr>
          <w:rFonts w:asciiTheme="majorBidi" w:hAnsiTheme="majorBidi" w:cstheme="majorBidi"/>
          <w:b/>
          <w:bCs/>
          <w:noProof/>
          <w:lang w:val="en-GB"/>
        </w:rPr>
      </w:pPr>
      <w:r w:rsidRPr="00420176">
        <w:rPr>
          <w:rFonts w:asciiTheme="majorBidi" w:hAnsiTheme="majorBidi" w:cstheme="majorBidi"/>
          <w:b/>
          <w:bCs/>
          <w:noProof/>
          <w:lang w:val="en-GB"/>
        </w:rPr>
        <w:t>1. Tourism Demand: Actual, Suppressed and Latent Demand</w:t>
      </w:r>
    </w:p>
    <w:p w14:paraId="0E1FDCE2"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noProof/>
          <w:lang w:val="en-GB"/>
        </w:rPr>
        <w:t>Tourism demand describes the number of people who are willing and able to travel away from their usual place of residence and use tourism-related services. It is influenced by a combination of personal motivation, financial ability, available time and access to suitable travel opportunities. From a market perspective, understanding demand is important because it helps destinations and tourism businesses estimate visitor behaviour and plan services accordingly (Cooper et al., 2008).</w:t>
      </w:r>
    </w:p>
    <w:p w14:paraId="77697A47"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b/>
          <w:bCs/>
          <w:noProof/>
          <w:lang w:val="en-GB"/>
        </w:rPr>
        <w:t>Actual demand</w:t>
      </w:r>
      <w:r w:rsidRPr="00420176">
        <w:rPr>
          <w:rFonts w:asciiTheme="majorBidi" w:hAnsiTheme="majorBidi" w:cstheme="majorBidi"/>
          <w:noProof/>
          <w:lang w:val="en-GB"/>
        </w:rPr>
        <w:t xml:space="preserve"> refers to people who are currently travelling or who have made definite arrangements to travel. They possess both the desire and the necessary resources to participate in tourism. Their activities are visible in tourism statistics, including passenger numbers, accommodation bookings and visitor spending. For example, a family from Mumbai that purchases tickets and travels to Singapore for a summer holiday represents actual demand. Their interest in travelling has resulted in genuine consumption of tourism services.</w:t>
      </w:r>
    </w:p>
    <w:p w14:paraId="2484EE21"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b/>
          <w:bCs/>
          <w:noProof/>
          <w:lang w:val="en-GB"/>
        </w:rPr>
        <w:t>Suppressed demand</w:t>
      </w:r>
      <w:r w:rsidRPr="00420176">
        <w:rPr>
          <w:rFonts w:asciiTheme="majorBidi" w:hAnsiTheme="majorBidi" w:cstheme="majorBidi"/>
          <w:noProof/>
          <w:lang w:val="en-GB"/>
        </w:rPr>
        <w:t xml:space="preserve"> involves people who would like to travel but cannot presently do so because they face particular barriers. These may include limited disposable income, lack of free time, high transportation costs, family responsibilities or administrative restrictions. Suppressed demand is therefore important because a willingness to travel already exists, even though the journey does not occur. Page and Connell (2020) explain that tourism participation is affected by several interconnected economic and social conditions. For example, an employee may want to take a holiday in Australia but be unable to obtain sufficient annual leave from work. If this restriction disappears, the person may become an actual tourist.</w:t>
      </w:r>
    </w:p>
    <w:p w14:paraId="1AB0370A"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b/>
          <w:bCs/>
          <w:noProof/>
          <w:lang w:val="en-GB"/>
        </w:rPr>
        <w:t>Latent demand</w:t>
      </w:r>
      <w:r w:rsidRPr="00420176">
        <w:rPr>
          <w:rFonts w:asciiTheme="majorBidi" w:hAnsiTheme="majorBidi" w:cstheme="majorBidi"/>
          <w:noProof/>
          <w:lang w:val="en-GB"/>
        </w:rPr>
        <w:t xml:space="preserve"> concerns people whose potential desire to travel has not yet been activated because suitable tourism opportunities are unavailable or unknown. New destinations, improved transport networks or innovative tourism products can stimulate such demand. For instance, residents may develop an interest in visiting an island destination after a new ferry or direct flight makes it easier and cheaper to reach.</w:t>
      </w:r>
    </w:p>
    <w:p w14:paraId="753C464F"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noProof/>
          <w:lang w:val="en-GB"/>
        </w:rPr>
        <w:t>Recognising these categories allows tourism organisations to look beyond existing tourists. While actual demand provides current revenue, suppressed and latent demand can represent important opportunities for future growth.</w:t>
      </w:r>
    </w:p>
    <w:p w14:paraId="24623013" w14:textId="77777777" w:rsidR="00420176" w:rsidRPr="00420176" w:rsidRDefault="00420176" w:rsidP="00420176">
      <w:pPr>
        <w:spacing w:line="360" w:lineRule="auto"/>
        <w:rPr>
          <w:rFonts w:asciiTheme="majorBidi" w:hAnsiTheme="majorBidi" w:cstheme="majorBidi"/>
          <w:b/>
          <w:bCs/>
          <w:noProof/>
          <w:lang w:val="en-GB"/>
        </w:rPr>
      </w:pPr>
      <w:r w:rsidRPr="00420176">
        <w:rPr>
          <w:rFonts w:asciiTheme="majorBidi" w:hAnsiTheme="majorBidi" w:cstheme="majorBidi"/>
          <w:b/>
          <w:bCs/>
          <w:noProof/>
          <w:lang w:val="en-GB"/>
        </w:rPr>
        <w:t>2. Role of Income, Time and Price in Tourism Demand</w:t>
      </w:r>
    </w:p>
    <w:p w14:paraId="65DB079E"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noProof/>
          <w:lang w:val="en-GB"/>
        </w:rPr>
        <w:t xml:space="preserve">Tourism is a discretionary activity, meaning consumers normally spend on it after satisfying essential needs. Consequently, economic circumstances have a major influence on travel </w:t>
      </w:r>
      <w:r w:rsidRPr="00420176">
        <w:rPr>
          <w:rFonts w:asciiTheme="majorBidi" w:hAnsiTheme="majorBidi" w:cstheme="majorBidi"/>
          <w:noProof/>
          <w:lang w:val="en-GB"/>
        </w:rPr>
        <w:lastRenderedPageBreak/>
        <w:t>decisions. Income, available time and tourism prices can determine whether a person travels, where they go, how long they stay and how much they spend.</w:t>
      </w:r>
    </w:p>
    <w:p w14:paraId="1EC01383"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b/>
          <w:bCs/>
          <w:noProof/>
          <w:lang w:val="en-GB"/>
        </w:rPr>
        <w:t>Income</w:t>
      </w:r>
      <w:r w:rsidRPr="00420176">
        <w:rPr>
          <w:rFonts w:asciiTheme="majorBidi" w:hAnsiTheme="majorBidi" w:cstheme="majorBidi"/>
          <w:noProof/>
          <w:lang w:val="en-GB"/>
        </w:rPr>
        <w:t xml:space="preserve"> is particularly significant because most tourism activities require considerable expenditure. When disposable income rises, consumers generally have greater freedom to spend on holidays and leisure. Higher-income travellers may take more frequent trips, select long-haul destinations or purchase premium accommodation and activities. By contrast, households facing lower income or financial uncertainty may reduce their holiday budgets or avoid travelling altogether. Studies of international tourism demand have consistently identified income as an important explanatory variable in tourism consumption (Li et al., 2005).</w:t>
      </w:r>
    </w:p>
    <w:p w14:paraId="49B95DA2"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b/>
          <w:bCs/>
          <w:noProof/>
          <w:lang w:val="en-GB"/>
        </w:rPr>
        <w:t>Time</w:t>
      </w:r>
      <w:r w:rsidRPr="00420176">
        <w:rPr>
          <w:rFonts w:asciiTheme="majorBidi" w:hAnsiTheme="majorBidi" w:cstheme="majorBidi"/>
          <w:noProof/>
          <w:lang w:val="en-GB"/>
        </w:rPr>
        <w:t xml:space="preserve"> also affects demand because having enough money does not automatically mean that an individual can travel. Work schedules, school calendars, caring responsibilities and annual leave influence when and for how long people can take holidays. Someone with only two free days may prefer a nearby destination, whereas a person with several weeks of leave may consider travelling internationally. Improvements in transport can also increase tourism demand by reducing journey times and making distant destinations more practical.</w:t>
      </w:r>
    </w:p>
    <w:p w14:paraId="6749EFE8"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b/>
          <w:bCs/>
          <w:noProof/>
          <w:lang w:val="en-GB"/>
        </w:rPr>
        <w:t>Price</w:t>
      </w:r>
      <w:r w:rsidRPr="00420176">
        <w:rPr>
          <w:rFonts w:asciiTheme="majorBidi" w:hAnsiTheme="majorBidi" w:cstheme="majorBidi"/>
          <w:noProof/>
          <w:lang w:val="en-GB"/>
        </w:rPr>
        <w:t xml:space="preserve"> influences both the affordability of tourism and competition between destinations. Consumers consider several expenses when planning a trip, such as airfares, hotel rates, food, local transportation and entrance fees. If the overall price of visiting a destination becomes too high, travellers may choose a less expensive alternative. Exchange-rate movements can similarly make international destinations more or less attractive to foreign visitors. According to Dwyer et al. (2000), price competitiveness is an important component of the overall competitiveness of tourism destinations.</w:t>
      </w:r>
    </w:p>
    <w:p w14:paraId="1A85923E"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noProof/>
          <w:lang w:val="en-GB"/>
        </w:rPr>
        <w:t>Income, time and price therefore work together in shaping tourism demand. Income establishes purchasing ability, available time determines the opportunity to travel, and price affects whether a particular tourism experience represents an affordable and attractive choice.</w:t>
      </w:r>
    </w:p>
    <w:p w14:paraId="671662E5" w14:textId="77777777" w:rsidR="00420176" w:rsidRDefault="00420176" w:rsidP="00420176">
      <w:pPr>
        <w:spacing w:line="360" w:lineRule="auto"/>
        <w:rPr>
          <w:rFonts w:asciiTheme="majorBidi" w:hAnsiTheme="majorBidi" w:cstheme="majorBidi"/>
          <w:b/>
          <w:bCs/>
          <w:noProof/>
          <w:lang w:val="en-GB"/>
        </w:rPr>
      </w:pPr>
    </w:p>
    <w:p w14:paraId="131797B5" w14:textId="77777777" w:rsidR="00420176" w:rsidRDefault="00420176" w:rsidP="00420176">
      <w:pPr>
        <w:spacing w:line="360" w:lineRule="auto"/>
        <w:rPr>
          <w:rFonts w:asciiTheme="majorBidi" w:hAnsiTheme="majorBidi" w:cstheme="majorBidi"/>
          <w:b/>
          <w:bCs/>
          <w:noProof/>
          <w:lang w:val="en-GB"/>
        </w:rPr>
      </w:pPr>
    </w:p>
    <w:p w14:paraId="73DFB398" w14:textId="77777777" w:rsidR="00420176" w:rsidRDefault="00420176" w:rsidP="00420176">
      <w:pPr>
        <w:spacing w:line="360" w:lineRule="auto"/>
        <w:rPr>
          <w:rFonts w:asciiTheme="majorBidi" w:hAnsiTheme="majorBidi" w:cstheme="majorBidi"/>
          <w:b/>
          <w:bCs/>
          <w:noProof/>
          <w:lang w:val="en-GB"/>
        </w:rPr>
      </w:pPr>
    </w:p>
    <w:p w14:paraId="72269CF2" w14:textId="77777777" w:rsidR="00420176" w:rsidRDefault="00420176" w:rsidP="00420176">
      <w:pPr>
        <w:spacing w:line="360" w:lineRule="auto"/>
        <w:rPr>
          <w:rFonts w:asciiTheme="majorBidi" w:hAnsiTheme="majorBidi" w:cstheme="majorBidi"/>
          <w:b/>
          <w:bCs/>
          <w:noProof/>
          <w:lang w:val="en-GB"/>
        </w:rPr>
      </w:pPr>
    </w:p>
    <w:p w14:paraId="508BAC3B" w14:textId="77777777" w:rsidR="00420176" w:rsidRDefault="00420176" w:rsidP="00420176">
      <w:pPr>
        <w:spacing w:line="360" w:lineRule="auto"/>
        <w:rPr>
          <w:rFonts w:asciiTheme="majorBidi" w:hAnsiTheme="majorBidi" w:cstheme="majorBidi"/>
          <w:b/>
          <w:bCs/>
          <w:noProof/>
          <w:lang w:val="en-GB"/>
        </w:rPr>
      </w:pPr>
    </w:p>
    <w:p w14:paraId="59634DEC" w14:textId="77777777" w:rsidR="00420176" w:rsidRDefault="00420176" w:rsidP="00420176">
      <w:pPr>
        <w:spacing w:line="360" w:lineRule="auto"/>
        <w:rPr>
          <w:rFonts w:asciiTheme="majorBidi" w:hAnsiTheme="majorBidi" w:cstheme="majorBidi"/>
          <w:b/>
          <w:bCs/>
          <w:noProof/>
          <w:lang w:val="en-GB"/>
        </w:rPr>
      </w:pPr>
    </w:p>
    <w:p w14:paraId="149BB4D9" w14:textId="77777777" w:rsidR="00420176" w:rsidRDefault="00420176" w:rsidP="00420176">
      <w:pPr>
        <w:spacing w:line="360" w:lineRule="auto"/>
        <w:rPr>
          <w:rFonts w:asciiTheme="majorBidi" w:hAnsiTheme="majorBidi" w:cstheme="majorBidi"/>
          <w:b/>
          <w:bCs/>
          <w:noProof/>
          <w:lang w:val="en-GB"/>
        </w:rPr>
      </w:pPr>
    </w:p>
    <w:p w14:paraId="1D9E8406" w14:textId="77777777" w:rsidR="00420176" w:rsidRDefault="00420176" w:rsidP="00420176">
      <w:pPr>
        <w:spacing w:line="360" w:lineRule="auto"/>
        <w:rPr>
          <w:rFonts w:asciiTheme="majorBidi" w:hAnsiTheme="majorBidi" w:cstheme="majorBidi"/>
          <w:b/>
          <w:bCs/>
          <w:noProof/>
          <w:lang w:val="en-GB"/>
        </w:rPr>
      </w:pPr>
    </w:p>
    <w:p w14:paraId="11480AC6" w14:textId="3475933E" w:rsidR="00420176" w:rsidRPr="00420176" w:rsidRDefault="00420176" w:rsidP="00420176">
      <w:pPr>
        <w:spacing w:line="360" w:lineRule="auto"/>
        <w:rPr>
          <w:rFonts w:asciiTheme="majorBidi" w:hAnsiTheme="majorBidi" w:cstheme="majorBidi"/>
          <w:b/>
          <w:bCs/>
          <w:noProof/>
          <w:lang w:val="en-GB"/>
        </w:rPr>
      </w:pPr>
      <w:r w:rsidRPr="00420176">
        <w:rPr>
          <w:rFonts w:asciiTheme="majorBidi" w:hAnsiTheme="majorBidi" w:cstheme="majorBidi"/>
          <w:b/>
          <w:bCs/>
          <w:noProof/>
          <w:lang w:val="en-GB"/>
        </w:rPr>
        <w:lastRenderedPageBreak/>
        <w:t>References</w:t>
      </w:r>
    </w:p>
    <w:p w14:paraId="13D214E4"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noProof/>
          <w:lang w:val="en-GB"/>
        </w:rPr>
        <w:t xml:space="preserve">Cooper, C., Fletcher, J., Fyall, A., Gilbert, D., &amp; Wanhill, S. (2008). </w:t>
      </w:r>
      <w:r w:rsidRPr="00420176">
        <w:rPr>
          <w:rFonts w:asciiTheme="majorBidi" w:hAnsiTheme="majorBidi" w:cstheme="majorBidi"/>
          <w:i/>
          <w:iCs/>
          <w:noProof/>
          <w:lang w:val="en-GB"/>
        </w:rPr>
        <w:t>Tourism: Principles and practice</w:t>
      </w:r>
      <w:r w:rsidRPr="00420176">
        <w:rPr>
          <w:rFonts w:asciiTheme="majorBidi" w:hAnsiTheme="majorBidi" w:cstheme="majorBidi"/>
          <w:noProof/>
          <w:lang w:val="en-GB"/>
        </w:rPr>
        <w:t xml:space="preserve"> (4th ed.). Pearson Education.</w:t>
      </w:r>
    </w:p>
    <w:p w14:paraId="7D7822D3"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noProof/>
          <w:lang w:val="en-GB"/>
        </w:rPr>
        <w:t xml:space="preserve">Dwyer, L., Forsyth, P., &amp; Rao, P. (2000). The price competitiveness of travel and tourism: A comparison of 19 destinations. </w:t>
      </w:r>
      <w:r w:rsidRPr="00420176">
        <w:rPr>
          <w:rFonts w:asciiTheme="majorBidi" w:hAnsiTheme="majorBidi" w:cstheme="majorBidi"/>
          <w:i/>
          <w:iCs/>
          <w:noProof/>
          <w:lang w:val="en-GB"/>
        </w:rPr>
        <w:t>Tourism Management, 21</w:t>
      </w:r>
      <w:r w:rsidRPr="00420176">
        <w:rPr>
          <w:rFonts w:asciiTheme="majorBidi" w:hAnsiTheme="majorBidi" w:cstheme="majorBidi"/>
          <w:noProof/>
          <w:lang w:val="en-GB"/>
        </w:rPr>
        <w:t>(1), 9–22.</w:t>
      </w:r>
    </w:p>
    <w:p w14:paraId="04DCFB1B" w14:textId="77777777" w:rsidR="0042017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noProof/>
          <w:lang w:val="en-GB"/>
        </w:rPr>
        <w:t xml:space="preserve">Li, G., Song, H., &amp; Witt, S. F. (2005). Recent developments in econometric modeling and forecasting. </w:t>
      </w:r>
      <w:r w:rsidRPr="00420176">
        <w:rPr>
          <w:rFonts w:asciiTheme="majorBidi" w:hAnsiTheme="majorBidi" w:cstheme="majorBidi"/>
          <w:i/>
          <w:iCs/>
          <w:noProof/>
          <w:lang w:val="en-GB"/>
        </w:rPr>
        <w:t>Journal of Travel Research, 44</w:t>
      </w:r>
      <w:r w:rsidRPr="00420176">
        <w:rPr>
          <w:rFonts w:asciiTheme="majorBidi" w:hAnsiTheme="majorBidi" w:cstheme="majorBidi"/>
          <w:noProof/>
          <w:lang w:val="en-GB"/>
        </w:rPr>
        <w:t>(1), 82–99.</w:t>
      </w:r>
    </w:p>
    <w:p w14:paraId="72BBBCF0" w14:textId="3F0810A4" w:rsidR="00D21436" w:rsidRPr="00420176" w:rsidRDefault="00420176" w:rsidP="00420176">
      <w:pPr>
        <w:spacing w:line="360" w:lineRule="auto"/>
        <w:rPr>
          <w:rFonts w:asciiTheme="majorBidi" w:hAnsiTheme="majorBidi" w:cstheme="majorBidi"/>
          <w:noProof/>
          <w:lang w:val="en-GB"/>
        </w:rPr>
      </w:pPr>
      <w:r w:rsidRPr="00420176">
        <w:rPr>
          <w:rFonts w:asciiTheme="majorBidi" w:hAnsiTheme="majorBidi" w:cstheme="majorBidi"/>
          <w:noProof/>
          <w:lang w:val="en-GB"/>
        </w:rPr>
        <w:t xml:space="preserve">Page, S. J., &amp; Connell, J. (2020). </w:t>
      </w:r>
      <w:r w:rsidRPr="00420176">
        <w:rPr>
          <w:rFonts w:asciiTheme="majorBidi" w:hAnsiTheme="majorBidi" w:cstheme="majorBidi"/>
          <w:i/>
          <w:iCs/>
          <w:noProof/>
          <w:lang w:val="en-GB"/>
        </w:rPr>
        <w:t>Tourism: A modern synthesis</w:t>
      </w:r>
      <w:r w:rsidRPr="00420176">
        <w:rPr>
          <w:rFonts w:asciiTheme="majorBidi" w:hAnsiTheme="majorBidi" w:cstheme="majorBidi"/>
          <w:noProof/>
          <w:lang w:val="en-GB"/>
        </w:rPr>
        <w:t xml:space="preserve"> (5th ed.). Routledge.</w:t>
      </w:r>
    </w:p>
    <w:sectPr w:rsidR="00D21436" w:rsidRPr="004201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AE973BB-7AC0-4161-852A-06D66284823A}"/>
    <w:embedBold r:id="rId2" w:fontKey="{4248B273-F6EC-4474-B6C6-314236359EAB}"/>
    <w:embedItalic r:id="rId3" w:fontKey="{8B8CBE2D-B2E5-4652-BC17-4F4F2C9F0D7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3DC1777-8C4A-435E-8DC8-BDA61D50142D}"/>
  </w:font>
  <w:font w:name="Calibri Light">
    <w:panose1 w:val="020F0302020204030204"/>
    <w:charset w:val="00"/>
    <w:family w:val="swiss"/>
    <w:pitch w:val="variable"/>
    <w:sig w:usb0="E4002EFF" w:usb1="C000247B" w:usb2="00000009" w:usb3="00000000" w:csb0="000001FF" w:csb1="00000000"/>
    <w:embedRegular r:id="rId5" w:fontKey="{A18E16CB-5B3E-4AA7-A46A-5E2C1FC7C78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420176"/>
    <w:rsid w:val="00426865"/>
    <w:rsid w:val="00477CAA"/>
    <w:rsid w:val="00502E29"/>
    <w:rsid w:val="005E458B"/>
    <w:rsid w:val="00672345"/>
    <w:rsid w:val="00774148"/>
    <w:rsid w:val="007775D4"/>
    <w:rsid w:val="00844EC2"/>
    <w:rsid w:val="008516FE"/>
    <w:rsid w:val="0099651A"/>
    <w:rsid w:val="009C1D0A"/>
    <w:rsid w:val="00A044F7"/>
    <w:rsid w:val="00A8150E"/>
    <w:rsid w:val="00B20343"/>
    <w:rsid w:val="00B85EA7"/>
    <w:rsid w:val="00BE65DD"/>
    <w:rsid w:val="00C612A4"/>
    <w:rsid w:val="00CC6AD1"/>
    <w:rsid w:val="00D2143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804</Words>
  <Characters>4589</Characters>
  <Application>Microsoft Office Word</Application>
  <DocSecurity>0</DocSecurity>
  <Lines>38</Lines>
  <Paragraphs>10</Paragraphs>
  <ScaleCrop>false</ScaleCrop>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2026-08-30T10:41:00Z</dcterms:created>
  <dcterms:modified xsi:type="dcterms:W3CDTF">2026-08-30T10:41:00Z</dcterms:modified>
</cp:coreProperties>
</file>