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line="480" w:lineRule="auto"/>
        <w:jc w:val="center"/>
      </w:pPr>
      <w:r>
        <w:rPr>
          <w:rFonts w:ascii="Times New Roman" w:hAnsi="Times New Roman" w:eastAsia="Times New Roman"/>
          <w:b/>
          <w:sz w:val="32"/>
        </w:rPr>
        <w:t>M07 – SOCIOECONOMIC AND LEGAL ENVIRONMENT</w:t>
      </w:r>
    </w:p>
    <w:p>
      <w:pPr>
        <w:spacing w:line="480" w:lineRule="auto"/>
        <w:jc w:val="center"/>
      </w:pPr>
      <w:r>
        <w:rPr>
          <w:rFonts w:ascii="Times New Roman" w:hAnsi="Times New Roman" w:eastAsia="Times New Roman"/>
          <w:b/>
          <w:sz w:val="40"/>
        </w:rPr>
        <w:t>Economic Environment and Strategic Business Decision-Making</w:t>
      </w:r>
    </w:p>
    <w:p>
      <w:pPr>
        <w:spacing w:line="480" w:lineRule="auto"/>
        <w:jc w:val="center"/>
      </w:pPr>
      <w:r>
        <w:rPr>
          <w:rFonts w:ascii="Times New Roman" w:hAnsi="Times New Roman" w:eastAsia="Times New Roman"/>
          <w:i/>
          <w:sz w:val="28"/>
        </w:rPr>
        <w:t>Option 1: Economic Environment and Strategic Business Decision-Making</w:t>
      </w:r>
    </w:p>
    <w:p>
      <w:pPr>
        <w:spacing w:line="480" w:lineRule="auto"/>
      </w:pPr>
    </w:p>
    <w:p>
      <w:pPr>
        <w:spacing w:line="480" w:lineRule="auto"/>
      </w:pPr>
    </w:p>
    <w:p>
      <w:pPr>
        <w:spacing w:line="480" w:lineRule="auto"/>
      </w:pPr>
    </w:p>
    <w:p>
      <w:pPr>
        <w:spacing w:line="480" w:lineRule="auto"/>
        <w:jc w:val="center"/>
      </w:pPr>
      <w:r>
        <w:rPr>
          <w:rFonts w:ascii="Times New Roman" w:hAnsi="Times New Roman" w:eastAsia="Times New Roman"/>
          <w:sz w:val="24"/>
        </w:rPr>
        <w:t>Student Name: Divya</w:t>
      </w:r>
    </w:p>
    <w:p>
      <w:pPr>
        <w:spacing w:line="480" w:lineRule="auto"/>
        <w:jc w:val="center"/>
      </w:pPr>
      <w:r>
        <w:rPr>
          <w:rFonts w:ascii="Times New Roman" w:hAnsi="Times New Roman" w:eastAsia="Times New Roman"/>
          <w:sz w:val="24"/>
        </w:rPr>
        <w:t>Student ID: PMB26001</w:t>
      </w:r>
    </w:p>
    <w:p>
      <w:pPr>
        <w:spacing w:line="480" w:lineRule="auto"/>
        <w:jc w:val="center"/>
      </w:pPr>
      <w:r>
        <w:rPr>
          <w:rFonts w:ascii="Times New Roman" w:hAnsi="Times New Roman" w:eastAsia="Times New Roman"/>
          <w:sz w:val="24"/>
        </w:rPr>
        <w:t>Submission Date: 4th September 2026</w:t>
      </w:r>
    </w:p>
    <w:p>
      <w:pPr>
        <w:spacing w:line="480" w:lineRule="auto"/>
      </w:pPr>
      <w:r>
        <w:rPr>
          <w:rFonts w:ascii="Times New Roman" w:hAnsi="Times New Roman" w:eastAsia="Times New Roman"/>
          <w:sz w:val="24"/>
        </w:rPr>
        <w:br w:type="page"/>
      </w:r>
    </w:p>
    <w:p>
      <w:pPr>
        <w:pStyle w:val="Heading1"/>
        <w:spacing w:line="480" w:lineRule="auto"/>
      </w:pPr>
      <w:r>
        <w:rPr>
          <w:rFonts w:ascii="Times New Roman" w:hAnsi="Times New Roman" w:eastAsia="Times New Roman"/>
          <w:sz w:val="24"/>
        </w:rPr>
        <w:t>Table of Contents</w:t>
      </w:r>
    </w:p>
    <w:p>
      <w:pPr>
        <w:spacing w:line="480" w:lineRule="auto"/>
      </w:pPr>
      <w:r>
        <w:rPr>
          <w:rFonts w:ascii="Times New Roman" w:hAnsi="Times New Roman" w:eastAsia="Times New Roman"/>
          <w:sz w:val="24"/>
        </w:rPr>
        <w:fldChar w:fldCharType="begin"/>
        <w:instrText xml:space="preserve">TOC \o "1-2" \h \z \u</w:instrText>
        <w:fldChar w:fldCharType="end"/>
      </w:r>
    </w:p>
    <w:p>
      <w:pPr>
        <w:spacing w:line="480" w:lineRule="auto"/>
      </w:pPr>
      <w:r>
        <w:rPr>
          <w:rFonts w:ascii="Times New Roman" w:hAnsi="Times New Roman" w:eastAsia="Times New Roman"/>
          <w:sz w:val="24"/>
        </w:rPr>
        <w:t>In Microsoft Word, right-click the table of contents and select “Update Field” to refresh page numbers.</w:t>
      </w:r>
    </w:p>
    <w:p>
      <w:pPr>
        <w:spacing w:line="480" w:lineRule="auto"/>
      </w:pPr>
      <w:r>
        <w:rPr>
          <w:rFonts w:ascii="Times New Roman" w:hAnsi="Times New Roman" w:eastAsia="Times New Roman"/>
          <w:sz w:val="24"/>
        </w:rPr>
        <w:br w:type="page"/>
      </w:r>
    </w:p>
    <w:p>
      <w:pPr>
        <w:pStyle w:val="Heading1"/>
        <w:spacing w:line="480" w:lineRule="auto"/>
      </w:pPr>
      <w:r>
        <w:rPr>
          <w:rFonts w:ascii="Times New Roman" w:hAnsi="Times New Roman" w:eastAsia="Times New Roman"/>
          <w:sz w:val="24"/>
        </w:rPr>
        <w:t>Abstract</w:t>
      </w:r>
    </w:p>
    <w:p>
      <w:pPr>
        <w:spacing w:line="480" w:lineRule="auto"/>
      </w:pPr>
      <w:r>
        <w:rPr>
          <w:rFonts w:ascii="Times New Roman" w:hAnsi="Times New Roman" w:eastAsia="Times New Roman"/>
          <w:sz w:val="24"/>
        </w:rPr>
        <w:t>This report critically analyses how socioeconomic and macroeconomic factors influence organisational decision-making and business performance. Modern organisations operate in environments shaped by inflation, interest rates, employment conditions, economic growth, consumer behaviour, demographic change, technological development, global trade and market volatility. These forces affect demand, operating costs, investment decisions, financing, pricing, workforce planning and competitive strategy. The report evaluates these relationships through established economic concepts, including the business cycle, aggregate demand and supply, price elasticity, purchasing power, interest-rate transmission and strategic environmental analysis.</w:t>
      </w:r>
    </w:p>
    <w:p>
      <w:pPr>
        <w:spacing w:line="480" w:lineRule="auto"/>
      </w:pPr>
      <w:r>
        <w:rPr>
          <w:rFonts w:ascii="Times New Roman" w:hAnsi="Times New Roman" w:eastAsia="Times New Roman"/>
          <w:sz w:val="24"/>
        </w:rPr>
        <w:t>The analysis shows that economic indicators should not be interpreted in isolation. Inflation can increase costs while simultaneously changing consumer preferences; higher interest rates can raise financing costs but also alter saving and consumption behaviour; employment conditions influence both labour availability and household demand; and economic growth can create opportunities while intensifying competition. Global economic developments can transmit shocks through energy prices, exchange rates, trade restrictions and supply chains.</w:t>
      </w:r>
    </w:p>
    <w:p>
      <w:pPr>
        <w:spacing w:line="480" w:lineRule="auto"/>
      </w:pPr>
      <w:r>
        <w:rPr>
          <w:rFonts w:ascii="Times New Roman" w:hAnsi="Times New Roman" w:eastAsia="Times New Roman"/>
          <w:sz w:val="24"/>
        </w:rPr>
        <w:t>The report uses Apple Inc. and Unilever as illustrative organisational examples to examine how firms adapt strategy to changing economic and consumer conditions. It also considers the current global environment. Recent international forecasts remain uncertain: the IMF's July 2026 update projects global growth of 3.0% in 2026 and 3.4% in 2027, while noting that growth is uneven and disinflation has stalled; the OECD's September 2026 interim outlook projects global growth of 2.9% in 2026 and 3.0% in 2027, with higher energy prices and interest rates affecting near-term momentum. These differences demonstrate why organisations need scenario-based planning rather than dependence on a single forecast. The report concludes with recommendations for economic monitoring, flexible planning, pricing, financial resilience, market diversification, workforce capability and strategic agility.</w:t>
      </w:r>
    </w:p>
    <w:p>
      <w:pPr>
        <w:pStyle w:val="Heading1"/>
        <w:spacing w:line="480" w:lineRule="auto"/>
      </w:pPr>
      <w:r>
        <w:rPr>
          <w:rFonts w:ascii="Times New Roman" w:hAnsi="Times New Roman" w:eastAsia="Times New Roman"/>
          <w:sz w:val="24"/>
        </w:rPr>
        <w:t>Introduction</w:t>
      </w:r>
    </w:p>
    <w:p>
      <w:pPr>
        <w:spacing w:line="480" w:lineRule="auto"/>
      </w:pPr>
      <w:r>
        <w:rPr>
          <w:rFonts w:ascii="Times New Roman" w:hAnsi="Times New Roman" w:eastAsia="Times New Roman"/>
          <w:sz w:val="24"/>
        </w:rPr>
        <w:t>Business organisations do not operate in isolation. Their performance is shaped by the economic and social environment in which they buy resources, employ people, produce goods, provide services and interact with customers. Strategic decisions such as entering a new market, increasing production, changing prices, borrowing money, investing in technology or reducing capacity are affected by external conditions. Understanding these conditions is therefore a core part of strategic management.</w:t>
      </w:r>
    </w:p>
    <w:p>
      <w:pPr>
        <w:spacing w:line="480" w:lineRule="auto"/>
      </w:pPr>
      <w:r>
        <w:rPr>
          <w:rFonts w:ascii="Times New Roman" w:hAnsi="Times New Roman" w:eastAsia="Times New Roman"/>
          <w:sz w:val="24"/>
        </w:rPr>
        <w:t>The socioeconomic environment includes both macroeconomic variables and social characteristics. Macroeconomic factors include economic growth, inflation, interest rates, employment, exchange rates, public policy, trade conditions and consumer confidence. Socioeconomic factors include population structure, household income, education, urbanisation, lifestyles, inequality, changing expectations and patterns of consumption. These variables can create opportunities and threats simultaneously. For example, inflation may reduce consumers' real purchasing power while creating an opportunity for firms offering lower-cost alternatives. Ageing populations may increase demand for healthcare and financial services while reducing the available labour pool in some markets.</w:t>
      </w:r>
    </w:p>
    <w:p>
      <w:pPr>
        <w:spacing w:line="480" w:lineRule="auto"/>
      </w:pPr>
      <w:r>
        <w:rPr>
          <w:rFonts w:ascii="Times New Roman" w:hAnsi="Times New Roman" w:eastAsia="Times New Roman"/>
          <w:sz w:val="24"/>
        </w:rPr>
        <w:t>The contemporary environment also demonstrates the importance of uncertainty. In July 2026, the International Monetary Fund projected global growth at 3.0% for 2026 and 3.4% for 2027, but highlighted uneven growth, stalled disinflation and risks linked to conflict and financial-market repricing (IMF, 2026a). The OECD's September 2026 interim outlook projected global growth of 2.9% in 2026 and 3.0% in 2027, while noting that stronger price pressures, weaker real-income growth and higher interest rates could moderate near-term momentum (OECD, 2026). The World Bank's June 2026 Global Economic Prospects was more cautious, projecting global growth of 2.5% in 2026 amid energy-price and geopolitical pressures (World Bank, 2026). These different forecasts do not mean that one institution is necessarily correct; rather, they demonstrate the uncertainty that managers must incorporate into planning.</w:t>
      </w:r>
    </w:p>
    <w:p>
      <w:pPr>
        <w:spacing w:line="480" w:lineRule="auto"/>
      </w:pPr>
      <w:r>
        <w:rPr>
          <w:rFonts w:ascii="Times New Roman" w:hAnsi="Times New Roman" w:eastAsia="Times New Roman"/>
          <w:sz w:val="24"/>
        </w:rPr>
        <w:t>The purpose of this report is to examine how socioeconomic and economic factors influence organisational decision-making and business performance. It has five objectives: to explain the influence of macroeconomic and sociodemographic factors; to assess the strategic relevance of inflation, interest rates, employment, economic growth and consumer behaviour; to analyse how firms adapt strategies during changing economic conditions; to examine global economic dynamics and market volatility; and to use real-world organisational examples to illustrate strategic responses.</w:t>
      </w:r>
    </w:p>
    <w:p>
      <w:pPr>
        <w:spacing w:line="480" w:lineRule="auto"/>
      </w:pPr>
      <w:r>
        <w:rPr>
          <w:rFonts w:ascii="Times New Roman" w:hAnsi="Times New Roman" w:eastAsia="Times New Roman"/>
          <w:sz w:val="24"/>
        </w:rPr>
        <w:t>The report adopts a critical perspective. Economic indicators are valuable signals, but they do not automatically determine business outcomes. Organisations interpret economic information through their own competitive position, resources, industry structure, customer segments and risk appetite. Strategic advantage therefore depends on the ability to convert environmental information into timely and flexible decisions.</w:t>
      </w:r>
    </w:p>
    <w:p>
      <w:pPr>
        <w:pStyle w:val="Heading1"/>
        <w:spacing w:line="480" w:lineRule="auto"/>
      </w:pPr>
      <w:r>
        <w:rPr>
          <w:rFonts w:ascii="Times New Roman" w:hAnsi="Times New Roman" w:eastAsia="Times New Roman"/>
          <w:sz w:val="24"/>
        </w:rPr>
        <w:t>Literature Review</w:t>
      </w:r>
    </w:p>
    <w:p>
      <w:pPr>
        <w:pStyle w:val="Heading2"/>
        <w:spacing w:line="480" w:lineRule="auto"/>
      </w:pPr>
      <w:r>
        <w:rPr>
          <w:rFonts w:ascii="Times New Roman" w:hAnsi="Times New Roman" w:eastAsia="Times New Roman"/>
          <w:sz w:val="24"/>
        </w:rPr>
        <w:t>1. Macroeconomic environment and business strategy</w:t>
      </w:r>
    </w:p>
    <w:p>
      <w:pPr>
        <w:spacing w:line="480" w:lineRule="auto"/>
      </w:pPr>
      <w:r>
        <w:rPr>
          <w:rFonts w:ascii="Times New Roman" w:hAnsi="Times New Roman" w:eastAsia="Times New Roman"/>
          <w:sz w:val="24"/>
        </w:rPr>
        <w:t>Macroeconomics examines economy-wide outcomes such as national income, inflation, employment, interest rates and economic growth. For organisations, these indicators affect the conditions under which products are sold, labour is hired and capital is obtained. The business cycle is particularly important because periods of expansion and contraction influence demand, investment and confidence. Firms with cyclical products may experience substantial changes in revenue, whereas firms selling essential goods may experience more stable demand.</w:t>
      </w:r>
    </w:p>
    <w:p>
      <w:pPr>
        <w:spacing w:line="480" w:lineRule="auto"/>
      </w:pPr>
      <w:r>
        <w:rPr>
          <w:rFonts w:ascii="Times New Roman" w:hAnsi="Times New Roman" w:eastAsia="Times New Roman"/>
          <w:sz w:val="24"/>
        </w:rPr>
        <w:t>Porter's (1980) competitive strategy framework provides a useful bridge between the external environment and organisational strategy. Although the framework focuses primarily on industry structure rather than macroeconomics, its analysis of competitive rivalry, supplier power, buyer power, substitutes and new entrants can be affected by economic conditions. For example, a recession can intensify rivalry if firms compete for a smaller pool of customers, while higher interest rates may make market entry more difficult for highly leveraged new competitors.</w:t>
      </w:r>
    </w:p>
    <w:p>
      <w:pPr>
        <w:spacing w:line="480" w:lineRule="auto"/>
      </w:pPr>
      <w:r>
        <w:rPr>
          <w:rFonts w:ascii="Times New Roman" w:hAnsi="Times New Roman" w:eastAsia="Times New Roman"/>
          <w:sz w:val="24"/>
        </w:rPr>
        <w:t>PESTLE analysis provides another useful strategic framework by examining political, economic, social, technological, legal and environmental forces. Its value lies in forcing managers to consider external trends systematically. However, a limitation is that PESTLE can become a descriptive checklist unless managers assess the probability, timing, magnitude and strategic relevance of each trend.</w:t>
      </w:r>
    </w:p>
    <w:p>
      <w:pPr>
        <w:pStyle w:val="Heading2"/>
        <w:spacing w:line="480" w:lineRule="auto"/>
      </w:pPr>
      <w:r>
        <w:rPr>
          <w:rFonts w:ascii="Times New Roman" w:hAnsi="Times New Roman" w:eastAsia="Times New Roman"/>
          <w:sz w:val="24"/>
        </w:rPr>
        <w:t>2. Inflation and organisational decisions</w:t>
      </w:r>
    </w:p>
    <w:p>
      <w:pPr>
        <w:spacing w:line="480" w:lineRule="auto"/>
      </w:pPr>
      <w:r>
        <w:rPr>
          <w:rFonts w:ascii="Times New Roman" w:hAnsi="Times New Roman" w:eastAsia="Times New Roman"/>
          <w:sz w:val="24"/>
        </w:rPr>
        <w:t>Inflation is a sustained increase in the general price level, reducing the purchasing power of money. For firms, inflation can increase costs for raw materials, wages, energy, transport and financing. The strategic challenge is deciding how much of the cost increase can be passed to customers without causing a disproportionate fall in demand.</w:t>
      </w:r>
    </w:p>
    <w:p>
      <w:pPr>
        <w:spacing w:line="480" w:lineRule="auto"/>
      </w:pPr>
      <w:r>
        <w:rPr>
          <w:rFonts w:ascii="Times New Roman" w:hAnsi="Times New Roman" w:eastAsia="Times New Roman"/>
          <w:sz w:val="24"/>
        </w:rPr>
        <w:t>Price elasticity of demand is relevant here. If demand is relatively inelastic, firms may be able to increase prices with a smaller reduction in quantity demanded. If demand is elastic, substantial price increases can cause customers to switch to substitutes or reduce consumption. Managers may therefore use differentiated pricing, smaller pack sizes, promotions, premium and value tiers, supplier negotiations and productivity improvements rather than relying on one broad price increase.</w:t>
      </w:r>
    </w:p>
    <w:p>
      <w:pPr>
        <w:spacing w:line="480" w:lineRule="auto"/>
      </w:pPr>
      <w:r>
        <w:rPr>
          <w:rFonts w:ascii="Times New Roman" w:hAnsi="Times New Roman" w:eastAsia="Times New Roman"/>
          <w:sz w:val="24"/>
        </w:rPr>
        <w:t>Inflation also affects real household income. Even when nominal wages increase, consumers can become more price-sensitive if prices rise faster than income. This can shift demand toward private-label goods, discounts, lower-cost products or delayed purchases. Businesses that monitor basket composition and customer behaviour can respond more effectively than firms that rely only on historical sales data.</w:t>
      </w:r>
    </w:p>
    <w:p>
      <w:pPr>
        <w:pStyle w:val="Heading2"/>
        <w:spacing w:line="480" w:lineRule="auto"/>
      </w:pPr>
      <w:r>
        <w:rPr>
          <w:rFonts w:ascii="Times New Roman" w:hAnsi="Times New Roman" w:eastAsia="Times New Roman"/>
          <w:sz w:val="24"/>
        </w:rPr>
        <w:t>3. Interest rates and investment</w:t>
      </w:r>
    </w:p>
    <w:p>
      <w:pPr>
        <w:spacing w:line="480" w:lineRule="auto"/>
      </w:pPr>
      <w:r>
        <w:rPr>
          <w:rFonts w:ascii="Times New Roman" w:hAnsi="Times New Roman" w:eastAsia="Times New Roman"/>
          <w:sz w:val="24"/>
        </w:rPr>
        <w:t>Interest rates influence organisations through the cost of borrowing, consumer credit and the opportunity cost of capital. Higher interest rates can reduce investment in projects with uncertain or long payback periods because the present value of future cash flows falls when the discount rate rises. Highly leveraged firms may also face increased interest expenses and tighter financing conditions.</w:t>
      </w:r>
    </w:p>
    <w:p>
      <w:pPr>
        <w:spacing w:line="480" w:lineRule="auto"/>
      </w:pPr>
      <w:r>
        <w:rPr>
          <w:rFonts w:ascii="Times New Roman" w:hAnsi="Times New Roman" w:eastAsia="Times New Roman"/>
          <w:sz w:val="24"/>
        </w:rPr>
        <w:t>Interest rates can affect customers as well. Mortgage costs, consumer loans and savings returns influence disposable income and purchasing decisions. For sectors such as housing, automobiles, durable goods and business equipment, this transmission can be significant.</w:t>
      </w:r>
    </w:p>
    <w:p>
      <w:pPr>
        <w:spacing w:line="480" w:lineRule="auto"/>
      </w:pPr>
      <w:r>
        <w:rPr>
          <w:rFonts w:ascii="Times New Roman" w:hAnsi="Times New Roman" w:eastAsia="Times New Roman"/>
          <w:sz w:val="24"/>
        </w:rPr>
        <w:t>Strategically, firms can respond by prioritising high-return investments, extending debt maturities, maintaining liquidity buffers, using scenario analysis and improving working-capital management. However, excessive caution can also create opportunity costs if a firm underinvests while competitors build capabilities. The appropriate response depends on financial strength and the expected duration of tighter conditions.</w:t>
      </w:r>
    </w:p>
    <w:p>
      <w:pPr>
        <w:pStyle w:val="Heading2"/>
        <w:spacing w:line="480" w:lineRule="auto"/>
      </w:pPr>
      <w:r>
        <w:rPr>
          <w:rFonts w:ascii="Times New Roman" w:hAnsi="Times New Roman" w:eastAsia="Times New Roman"/>
          <w:sz w:val="24"/>
        </w:rPr>
        <w:t>4. Employment and labour-market conditions</w:t>
      </w:r>
    </w:p>
    <w:p>
      <w:pPr>
        <w:spacing w:line="480" w:lineRule="auto"/>
      </w:pPr>
      <w:r>
        <w:rPr>
          <w:rFonts w:ascii="Times New Roman" w:hAnsi="Times New Roman" w:eastAsia="Times New Roman"/>
          <w:sz w:val="24"/>
        </w:rPr>
        <w:t>Employment conditions influence both supply and demand. A tight labour market can increase wage costs and make recruitment difficult, particularly for specialised skills. A weaker labour market may reduce wage pressure but can also weaken consumer spending.</w:t>
      </w:r>
    </w:p>
    <w:p>
      <w:pPr>
        <w:spacing w:line="480" w:lineRule="auto"/>
      </w:pPr>
      <w:r>
        <w:rPr>
          <w:rFonts w:ascii="Times New Roman" w:hAnsi="Times New Roman" w:eastAsia="Times New Roman"/>
          <w:sz w:val="24"/>
        </w:rPr>
        <w:t>Human-capital strategy should therefore be connected to economic conditions. Firms can invest in training, automation, flexible work structures and internal mobility to reduce dependence on scarce external talent. Yet automation is not a simple substitute for labour. It may require new skills, capital expenditure and organisational change. A strategic workforce plan should therefore evaluate productivity gains alongside implementation costs and employee impacts.</w:t>
      </w:r>
    </w:p>
    <w:p>
      <w:pPr>
        <w:pStyle w:val="Heading2"/>
        <w:spacing w:line="480" w:lineRule="auto"/>
      </w:pPr>
      <w:r>
        <w:rPr>
          <w:rFonts w:ascii="Times New Roman" w:hAnsi="Times New Roman" w:eastAsia="Times New Roman"/>
          <w:sz w:val="24"/>
        </w:rPr>
        <w:t>5. Economic growth and consumer confidence</w:t>
      </w:r>
    </w:p>
    <w:p>
      <w:pPr>
        <w:spacing w:line="480" w:lineRule="auto"/>
      </w:pPr>
      <w:r>
        <w:rPr>
          <w:rFonts w:ascii="Times New Roman" w:hAnsi="Times New Roman" w:eastAsia="Times New Roman"/>
          <w:sz w:val="24"/>
        </w:rPr>
        <w:t>Economic growth generally creates favourable conditions for business expansion, but the relationship is not automatic. Growth can attract new competitors and increase input prices. During slower growth, firms may need to protect cash flow, focus on core segments and identify counter-cyclical opportunities.</w:t>
      </w:r>
    </w:p>
    <w:p>
      <w:pPr>
        <w:spacing w:line="480" w:lineRule="auto"/>
      </w:pPr>
      <w:r>
        <w:rPr>
          <w:rFonts w:ascii="Times New Roman" w:hAnsi="Times New Roman" w:eastAsia="Times New Roman"/>
          <w:sz w:val="24"/>
        </w:rPr>
        <w:t>Consumer confidence is particularly relevant for discretionary purchases. Confidence can influence whether households bring purchases forward or postpone them. Firms can respond with flexible product portfolios, financing options, loyalty programmes and stronger value propositions. The critical issue is to distinguish temporary confidence changes from structural changes in consumer behaviour.</w:t>
      </w:r>
    </w:p>
    <w:p>
      <w:pPr>
        <w:pStyle w:val="Heading2"/>
        <w:spacing w:line="480" w:lineRule="auto"/>
      </w:pPr>
      <w:r>
        <w:rPr>
          <w:rFonts w:ascii="Times New Roman" w:hAnsi="Times New Roman" w:eastAsia="Times New Roman"/>
          <w:sz w:val="24"/>
        </w:rPr>
        <w:t>6. Socio-demographic change</w:t>
      </w:r>
    </w:p>
    <w:p>
      <w:pPr>
        <w:spacing w:line="480" w:lineRule="auto"/>
      </w:pPr>
      <w:r>
        <w:rPr>
          <w:rFonts w:ascii="Times New Roman" w:hAnsi="Times New Roman" w:eastAsia="Times New Roman"/>
          <w:sz w:val="24"/>
        </w:rPr>
        <w:t>Demographic trends shape market size and workforce availability. Age, household structure, urbanisation, migration, education and income distribution influence what consumers buy and how they access products. An ageing population, for example, can increase demand for health, wellness, financial planning and assisted-living services while changing workforce requirements.</w:t>
      </w:r>
    </w:p>
    <w:p>
      <w:pPr>
        <w:spacing w:line="480" w:lineRule="auto"/>
      </w:pPr>
      <w:r>
        <w:rPr>
          <w:rFonts w:ascii="Times New Roman" w:hAnsi="Times New Roman" w:eastAsia="Times New Roman"/>
          <w:sz w:val="24"/>
        </w:rPr>
        <w:t>Income distribution also matters. Average income can conceal substantial differences between households. Strategic segmentation should therefore consider purchasing power, affordability and behavioural differences rather than assuming that a national average consumer represents the whole market.</w:t>
      </w:r>
    </w:p>
    <w:p>
      <w:pPr>
        <w:pStyle w:val="Heading2"/>
        <w:spacing w:line="480" w:lineRule="auto"/>
      </w:pPr>
      <w:r>
        <w:rPr>
          <w:rFonts w:ascii="Times New Roman" w:hAnsi="Times New Roman" w:eastAsia="Times New Roman"/>
          <w:sz w:val="24"/>
        </w:rPr>
        <w:t>7. Globalisation, exchange rates and trade</w:t>
      </w:r>
    </w:p>
    <w:p>
      <w:pPr>
        <w:spacing w:line="480" w:lineRule="auto"/>
      </w:pPr>
      <w:r>
        <w:rPr>
          <w:rFonts w:ascii="Times New Roman" w:hAnsi="Times New Roman" w:eastAsia="Times New Roman"/>
          <w:sz w:val="24"/>
        </w:rPr>
        <w:t>International organisations face economic conditions that vary across countries. Exchange-rate movements can affect imported input costs, export competitiveness and the value of overseas earnings. A depreciation of the home currency may benefit exporters but increase the domestic cost of imported materials.</w:t>
      </w:r>
    </w:p>
    <w:p>
      <w:pPr>
        <w:spacing w:line="480" w:lineRule="auto"/>
      </w:pPr>
      <w:r>
        <w:rPr>
          <w:rFonts w:ascii="Times New Roman" w:hAnsi="Times New Roman" w:eastAsia="Times New Roman"/>
          <w:sz w:val="24"/>
        </w:rPr>
        <w:t>Trade policy and supply-chain conditions also influence strategy. Tariffs, sanctions, transport disruptions and geopolitical tensions can increase costs and reduce reliability. Diversifying suppliers and production locations can improve resilience, although diversification may increase complexity and cost. The objective is therefore not maximum diversification but an economically justified level of resilience.</w:t>
      </w:r>
    </w:p>
    <w:p>
      <w:pPr>
        <w:pStyle w:val="Heading2"/>
        <w:spacing w:line="480" w:lineRule="auto"/>
      </w:pPr>
      <w:r>
        <w:rPr>
          <w:rFonts w:ascii="Times New Roman" w:hAnsi="Times New Roman" w:eastAsia="Times New Roman"/>
          <w:sz w:val="24"/>
        </w:rPr>
        <w:t>8. Strategic flexibility and dynamic capabilities</w:t>
      </w:r>
    </w:p>
    <w:p>
      <w:pPr>
        <w:spacing w:line="480" w:lineRule="auto"/>
      </w:pPr>
      <w:r>
        <w:rPr>
          <w:rFonts w:ascii="Times New Roman" w:hAnsi="Times New Roman" w:eastAsia="Times New Roman"/>
          <w:sz w:val="24"/>
        </w:rPr>
        <w:t>Teece, Pisano and Shuen (1997) argue that competitive advantage in changing environments depends on dynamic capabilities: the ability to integrate, build and reconfigure resources. This concept is particularly relevant to economic volatility. Firms cannot control inflation, interest rates or geopolitical events, but they can improve their ability to sense changes, seize opportunities and reconfigure operations.</w:t>
      </w:r>
    </w:p>
    <w:p>
      <w:pPr>
        <w:spacing w:line="480" w:lineRule="auto"/>
      </w:pPr>
      <w:r>
        <w:rPr>
          <w:rFonts w:ascii="Times New Roman" w:hAnsi="Times New Roman" w:eastAsia="Times New Roman"/>
          <w:sz w:val="24"/>
        </w:rPr>
        <w:t>Scenario planning supports this flexibility. Rather than preparing for one forecast, managers can develop alternative scenarios such as high inflation, weak growth, rapid recovery and supply disruption. Each scenario can be linked to trigger indicators and predefined actions. This reduces reaction time and supports more disciplined decision-making.</w:t>
      </w:r>
    </w:p>
    <w:p>
      <w:pPr>
        <w:pStyle w:val="Heading1"/>
        <w:spacing w:line="480" w:lineRule="auto"/>
      </w:pPr>
      <w:r>
        <w:rPr>
          <w:rFonts w:ascii="Times New Roman" w:hAnsi="Times New Roman" w:eastAsia="Times New Roman"/>
          <w:sz w:val="24"/>
        </w:rPr>
        <w:t>Methodology</w:t>
      </w:r>
    </w:p>
    <w:p>
      <w:pPr>
        <w:spacing w:line="480" w:lineRule="auto"/>
      </w:pPr>
      <w:r>
        <w:rPr>
          <w:rFonts w:ascii="Times New Roman" w:hAnsi="Times New Roman" w:eastAsia="Times New Roman"/>
          <w:sz w:val="24"/>
        </w:rPr>
        <w:t>This report uses a qualitative secondary-research methodology. Academic theories of strategic management and economics were combined with recent institutional evidence from the IMF, OECD and World Bank. The literature was used to establish the mechanisms through which economic and socioeconomic variables affect organisations. Current institutional forecasts were then used to illustrate the uncertainty surrounding the contemporary global environment.</w:t>
      </w:r>
    </w:p>
    <w:p>
      <w:pPr>
        <w:spacing w:line="480" w:lineRule="auto"/>
      </w:pPr>
      <w:r>
        <w:rPr>
          <w:rFonts w:ascii="Times New Roman" w:hAnsi="Times New Roman" w:eastAsia="Times New Roman"/>
          <w:sz w:val="24"/>
        </w:rPr>
        <w:t>Two organisations, Apple Inc. and Unilever, are used as illustrative cases because their international scale exposes them to multiple consumer markets, supply chains, currencies and economic conditions. The cases are not intended to prove that any one strategic response is universally appropriate. Instead, they demonstrate how organisations can translate environmental information into decisions concerning product positioning, market diversification, pricing, investment, supply-chain resilience and consumer value.</w:t>
      </w:r>
    </w:p>
    <w:p>
      <w:pPr>
        <w:spacing w:line="480" w:lineRule="auto"/>
      </w:pPr>
      <w:r>
        <w:rPr>
          <w:rFonts w:ascii="Times New Roman" w:hAnsi="Times New Roman" w:eastAsia="Times New Roman"/>
          <w:sz w:val="24"/>
        </w:rPr>
        <w:t>The analytical process consisted of four stages. First, major macroeconomic and socioeconomic variables were identified. Second, their direct and indirect effects on organisational performance were examined. Third, strategic responses were evaluated using PESTLE, competitive analysis, scenario planning and dynamic-capability concepts. Fourth, practical recommendations were developed.</w:t>
      </w:r>
    </w:p>
    <w:p>
      <w:pPr>
        <w:spacing w:line="480" w:lineRule="auto"/>
      </w:pPr>
      <w:r>
        <w:rPr>
          <w:rFonts w:ascii="Times New Roman" w:hAnsi="Times New Roman" w:eastAsia="Times New Roman"/>
          <w:sz w:val="24"/>
        </w:rPr>
        <w:t>The principal limitation is that secondary research cannot capture all firm-specific information or confidential management decisions. Forecasts are also uncertain and may change as new information becomes available. Therefore, the report treats forecasts as planning inputs rather than predictions that organisations should follow mechanically.</w:t>
      </w:r>
    </w:p>
    <w:p>
      <w:pPr>
        <w:pStyle w:val="Heading1"/>
        <w:spacing w:line="480" w:lineRule="auto"/>
      </w:pPr>
      <w:r>
        <w:rPr>
          <w:rFonts w:ascii="Times New Roman" w:hAnsi="Times New Roman" w:eastAsia="Times New Roman"/>
          <w:sz w:val="24"/>
        </w:rPr>
        <w:t>Findings</w:t>
      </w:r>
    </w:p>
    <w:p>
      <w:pPr>
        <w:pStyle w:val="Heading2"/>
        <w:spacing w:line="480" w:lineRule="auto"/>
      </w:pPr>
      <w:r>
        <w:rPr>
          <w:rFonts w:ascii="Times New Roman" w:hAnsi="Times New Roman" w:eastAsia="Times New Roman"/>
          <w:sz w:val="24"/>
        </w:rPr>
        <w:t>1. Economic conditions influence both revenue and cost structures</w:t>
      </w:r>
    </w:p>
    <w:p>
      <w:pPr>
        <w:spacing w:line="480" w:lineRule="auto"/>
      </w:pPr>
      <w:r>
        <w:rPr>
          <w:rFonts w:ascii="Times New Roman" w:hAnsi="Times New Roman" w:eastAsia="Times New Roman"/>
          <w:sz w:val="24"/>
        </w:rPr>
        <w:t>The first finding is that economic conditions affect organisations through multiple channels at the same time. Inflation can increase input costs while reducing consumers' real purchasing power. Interest-rate increases can raise borrowing costs while reducing demand for interest-sensitive products. Exchange-rate movements can alter both revenue and costs. The strategic implication is that managers should avoid single-variable analysis.</w:t>
      </w:r>
    </w:p>
    <w:p>
      <w:pPr>
        <w:spacing w:line="480" w:lineRule="auto"/>
      </w:pPr>
      <w:r>
        <w:rPr>
          <w:rFonts w:ascii="Times New Roman" w:hAnsi="Times New Roman" w:eastAsia="Times New Roman"/>
          <w:sz w:val="24"/>
        </w:rPr>
        <w:t>A useful approach is to build an economic dashboard containing inflation, interest rates, employment, consumer confidence, exchange rates, commodity prices and relevant industry indicators. The dashboard should be linked to specific management decisions rather than simply reported as information. For example, a sustained increase in input costs could trigger supplier renegotiation, selective price adjustments and product-mix review.</w:t>
      </w:r>
    </w:p>
    <w:p>
      <w:pPr>
        <w:pStyle w:val="Heading2"/>
        <w:spacing w:line="480" w:lineRule="auto"/>
      </w:pPr>
      <w:r>
        <w:rPr>
          <w:rFonts w:ascii="Times New Roman" w:hAnsi="Times New Roman" w:eastAsia="Times New Roman"/>
          <w:sz w:val="24"/>
        </w:rPr>
        <w:t>2. Current global conditions reinforce the need for scenario planning</w:t>
      </w:r>
    </w:p>
    <w:p>
      <w:pPr>
        <w:spacing w:line="480" w:lineRule="auto"/>
      </w:pPr>
      <w:r>
        <w:rPr>
          <w:rFonts w:ascii="Times New Roman" w:hAnsi="Times New Roman" w:eastAsia="Times New Roman"/>
          <w:sz w:val="24"/>
        </w:rPr>
        <w:t>Current forecasts show substantial uncertainty. The IMF's July 2026 update projects global growth of 3.0% in 2026 and 3.4% in 2027 and notes that technology investment is supporting activity while geopolitical shocks weigh on energy importers (IMF, 2026a). The OECD's September 2026 outlook projects 2.9% global growth in 2026 and 3.0% in 2027, while warning that higher energy prices, weaker real income growth and elevated interest rates can moderate growth (OECD, 2026). The World Bank's June 2026 forecast projects 2.5% global growth in 2026 and highlights energy, geopolitical and trade-related risks (World Bank, 2026).</w:t>
      </w:r>
    </w:p>
    <w:p>
      <w:pPr>
        <w:spacing w:line="480" w:lineRule="auto"/>
      </w:pPr>
      <w:r>
        <w:rPr>
          <w:rFonts w:ascii="Times New Roman" w:hAnsi="Times New Roman" w:eastAsia="Times New Roman"/>
          <w:sz w:val="24"/>
        </w:rPr>
        <w:t>For managers, the important lesson is not to select one forecast and treat it as certain. Differences across forecasts indicate uncertainty about the path of energy prices, conflict, financial conditions, trade and technology investment. Scenario planning can therefore establish a base case, downside case and upside case, each with measurable triggers.</w:t>
      </w:r>
    </w:p>
    <w:p>
      <w:pPr>
        <w:pStyle w:val="Heading2"/>
        <w:spacing w:line="480" w:lineRule="auto"/>
      </w:pPr>
      <w:r>
        <w:rPr>
          <w:rFonts w:ascii="Times New Roman" w:hAnsi="Times New Roman" w:eastAsia="Times New Roman"/>
          <w:sz w:val="24"/>
        </w:rPr>
        <w:t>3. Inflation changes customer value perceptions</w:t>
      </w:r>
    </w:p>
    <w:p>
      <w:pPr>
        <w:spacing w:line="480" w:lineRule="auto"/>
      </w:pPr>
      <w:r>
        <w:rPr>
          <w:rFonts w:ascii="Times New Roman" w:hAnsi="Times New Roman" w:eastAsia="Times New Roman"/>
          <w:sz w:val="24"/>
        </w:rPr>
        <w:t>Inflation can alter the meaning of value for customers. When household budgets become constrained, consumers may trade down, purchase less frequently, switch brands or seek promotions. This can create pressure on premium brands but can also encourage innovation in smaller pack sizes, entry-level products and value-focused propositions.</w:t>
      </w:r>
    </w:p>
    <w:p>
      <w:pPr>
        <w:spacing w:line="480" w:lineRule="auto"/>
      </w:pPr>
      <w:r>
        <w:rPr>
          <w:rFonts w:ascii="Times New Roman" w:hAnsi="Times New Roman" w:eastAsia="Times New Roman"/>
          <w:sz w:val="24"/>
        </w:rPr>
        <w:t>Firms should therefore monitor price-volume-mix effects. A revenue increase driven entirely by higher prices may conceal a decline in physical demand. Managers should separate price effects from volume effects and evaluate whether price increases are damaging long-term customer relationships.</w:t>
      </w:r>
    </w:p>
    <w:p>
      <w:pPr>
        <w:pStyle w:val="Heading2"/>
        <w:spacing w:line="480" w:lineRule="auto"/>
      </w:pPr>
      <w:r>
        <w:rPr>
          <w:rFonts w:ascii="Times New Roman" w:hAnsi="Times New Roman" w:eastAsia="Times New Roman"/>
          <w:sz w:val="24"/>
        </w:rPr>
        <w:t>4. Interest rates affect capital allocation</w:t>
      </w:r>
    </w:p>
    <w:p>
      <w:pPr>
        <w:spacing w:line="480" w:lineRule="auto"/>
      </w:pPr>
      <w:r>
        <w:rPr>
          <w:rFonts w:ascii="Times New Roman" w:hAnsi="Times New Roman" w:eastAsia="Times New Roman"/>
          <w:sz w:val="24"/>
        </w:rPr>
        <w:t>Higher financing costs require more disciplined capital allocation. Projects should be evaluated using realistic cash-flow assumptions, sensitivity analysis and hurdle rates that reflect current financial conditions. Firms with strong balance sheets may use periods of uncertainty to invest selectively in technology, productivity and strategic assets when weaker competitors are unable or unwilling to invest.</w:t>
      </w:r>
    </w:p>
    <w:p>
      <w:pPr>
        <w:spacing w:line="480" w:lineRule="auto"/>
      </w:pPr>
      <w:r>
        <w:rPr>
          <w:rFonts w:ascii="Times New Roman" w:hAnsi="Times New Roman" w:eastAsia="Times New Roman"/>
          <w:sz w:val="24"/>
        </w:rPr>
        <w:t>However, financial strength does not eliminate risk. Large capital projects can become unattractive if demand forecasts are overly optimistic or if supply costs rise. A staged-investment model can reduce exposure by releasing capital in phases as performance milestones are achieved.</w:t>
      </w:r>
    </w:p>
    <w:p>
      <w:pPr>
        <w:pStyle w:val="Heading2"/>
        <w:spacing w:line="480" w:lineRule="auto"/>
      </w:pPr>
      <w:r>
        <w:rPr>
          <w:rFonts w:ascii="Times New Roman" w:hAnsi="Times New Roman" w:eastAsia="Times New Roman"/>
          <w:sz w:val="24"/>
        </w:rPr>
        <w:t>5. Employment conditions influence organisational capability</w:t>
      </w:r>
    </w:p>
    <w:p>
      <w:pPr>
        <w:spacing w:line="480" w:lineRule="auto"/>
      </w:pPr>
      <w:r>
        <w:rPr>
          <w:rFonts w:ascii="Times New Roman" w:hAnsi="Times New Roman" w:eastAsia="Times New Roman"/>
          <w:sz w:val="24"/>
        </w:rPr>
        <w:t>Labour-market conditions affect both costs and organisational capacity. Shortages of specialised skills can delay projects and increase wages. Organisations can respond by combining recruitment with internal development, automation, process redesign and knowledge management.</w:t>
      </w:r>
    </w:p>
    <w:p>
      <w:pPr>
        <w:spacing w:line="480" w:lineRule="auto"/>
      </w:pPr>
      <w:r>
        <w:rPr>
          <w:rFonts w:ascii="Times New Roman" w:hAnsi="Times New Roman" w:eastAsia="Times New Roman"/>
          <w:sz w:val="24"/>
        </w:rPr>
        <w:t>There is also a social dimension. Workforce decisions affect employee security and organisational reputation. Cost reduction achieved through indiscriminate job cuts may produce short-term savings but can also reduce knowledge, morale and service quality. Strategic workforce planning should therefore distinguish between structural capability changes and temporary demand fluctuations.</w:t>
      </w:r>
    </w:p>
    <w:p>
      <w:pPr>
        <w:pStyle w:val="Heading2"/>
        <w:spacing w:line="480" w:lineRule="auto"/>
      </w:pPr>
      <w:r>
        <w:rPr>
          <w:rFonts w:ascii="Times New Roman" w:hAnsi="Times New Roman" w:eastAsia="Times New Roman"/>
          <w:sz w:val="24"/>
        </w:rPr>
        <w:t>6. Consumer behaviour is increasingly segmented</w:t>
      </w:r>
    </w:p>
    <w:p>
      <w:pPr>
        <w:spacing w:line="480" w:lineRule="auto"/>
      </w:pPr>
      <w:r>
        <w:rPr>
          <w:rFonts w:ascii="Times New Roman" w:hAnsi="Times New Roman" w:eastAsia="Times New Roman"/>
          <w:sz w:val="24"/>
        </w:rPr>
        <w:t>Economic conditions do not affect all consumers equally. Income, age, household structure, location and lifestyle determine how economic shocks translate into purchasing behaviour. During inflationary periods, higher-income households may absorb price increases more easily than lower-income households, while younger consumers may alter discretionary spending differently from older consumers.</w:t>
      </w:r>
    </w:p>
    <w:p>
      <w:pPr>
        <w:spacing w:line="480" w:lineRule="auto"/>
      </w:pPr>
      <w:r>
        <w:rPr>
          <w:rFonts w:ascii="Times New Roman" w:hAnsi="Times New Roman" w:eastAsia="Times New Roman"/>
          <w:sz w:val="24"/>
        </w:rPr>
        <w:t>This supports more sophisticated segmentation. Firms can offer good-better-best product ranges, targeted promotions and differentiated services while protecting core brand positioning. The challenge is to avoid excessive discounting that damages perceived value or trains customers to wait for promotions.</w:t>
      </w:r>
    </w:p>
    <w:p>
      <w:pPr>
        <w:pStyle w:val="Heading2"/>
        <w:spacing w:line="480" w:lineRule="auto"/>
      </w:pPr>
      <w:r>
        <w:rPr>
          <w:rFonts w:ascii="Times New Roman" w:hAnsi="Times New Roman" w:eastAsia="Times New Roman"/>
          <w:sz w:val="24"/>
        </w:rPr>
        <w:t>7. Apple: premium positioning under changing economic conditions</w:t>
      </w:r>
    </w:p>
    <w:p>
      <w:pPr>
        <w:spacing w:line="480" w:lineRule="auto"/>
      </w:pPr>
      <w:r>
        <w:rPr>
          <w:rFonts w:ascii="Times New Roman" w:hAnsi="Times New Roman" w:eastAsia="Times New Roman"/>
          <w:sz w:val="24"/>
        </w:rPr>
        <w:t>Apple provides an example of a multinational organisation exposed to global demand, currency movements, supply-chain conditions and consumer purchasing power. Its strategic model combines premium hardware, services, ecosystem integration and continuous technology investment. This structure can create resilience because revenue is not dependent on one product category alone, but it also exposes the company to discretionary spending conditions and global supply-chain complexity.</w:t>
      </w:r>
    </w:p>
    <w:p>
      <w:pPr>
        <w:spacing w:line="480" w:lineRule="auto"/>
      </w:pPr>
      <w:r>
        <w:rPr>
          <w:rFonts w:ascii="Times New Roman" w:hAnsi="Times New Roman" w:eastAsia="Times New Roman"/>
          <w:sz w:val="24"/>
        </w:rPr>
        <w:t>In weaker economic conditions, premium technology firms face a strategic tension. Reducing prices can stimulate demand but may weaken premium positioning and margins. Maintaining price discipline can protect brand value but may reduce unit demand among price-sensitive consumers. A more nuanced approach is to manage product tiers, financing, trade-in programmes, services and ecosystem value rather than rely solely on headline price cuts.</w:t>
      </w:r>
    </w:p>
    <w:p>
      <w:pPr>
        <w:spacing w:line="480" w:lineRule="auto"/>
      </w:pPr>
      <w:r>
        <w:rPr>
          <w:rFonts w:ascii="Times New Roman" w:hAnsi="Times New Roman" w:eastAsia="Times New Roman"/>
          <w:sz w:val="24"/>
        </w:rPr>
        <w:t>The broader lesson is that firms with strong intangible assets can use differentiation to reduce direct price competition, but they still need to monitor affordability and consumer confidence.</w:t>
      </w:r>
    </w:p>
    <w:p>
      <w:pPr>
        <w:pStyle w:val="Heading2"/>
        <w:spacing w:line="480" w:lineRule="auto"/>
      </w:pPr>
      <w:r>
        <w:rPr>
          <w:rFonts w:ascii="Times New Roman" w:hAnsi="Times New Roman" w:eastAsia="Times New Roman"/>
          <w:sz w:val="24"/>
        </w:rPr>
        <w:t>8. Unilever: portfolio and geographic adaptation</w:t>
      </w:r>
    </w:p>
    <w:p>
      <w:pPr>
        <w:spacing w:line="480" w:lineRule="auto"/>
      </w:pPr>
      <w:r>
        <w:rPr>
          <w:rFonts w:ascii="Times New Roman" w:hAnsi="Times New Roman" w:eastAsia="Times New Roman"/>
          <w:sz w:val="24"/>
        </w:rPr>
        <w:t>Unilever operates across consumer categories and international markets, exposing it to differences in inflation, income, currency and consumer preferences. A diversified portfolio can provide some resilience because demand conditions differ across categories and regions. However, complexity can also increase management costs.</w:t>
      </w:r>
    </w:p>
    <w:p>
      <w:pPr>
        <w:spacing w:line="480" w:lineRule="auto"/>
      </w:pPr>
      <w:r>
        <w:rPr>
          <w:rFonts w:ascii="Times New Roman" w:hAnsi="Times New Roman" w:eastAsia="Times New Roman"/>
          <w:sz w:val="24"/>
        </w:rPr>
        <w:t>In inflationary conditions, consumer-goods firms can adjust pack sizes, price architecture, product mix and promotional intensity. They may also seek productivity improvements and supplier efficiencies. The strategic challenge is balancing affordability with margin protection. Excessive cost-cutting can reduce product quality or marketing effectiveness, while excessive price increases can encourage consumers to switch to private-label alternatives.</w:t>
      </w:r>
    </w:p>
    <w:p>
      <w:pPr>
        <w:spacing w:line="480" w:lineRule="auto"/>
      </w:pPr>
      <w:r>
        <w:rPr>
          <w:rFonts w:ascii="Times New Roman" w:hAnsi="Times New Roman" w:eastAsia="Times New Roman"/>
          <w:sz w:val="24"/>
        </w:rPr>
        <w:t>The lesson from Unilever's context is that international diversification is valuable only when combined with local market understanding and disciplined portfolio management.</w:t>
      </w:r>
    </w:p>
    <w:p>
      <w:pPr>
        <w:pStyle w:val="Heading2"/>
        <w:spacing w:line="480" w:lineRule="auto"/>
      </w:pPr>
      <w:r>
        <w:rPr>
          <w:rFonts w:ascii="Times New Roman" w:hAnsi="Times New Roman" w:eastAsia="Times New Roman"/>
          <w:sz w:val="24"/>
        </w:rPr>
        <w:t>9. Economic shocks create both threats and opportunities</w:t>
      </w:r>
    </w:p>
    <w:p>
      <w:pPr>
        <w:spacing w:line="480" w:lineRule="auto"/>
      </w:pPr>
      <w:r>
        <w:rPr>
          <w:rFonts w:ascii="Times New Roman" w:hAnsi="Times New Roman" w:eastAsia="Times New Roman"/>
          <w:sz w:val="24"/>
        </w:rPr>
        <w:t>A critical finding is that economic disruption should not be viewed only as a threat. Lower demand may create acquisition opportunities, while supply disruption may accelerate investment in automation or local sourcing. Currency movements may improve export competitiveness for some firms. Technological change can create productivity opportunities even during weak growth.</w:t>
      </w:r>
    </w:p>
    <w:p>
      <w:pPr>
        <w:spacing w:line="480" w:lineRule="auto"/>
      </w:pPr>
      <w:r>
        <w:rPr>
          <w:rFonts w:ascii="Times New Roman" w:hAnsi="Times New Roman" w:eastAsia="Times New Roman"/>
          <w:sz w:val="24"/>
        </w:rPr>
        <w:t>This reinforces the importance of dynamic capabilities. Firms need systems that identify opportunities as well as risks. A strategic risk register should therefore include positive scenarios, such as market-share gains from competitor weakness or new demand generated by technology.</w:t>
      </w:r>
    </w:p>
    <w:p>
      <w:pPr>
        <w:pStyle w:val="Heading2"/>
        <w:spacing w:line="480" w:lineRule="auto"/>
      </w:pPr>
      <w:r>
        <w:rPr>
          <w:rFonts w:ascii="Times New Roman" w:hAnsi="Times New Roman" w:eastAsia="Times New Roman"/>
          <w:sz w:val="24"/>
        </w:rPr>
        <w:t>10. Competitive effects vary by industry</w:t>
      </w:r>
    </w:p>
    <w:p>
      <w:pPr>
        <w:spacing w:line="480" w:lineRule="auto"/>
      </w:pPr>
      <w:r>
        <w:rPr>
          <w:rFonts w:ascii="Times New Roman" w:hAnsi="Times New Roman" w:eastAsia="Times New Roman"/>
          <w:sz w:val="24"/>
        </w:rPr>
        <w:t>The impact of economic conditions depends on industry structure. Essential consumer goods may be less cyclical than luxury goods. Highly leveraged industries are more exposed to interest rates. Energy-intensive manufacturers are more sensitive to commodity prices. Export-oriented firms are more sensitive to exchange rates and trade policy.</w:t>
      </w:r>
    </w:p>
    <w:p>
      <w:pPr>
        <w:spacing w:line="480" w:lineRule="auto"/>
      </w:pPr>
      <w:r>
        <w:rPr>
          <w:rFonts w:ascii="Times New Roman" w:hAnsi="Times New Roman" w:eastAsia="Times New Roman"/>
          <w:sz w:val="24"/>
        </w:rPr>
        <w:t>Consequently, managers should translate macroeconomic data into industry-specific indicators. A fall in GDP does not have the same strategic meaning for every organisation. The relevant question is how the economic change affects the firm's customers, competitors, suppliers, financing and resources.</w:t>
      </w:r>
    </w:p>
    <w:p>
      <w:pPr>
        <w:pStyle w:val="Heading1"/>
        <w:spacing w:line="480" w:lineRule="auto"/>
      </w:pPr>
      <w:r>
        <w:rPr>
          <w:rFonts w:ascii="Times New Roman" w:hAnsi="Times New Roman" w:eastAsia="Times New Roman"/>
          <w:sz w:val="24"/>
        </w:rPr>
        <w:t>Discussion</w:t>
      </w:r>
    </w:p>
    <w:p>
      <w:pPr>
        <w:spacing w:line="480" w:lineRule="auto"/>
      </w:pPr>
      <w:r>
        <w:rPr>
          <w:rFonts w:ascii="Times New Roman" w:hAnsi="Times New Roman" w:eastAsia="Times New Roman"/>
          <w:sz w:val="24"/>
        </w:rPr>
        <w:t>The evidence supports the view that economic environment analysis is a central component of strategic management, but it also demonstrates that macroeconomic information has to be interpreted in organisational context. A rise in inflation, for example, does not automatically imply that every firm should increase prices. The appropriate response depends on price elasticity, brand strength, competitive intensity, cost structure and customer affordability.</w:t>
      </w:r>
    </w:p>
    <w:p>
      <w:pPr>
        <w:spacing w:line="480" w:lineRule="auto"/>
      </w:pPr>
      <w:r>
        <w:rPr>
          <w:rFonts w:ascii="Times New Roman" w:hAnsi="Times New Roman" w:eastAsia="Times New Roman"/>
          <w:sz w:val="24"/>
        </w:rPr>
        <w:t>The relationship between economic conditions and performance is also dynamic. A firm may initially protect margins through price increases, but if competitors offer substitutes and customers become more price-sensitive, volume losses may emerge later. Strategic decisions therefore need feedback mechanisms. Management should monitor leading indicators such as customer search behaviour, order cancellations, inventory movements and competitor pricing alongside traditional economic statistics.</w:t>
      </w:r>
    </w:p>
    <w:p>
      <w:pPr>
        <w:spacing w:line="480" w:lineRule="auto"/>
      </w:pPr>
      <w:r>
        <w:rPr>
          <w:rFonts w:ascii="Times New Roman" w:hAnsi="Times New Roman" w:eastAsia="Times New Roman"/>
          <w:sz w:val="24"/>
        </w:rPr>
        <w:t>Another important issue is the trade-off between efficiency and resilience. Just-in-time supply systems can reduce inventory costs, but high dependence on a small number of suppliers can increase vulnerability during geopolitical or logistical disruption. Conversely, maintaining excess capacity and multiple suppliers can increase costs. Strategic resilience therefore requires an economically justified balance rather than maximum redundancy.</w:t>
      </w:r>
    </w:p>
    <w:p>
      <w:pPr>
        <w:spacing w:line="480" w:lineRule="auto"/>
      </w:pPr>
      <w:r>
        <w:rPr>
          <w:rFonts w:ascii="Times New Roman" w:hAnsi="Times New Roman" w:eastAsia="Times New Roman"/>
          <w:sz w:val="24"/>
        </w:rPr>
        <w:t>Globalisation has increased these interdependencies. A disruption in one region can affect energy prices, shipping costs, component availability and consumer confidence elsewhere. International organisations should therefore map critical dependencies and identify alternative sources, routes and production locations. Currency risk should also be integrated into financial planning.</w:t>
      </w:r>
    </w:p>
    <w:p>
      <w:pPr>
        <w:spacing w:line="480" w:lineRule="auto"/>
      </w:pPr>
      <w:r>
        <w:rPr>
          <w:rFonts w:ascii="Times New Roman" w:hAnsi="Times New Roman" w:eastAsia="Times New Roman"/>
          <w:sz w:val="24"/>
        </w:rPr>
        <w:t>Socioeconomic change creates another layer of complexity. Businesses that rely on national averages can miss major differences in purchasing power, demographics and lifestyle. Market segmentation should therefore incorporate both economic and social variables. This is particularly important for organisations expanding internationally, because the same product can occupy different value positions in different markets.</w:t>
      </w:r>
    </w:p>
    <w:p>
      <w:pPr>
        <w:spacing w:line="480" w:lineRule="auto"/>
      </w:pPr>
      <w:r>
        <w:rPr>
          <w:rFonts w:ascii="Times New Roman" w:hAnsi="Times New Roman" w:eastAsia="Times New Roman"/>
          <w:sz w:val="24"/>
        </w:rPr>
        <w:t>The current 2026 forecasts also illustrate the importance of uncertainty management. The IMF, OECD and World Bank provide different growth projections, reflecting different assumptions and publication dates. Organisations should not treat such differences as a problem with forecasting alone. Forecasts are conditional assessments based on information and assumptions available at a particular time. The managerial task is to identify which assumptions matter most to the organisation and develop trigger-based responses.</w:t>
      </w:r>
    </w:p>
    <w:p>
      <w:pPr>
        <w:spacing w:line="480" w:lineRule="auto"/>
      </w:pPr>
      <w:r>
        <w:rPr>
          <w:rFonts w:ascii="Times New Roman" w:hAnsi="Times New Roman" w:eastAsia="Times New Roman"/>
          <w:sz w:val="24"/>
        </w:rPr>
        <w:t>From a strategic-management perspective, dynamic capabilities offer a useful explanation of why some firms adapt more effectively. Sensing involves monitoring markets and identifying emerging changes. Seizing involves choosing investments and business models that exploit opportunities. Reconfiguring involves changing resources, processes and structures when conditions shift. This framework complements PESTLE because it focuses not only on identifying external change but on organisational response.</w:t>
      </w:r>
    </w:p>
    <w:p>
      <w:pPr>
        <w:spacing w:line="480" w:lineRule="auto"/>
      </w:pPr>
      <w:r>
        <w:rPr>
          <w:rFonts w:ascii="Times New Roman" w:hAnsi="Times New Roman" w:eastAsia="Times New Roman"/>
          <w:sz w:val="24"/>
        </w:rPr>
        <w:t>The analysis of Apple and Unilever further suggests that diversification can provide resilience but does not eliminate exposure. Product portfolios, geographic spread and strong brands can help firms absorb shocks, but global organisations remain exposed to currency movements, trade policy, supply chains and consumer purchasing power. Diversification should therefore be accompanied by disciplined portfolio management and local market intelligence.</w:t>
      </w:r>
    </w:p>
    <w:p>
      <w:pPr>
        <w:spacing w:line="480" w:lineRule="auto"/>
      </w:pPr>
      <w:r>
        <w:rPr>
          <w:rFonts w:ascii="Times New Roman" w:hAnsi="Times New Roman" w:eastAsia="Times New Roman"/>
          <w:sz w:val="24"/>
        </w:rPr>
        <w:t>Finally, strategic decision-making should incorporate social consequences. Economic decisions concerning employment, pricing and market exit affect communities and employees as well as shareholders. Responsible strategy does not mean ignoring commercial objectives; it means recognising that long-term performance depends on human capability, customer trust, supplier relationships and social legitimacy.</w:t>
      </w:r>
    </w:p>
    <w:p>
      <w:pPr>
        <w:pStyle w:val="Heading1"/>
        <w:spacing w:line="480" w:lineRule="auto"/>
      </w:pPr>
      <w:r>
        <w:rPr>
          <w:rFonts w:ascii="Times New Roman" w:hAnsi="Times New Roman" w:eastAsia="Times New Roman"/>
          <w:sz w:val="24"/>
        </w:rPr>
        <w:t>Recommendations</w:t>
      </w:r>
    </w:p>
    <w:p>
      <w:pPr>
        <w:pStyle w:val="Heading2"/>
        <w:spacing w:line="480" w:lineRule="auto"/>
      </w:pPr>
      <w:r>
        <w:rPr>
          <w:rFonts w:ascii="Times New Roman" w:hAnsi="Times New Roman" w:eastAsia="Times New Roman"/>
          <w:sz w:val="24"/>
        </w:rPr>
        <w:t>1. Establish an integrated economic intelligence dashboard</w:t>
      </w:r>
    </w:p>
    <w:p>
      <w:pPr>
        <w:spacing w:line="480" w:lineRule="auto"/>
      </w:pPr>
      <w:r>
        <w:rPr>
          <w:rFonts w:ascii="Times New Roman" w:hAnsi="Times New Roman" w:eastAsia="Times New Roman"/>
          <w:sz w:val="24"/>
        </w:rPr>
        <w:t>Organisations should monitor inflation, interest rates, employment, consumer confidence, exchange rates, commodity prices, industry demand and relevant geopolitical indicators. Each indicator should have a defined owner and an agreed management trigger. This converts economic data into actionable intelligence.</w:t>
      </w:r>
    </w:p>
    <w:p>
      <w:pPr>
        <w:pStyle w:val="Heading2"/>
        <w:spacing w:line="480" w:lineRule="auto"/>
      </w:pPr>
      <w:r>
        <w:rPr>
          <w:rFonts w:ascii="Times New Roman" w:hAnsi="Times New Roman" w:eastAsia="Times New Roman"/>
          <w:sz w:val="24"/>
        </w:rPr>
        <w:t>2. Use scenario planning rather than a single forecast</w:t>
      </w:r>
    </w:p>
    <w:p>
      <w:pPr>
        <w:spacing w:line="480" w:lineRule="auto"/>
      </w:pPr>
      <w:r>
        <w:rPr>
          <w:rFonts w:ascii="Times New Roman" w:hAnsi="Times New Roman" w:eastAsia="Times New Roman"/>
          <w:sz w:val="24"/>
        </w:rPr>
        <w:t>Management should prepare at least three scenarios: a base case, a downside case and an upside case. Each should include assumptions for demand, costs, financing and supply availability. Trigger indicators should specify when the organisation will move from one plan to another.</w:t>
      </w:r>
    </w:p>
    <w:p>
      <w:pPr>
        <w:pStyle w:val="Heading2"/>
        <w:spacing w:line="480" w:lineRule="auto"/>
      </w:pPr>
      <w:r>
        <w:rPr>
          <w:rFonts w:ascii="Times New Roman" w:hAnsi="Times New Roman" w:eastAsia="Times New Roman"/>
          <w:sz w:val="24"/>
        </w:rPr>
        <w:t>3. Build pricing flexibility</w:t>
      </w:r>
    </w:p>
    <w:p>
      <w:pPr>
        <w:spacing w:line="480" w:lineRule="auto"/>
      </w:pPr>
      <w:r>
        <w:rPr>
          <w:rFonts w:ascii="Times New Roman" w:hAnsi="Times New Roman" w:eastAsia="Times New Roman"/>
          <w:sz w:val="24"/>
        </w:rPr>
        <w:t>Pricing strategies should distinguish between temporary cost shocks and structural changes. Firms should use price-volume-mix analysis, customer segmentation, competitive monitoring and elasticity estimates. Product tiers and pack-size options can help serve customers with different levels of purchasing power.</w:t>
      </w:r>
    </w:p>
    <w:p>
      <w:pPr>
        <w:pStyle w:val="Heading2"/>
        <w:spacing w:line="480" w:lineRule="auto"/>
      </w:pPr>
      <w:r>
        <w:rPr>
          <w:rFonts w:ascii="Times New Roman" w:hAnsi="Times New Roman" w:eastAsia="Times New Roman"/>
          <w:sz w:val="24"/>
        </w:rPr>
        <w:t>4. Strengthen financial resilience</w:t>
      </w:r>
    </w:p>
    <w:p>
      <w:pPr>
        <w:spacing w:line="480" w:lineRule="auto"/>
      </w:pPr>
      <w:r>
        <w:rPr>
          <w:rFonts w:ascii="Times New Roman" w:hAnsi="Times New Roman" w:eastAsia="Times New Roman"/>
          <w:sz w:val="24"/>
        </w:rPr>
        <w:t>Organisations should maintain appropriate liquidity, review debt maturity and stress-test cash flows under higher interest rates and weaker demand. Major investments should use sensitivity analysis and staged capital allocation. Financial resilience creates strategic choice during uncertainty.</w:t>
      </w:r>
    </w:p>
    <w:p>
      <w:pPr>
        <w:pStyle w:val="Heading2"/>
        <w:spacing w:line="480" w:lineRule="auto"/>
      </w:pPr>
      <w:r>
        <w:rPr>
          <w:rFonts w:ascii="Times New Roman" w:hAnsi="Times New Roman" w:eastAsia="Times New Roman"/>
          <w:sz w:val="24"/>
        </w:rPr>
        <w:t>5. Diversify critical supply-chain dependencies</w:t>
      </w:r>
    </w:p>
    <w:p>
      <w:pPr>
        <w:spacing w:line="480" w:lineRule="auto"/>
      </w:pPr>
      <w:r>
        <w:rPr>
          <w:rFonts w:ascii="Times New Roman" w:hAnsi="Times New Roman" w:eastAsia="Times New Roman"/>
          <w:sz w:val="24"/>
        </w:rPr>
        <w:t>Firms should identify suppliers, components, logistics routes and regions where disruption could materially affect operations. Dual sourcing, alternative logistics routes, strategic inventory and supplier-development programmes can reduce vulnerability. The objective should be targeted resilience rather than unnecessarily high costs.</w:t>
      </w:r>
    </w:p>
    <w:p>
      <w:pPr>
        <w:pStyle w:val="Heading2"/>
        <w:spacing w:line="480" w:lineRule="auto"/>
      </w:pPr>
      <w:r>
        <w:rPr>
          <w:rFonts w:ascii="Times New Roman" w:hAnsi="Times New Roman" w:eastAsia="Times New Roman"/>
          <w:sz w:val="24"/>
        </w:rPr>
        <w:t>6. Develop workforce flexibility and capability</w:t>
      </w:r>
    </w:p>
    <w:p>
      <w:pPr>
        <w:spacing w:line="480" w:lineRule="auto"/>
      </w:pPr>
      <w:r>
        <w:rPr>
          <w:rFonts w:ascii="Times New Roman" w:hAnsi="Times New Roman" w:eastAsia="Times New Roman"/>
          <w:sz w:val="24"/>
        </w:rPr>
        <w:t>Organisations should combine recruitment, internal training, cross-skilling, automation and flexible work arrangements. Workforce plans should be connected to expected demand scenarios. Leaders should distinguish temporary economic pressure from long-term capability requirements.</w:t>
      </w:r>
    </w:p>
    <w:p>
      <w:pPr>
        <w:pStyle w:val="Heading2"/>
        <w:spacing w:line="480" w:lineRule="auto"/>
      </w:pPr>
      <w:r>
        <w:rPr>
          <w:rFonts w:ascii="Times New Roman" w:hAnsi="Times New Roman" w:eastAsia="Times New Roman"/>
          <w:sz w:val="24"/>
        </w:rPr>
        <w:t>7. Strengthen customer-value management</w:t>
      </w:r>
    </w:p>
    <w:p>
      <w:pPr>
        <w:spacing w:line="480" w:lineRule="auto"/>
      </w:pPr>
      <w:r>
        <w:rPr>
          <w:rFonts w:ascii="Times New Roman" w:hAnsi="Times New Roman" w:eastAsia="Times New Roman"/>
          <w:sz w:val="24"/>
        </w:rPr>
        <w:t>During periods of economic pressure, firms should monitor how customers trade between price, quality, convenience and brand. Value propositions should be adapted without automatically resorting to deep discounting. Loyalty programmes, smaller formats, entry-level products and service bundles can provide alternatives.</w:t>
      </w:r>
    </w:p>
    <w:p>
      <w:pPr>
        <w:pStyle w:val="Heading2"/>
        <w:spacing w:line="480" w:lineRule="auto"/>
      </w:pPr>
      <w:r>
        <w:rPr>
          <w:rFonts w:ascii="Times New Roman" w:hAnsi="Times New Roman" w:eastAsia="Times New Roman"/>
          <w:sz w:val="24"/>
        </w:rPr>
        <w:t>8. Use geographic and portfolio diversification strategically</w:t>
      </w:r>
    </w:p>
    <w:p>
      <w:pPr>
        <w:spacing w:line="480" w:lineRule="auto"/>
      </w:pPr>
      <w:r>
        <w:rPr>
          <w:rFonts w:ascii="Times New Roman" w:hAnsi="Times New Roman" w:eastAsia="Times New Roman"/>
          <w:sz w:val="24"/>
        </w:rPr>
        <w:t>International diversification should be evaluated according to economic correlation, market growth, currency exposure, regulatory conditions and competitive intensity. Portfolio decisions should identify which markets and products provide resilience and which create disproportionate risk.</w:t>
      </w:r>
    </w:p>
    <w:p>
      <w:pPr>
        <w:pStyle w:val="Heading2"/>
        <w:spacing w:line="480" w:lineRule="auto"/>
      </w:pPr>
      <w:r>
        <w:rPr>
          <w:rFonts w:ascii="Times New Roman" w:hAnsi="Times New Roman" w:eastAsia="Times New Roman"/>
          <w:sz w:val="24"/>
        </w:rPr>
        <w:t>9. Link PESTLE analysis to strategic action</w:t>
      </w:r>
    </w:p>
    <w:p>
      <w:pPr>
        <w:spacing w:line="480" w:lineRule="auto"/>
      </w:pPr>
      <w:r>
        <w:rPr>
          <w:rFonts w:ascii="Times New Roman" w:hAnsi="Times New Roman" w:eastAsia="Times New Roman"/>
          <w:sz w:val="24"/>
        </w:rPr>
        <w:t>PESTLE should not remain a descriptive document. For every major external trend, managers should specify probability, potential impact, early-warning indicators, strategic options and responsible executives. Reviews should occur regularly rather than only during annual planning.</w:t>
      </w:r>
    </w:p>
    <w:p>
      <w:pPr>
        <w:pStyle w:val="Heading2"/>
        <w:spacing w:line="480" w:lineRule="auto"/>
      </w:pPr>
      <w:r>
        <w:rPr>
          <w:rFonts w:ascii="Times New Roman" w:hAnsi="Times New Roman" w:eastAsia="Times New Roman"/>
          <w:sz w:val="24"/>
        </w:rPr>
        <w:t>10. Develop dynamic capabilities</w:t>
      </w:r>
    </w:p>
    <w:p>
      <w:pPr>
        <w:spacing w:line="480" w:lineRule="auto"/>
      </w:pPr>
      <w:r>
        <w:rPr>
          <w:rFonts w:ascii="Times New Roman" w:hAnsi="Times New Roman" w:eastAsia="Times New Roman"/>
          <w:sz w:val="24"/>
        </w:rPr>
        <w:t>Organisations should institutionalise sensing, seizing and reconfiguring capabilities. This can include market-intelligence teams, rapid experimentation, flexible investment budgets, cross-functional response teams and post-event reviews. The objective is to reduce the time between recognising a change and implementing an appropriate response.</w:t>
      </w:r>
    </w:p>
    <w:p>
      <w:pPr>
        <w:pStyle w:val="Heading2"/>
        <w:spacing w:line="480" w:lineRule="auto"/>
      </w:pPr>
      <w:r>
        <w:rPr>
          <w:rFonts w:ascii="Times New Roman" w:hAnsi="Times New Roman" w:eastAsia="Times New Roman"/>
          <w:sz w:val="24"/>
        </w:rPr>
        <w:t>11. Incorporate socioeconomic effects into major decisions</w:t>
      </w:r>
    </w:p>
    <w:p>
      <w:pPr>
        <w:spacing w:line="480" w:lineRule="auto"/>
      </w:pPr>
      <w:r>
        <w:rPr>
          <w:rFonts w:ascii="Times New Roman" w:hAnsi="Times New Roman" w:eastAsia="Times New Roman"/>
          <w:sz w:val="24"/>
        </w:rPr>
        <w:t>Strategic decisions involving restructuring, relocation, pricing or market withdrawal should consider effects on employees, customers, suppliers and communities. This can improve risk identification and support responsible long-term decision-making.</w:t>
      </w:r>
    </w:p>
    <w:p>
      <w:pPr>
        <w:pStyle w:val="Heading2"/>
        <w:spacing w:line="480" w:lineRule="auto"/>
      </w:pPr>
      <w:r>
        <w:rPr>
          <w:rFonts w:ascii="Times New Roman" w:hAnsi="Times New Roman" w:eastAsia="Times New Roman"/>
          <w:sz w:val="24"/>
        </w:rPr>
        <w:t>12. Measure strategic resilience</w:t>
      </w:r>
    </w:p>
    <w:p>
      <w:pPr>
        <w:spacing w:line="480" w:lineRule="auto"/>
      </w:pPr>
      <w:r>
        <w:rPr>
          <w:rFonts w:ascii="Times New Roman" w:hAnsi="Times New Roman" w:eastAsia="Times New Roman"/>
          <w:sz w:val="24"/>
        </w:rPr>
        <w:t>Management should track indicators such as revenue concentration, supplier concentration, cash-flow sensitivity, customer churn, price elasticity, employee turnover, inventory coverage and scenario performance. These measures can reveal vulnerabilities before they become major strategic problems.</w:t>
      </w:r>
    </w:p>
    <w:p>
      <w:pPr>
        <w:pStyle w:val="Heading1"/>
        <w:spacing w:line="480" w:lineRule="auto"/>
      </w:pPr>
      <w:r>
        <w:rPr>
          <w:rFonts w:ascii="Times New Roman" w:hAnsi="Times New Roman" w:eastAsia="Times New Roman"/>
          <w:sz w:val="24"/>
        </w:rPr>
        <w:t>Conclusion</w:t>
      </w:r>
    </w:p>
    <w:p>
      <w:pPr>
        <w:spacing w:line="480" w:lineRule="auto"/>
      </w:pPr>
      <w:r>
        <w:rPr>
          <w:rFonts w:ascii="Times New Roman" w:hAnsi="Times New Roman" w:eastAsia="Times New Roman"/>
          <w:sz w:val="24"/>
        </w:rPr>
        <w:t>Socioeconomic and macroeconomic factors have a significant influence on organisational decision-making and business performance. Inflation affects costs and purchasing power; interest rates influence financing and investment; employment conditions shape labour availability and consumer demand; economic growth affects market opportunities; and demographic and social changes reshape customer needs. Globalisation adds further complexity through exchange rates, trade policy, supply-chain interdependence and geopolitical risk.</w:t>
      </w:r>
    </w:p>
    <w:p>
      <w:pPr>
        <w:spacing w:line="480" w:lineRule="auto"/>
      </w:pPr>
      <w:r>
        <w:rPr>
          <w:rFonts w:ascii="Times New Roman" w:hAnsi="Times New Roman" w:eastAsia="Times New Roman"/>
          <w:sz w:val="24"/>
        </w:rPr>
        <w:t>The analysis demonstrates that no single economic indicator should determine strategy. Managers need to understand how variables interact and how their effects differ by industry, customer segment and organisational capability. The current 2026 economic outlook illustrates this uncertainty: major international institutions differ in their growth projections and assumptions, while all identify important risks and changing conditions. For businesses, this reinforces the need for scenario planning and adaptive decision-making.</w:t>
      </w:r>
    </w:p>
    <w:p>
      <w:pPr>
        <w:spacing w:line="480" w:lineRule="auto"/>
      </w:pPr>
      <w:r>
        <w:rPr>
          <w:rFonts w:ascii="Times New Roman" w:hAnsi="Times New Roman" w:eastAsia="Times New Roman"/>
          <w:sz w:val="24"/>
        </w:rPr>
        <w:t>Apple and Unilever illustrate two different but complementary lessons. Strong brands, diversified portfolios, innovation and international scale can provide resilience, but they do not eliminate exposure to affordability pressures, supply-chain risks, currency movements and changing consumer preferences. Firms must continuously adjust pricing, product portfolios, investment priorities and supply arrangements.</w:t>
      </w:r>
    </w:p>
    <w:p>
      <w:pPr>
        <w:spacing w:line="480" w:lineRule="auto"/>
      </w:pPr>
      <w:r>
        <w:rPr>
          <w:rFonts w:ascii="Times New Roman" w:hAnsi="Times New Roman" w:eastAsia="Times New Roman"/>
          <w:sz w:val="24"/>
        </w:rPr>
        <w:t>The strategic response should therefore focus on resilience as well as efficiency. Organisations that systematically monitor economic conditions, use scenarios, maintain financial flexibility, strengthen supply chains, develop workforce capabilities and understand customer value are better positioned to respond to uncertainty. Dynamic capabilities are especially important because they allow firms to sense change, seize opportunities and reconfigure resources.</w:t>
      </w:r>
    </w:p>
    <w:p>
      <w:pPr>
        <w:spacing w:line="480" w:lineRule="auto"/>
      </w:pPr>
      <w:r>
        <w:rPr>
          <w:rFonts w:ascii="Times New Roman" w:hAnsi="Times New Roman" w:eastAsia="Times New Roman"/>
          <w:sz w:val="24"/>
        </w:rPr>
        <w:t>Ultimately, the economic environment cannot be controlled by individual organisations, but organisational responses can be improved. Strategic success depends on converting socioeconomic information into timely decisions while maintaining sufficient flexibility to change course as evidence develops. This approach can support both short-term performance and long-term organisational sustainability.</w:t>
      </w:r>
    </w:p>
    <w:p>
      <w:pPr>
        <w:spacing w:line="480" w:lineRule="auto"/>
      </w:pPr>
      <w:r>
        <w:rPr>
          <w:rFonts w:ascii="Times New Roman" w:hAnsi="Times New Roman" w:eastAsia="Times New Roman"/>
          <w:sz w:val="24"/>
        </w:rPr>
        <w:br w:type="page"/>
      </w:r>
    </w:p>
    <w:p>
      <w:pPr>
        <w:pStyle w:val="Heading1"/>
        <w:spacing w:line="480" w:lineRule="auto"/>
      </w:pPr>
      <w:r>
        <w:rPr>
          <w:rFonts w:ascii="Times New Roman" w:hAnsi="Times New Roman" w:eastAsia="Times New Roman"/>
          <w:sz w:val="24"/>
        </w:rPr>
        <w:t>References</w:t>
      </w:r>
    </w:p>
    <w:p>
      <w:pPr>
        <w:spacing w:line="480" w:lineRule="auto"/>
        <w:ind w:left="720" w:hanging="720"/>
      </w:pPr>
      <w:r>
        <w:rPr>
          <w:rFonts w:ascii="Times New Roman" w:hAnsi="Times New Roman" w:eastAsia="Times New Roman"/>
          <w:sz w:val="24"/>
        </w:rPr>
        <w:t>International Monetary Fund. (2026a). World Economic Outlook update, July 2026: Global economy in crosscurrents of war and technology. IMF. https://www.imf.org/en/Publications/WEO/Issues/2026/07/08/world-economic-outlook-update-july-2026</w:t>
      </w:r>
    </w:p>
    <w:p>
      <w:pPr>
        <w:spacing w:line="480" w:lineRule="auto"/>
        <w:ind w:left="720" w:hanging="720"/>
      </w:pPr>
      <w:r>
        <w:rPr>
          <w:rFonts w:ascii="Times New Roman" w:hAnsi="Times New Roman" w:eastAsia="Times New Roman"/>
          <w:sz w:val="24"/>
        </w:rPr>
        <w:t>International Monetary Fund. (2026b). World Economic Outlook, April 2026: Global economy in the shadow of war. IMF. https://www.imf.org/en/Publications/WEO/Issues/2026/04/14/world-economic-outlook-april-2026</w:t>
      </w:r>
    </w:p>
    <w:p>
      <w:pPr>
        <w:spacing w:line="480" w:lineRule="auto"/>
        <w:ind w:left="720" w:hanging="720"/>
      </w:pPr>
      <w:r>
        <w:rPr>
          <w:rFonts w:ascii="Times New Roman" w:hAnsi="Times New Roman" w:eastAsia="Times New Roman"/>
          <w:sz w:val="24"/>
        </w:rPr>
        <w:t>OECD. (2026). OECD Economic Outlook, Interim Report September 2026. OECD Publishing. https://www.oecd.org/en/publications/oecd-economic-outlook-interim-report-september-2026_f751d02b-en.html</w:t>
      </w:r>
    </w:p>
    <w:p>
      <w:pPr>
        <w:spacing w:line="480" w:lineRule="auto"/>
        <w:ind w:left="720" w:hanging="720"/>
      </w:pPr>
      <w:r>
        <w:rPr>
          <w:rFonts w:ascii="Times New Roman" w:hAnsi="Times New Roman" w:eastAsia="Times New Roman"/>
          <w:sz w:val="24"/>
        </w:rPr>
        <w:t>Porter, M. E. (1980). Competitive strategy: Techniques for analyzing industries and competitors. Free Press.</w:t>
      </w:r>
    </w:p>
    <w:p>
      <w:pPr>
        <w:spacing w:line="480" w:lineRule="auto"/>
        <w:ind w:left="720" w:hanging="720"/>
      </w:pPr>
      <w:r>
        <w:rPr>
          <w:rFonts w:ascii="Times New Roman" w:hAnsi="Times New Roman" w:eastAsia="Times New Roman"/>
          <w:sz w:val="24"/>
        </w:rPr>
        <w:t>Teece, D. J., Pisano, G., &amp; Shuen, A. (1997). Dynamic capabilities and strategic management. Strategic Management Journal, 18(7), 509–533. https://doi.org/10.1002/(SICI)1097-0266(199708)18:7%3C509::AID-SMJ882%3E3.0.CO;2-Z</w:t>
      </w:r>
    </w:p>
    <w:p>
      <w:pPr>
        <w:spacing w:line="480" w:lineRule="auto"/>
        <w:ind w:left="720" w:hanging="720"/>
      </w:pPr>
      <w:r>
        <w:rPr>
          <w:rFonts w:ascii="Times New Roman" w:hAnsi="Times New Roman" w:eastAsia="Times New Roman"/>
          <w:sz w:val="24"/>
        </w:rPr>
        <w:t>World Bank. (2026). Global Economic Prospects, June 2026. World Bank. https://www.worldbank.org/en/publication/global-economic-prospects</w:t>
      </w:r>
    </w:p>
    <w:p>
      <w:pPr>
        <w:spacing w:line="480" w:lineRule="auto"/>
        <w:ind w:left="720" w:hanging="720"/>
      </w:pPr>
      <w:r>
        <w:rPr>
          <w:rFonts w:ascii="Times New Roman" w:hAnsi="Times New Roman" w:eastAsia="Times New Roman"/>
          <w:sz w:val="24"/>
        </w:rPr>
        <w:t>Apple Inc. (2025). Form 10-K annual report. U.S. Securities and Exchange Commission.</w:t>
      </w:r>
    </w:p>
    <w:p>
      <w:pPr>
        <w:spacing w:line="480" w:lineRule="auto"/>
        <w:ind w:left="720" w:hanging="720"/>
      </w:pPr>
      <w:r>
        <w:rPr>
          <w:rFonts w:ascii="Times New Roman" w:hAnsi="Times New Roman" w:eastAsia="Times New Roman"/>
          <w:sz w:val="24"/>
        </w:rPr>
        <w:t>Unilever PLC. (2025). Annual report and accounts 2025. Unilever.</w:t>
      </w:r>
    </w:p>
    <w:p>
      <w:pPr>
        <w:spacing w:line="480" w:lineRule="auto"/>
      </w:pPr>
      <w:r>
        <w:rPr>
          <w:rFonts w:ascii="Times New Roman" w:hAnsi="Times New Roman" w:eastAsia="Times New Roman"/>
          <w:sz w:val="24"/>
        </w:rPr>
        <w:br w:type="page"/>
      </w:r>
    </w:p>
    <w:p>
      <w:pPr>
        <w:pStyle w:val="Heading1"/>
        <w:spacing w:line="480" w:lineRule="auto"/>
      </w:pPr>
      <w:r>
        <w:rPr>
          <w:rFonts w:ascii="Times New Roman" w:hAnsi="Times New Roman" w:eastAsia="Times New Roman"/>
          <w:sz w:val="24"/>
        </w:rPr>
        <w:t>Appendices</w:t>
      </w:r>
    </w:p>
    <w:p>
      <w:pPr>
        <w:pStyle w:val="Heading2"/>
        <w:spacing w:line="480" w:lineRule="auto"/>
      </w:pPr>
      <w:r>
        <w:rPr>
          <w:rFonts w:ascii="Times New Roman" w:hAnsi="Times New Roman" w:eastAsia="Times New Roman"/>
          <w:sz w:val="24"/>
        </w:rPr>
        <w:t>Appendix A – PESTLE Economic Environment Checklist</w:t>
      </w:r>
    </w:p>
    <w:p>
      <w:pPr>
        <w:spacing w:line="480" w:lineRule="auto"/>
      </w:pPr>
      <w:r>
        <w:rPr>
          <w:rFonts w:ascii="Times New Roman" w:hAnsi="Times New Roman" w:eastAsia="Times New Roman"/>
          <w:sz w:val="24"/>
        </w:rPr>
        <w:t>Appendix A – PESTLE Economic Environment Checklist</w:t>
      </w:r>
    </w:p>
    <w:p>
      <w:pPr>
        <w:spacing w:line="480" w:lineRule="auto"/>
      </w:pPr>
      <w:r>
        <w:rPr>
          <w:rFonts w:ascii="Times New Roman" w:hAnsi="Times New Roman" w:eastAsia="Times New Roman"/>
          <w:sz w:val="24"/>
        </w:rPr>
        <w:t>Political: trade policy, tariffs, sanctions, fiscal policy and geopolitical stability.</w:t>
        <w:br/>
        <w:t>Economic: inflation, interest rates, growth, employment, exchange rates and commodity prices.</w:t>
        <w:br/>
        <w:t>Social: demographics, income distribution, lifestyles, education and consumer expectations.</w:t>
        <w:br/>
        <w:t>Technological: automation, AI, digital platforms, productivity and technology adoption.</w:t>
        <w:br/>
        <w:t>Legal: competition rules, labour requirements, consumer protection and financial regulation.</w:t>
        <w:br/>
        <w:t>Environmental: energy transition, climate risk, resource availability and environmental costs.</w:t>
      </w:r>
    </w:p>
    <w:p>
      <w:pPr>
        <w:spacing w:line="480" w:lineRule="auto"/>
      </w:pPr>
      <w:r>
        <w:rPr>
          <w:rFonts w:ascii="Times New Roman" w:hAnsi="Times New Roman" w:eastAsia="Times New Roman"/>
          <w:sz w:val="24"/>
        </w:rPr>
        <w:t>Managers should assess each factor for probability, potential impact, timing, affected business areas and possible response.</w:t>
      </w:r>
    </w:p>
    <w:p>
      <w:pPr>
        <w:pStyle w:val="Heading2"/>
        <w:spacing w:line="480" w:lineRule="auto"/>
      </w:pPr>
      <w:r>
        <w:rPr>
          <w:rFonts w:ascii="Times New Roman" w:hAnsi="Times New Roman" w:eastAsia="Times New Roman"/>
          <w:sz w:val="24"/>
        </w:rPr>
        <w:t>Appendix B – Scenario Planning Template</w:t>
      </w:r>
    </w:p>
    <w:p>
      <w:pPr>
        <w:spacing w:line="480" w:lineRule="auto"/>
      </w:pPr>
      <w:r>
        <w:rPr>
          <w:rFonts w:ascii="Times New Roman" w:hAnsi="Times New Roman" w:eastAsia="Times New Roman"/>
          <w:sz w:val="24"/>
        </w:rPr>
        <w:t>Appendix B – Scenario Planning Template</w:t>
      </w:r>
    </w:p>
    <w:p>
      <w:pPr>
        <w:spacing w:line="480" w:lineRule="auto"/>
      </w:pPr>
      <w:r>
        <w:rPr>
          <w:rFonts w:ascii="Times New Roman" w:hAnsi="Times New Roman" w:eastAsia="Times New Roman"/>
          <w:sz w:val="24"/>
        </w:rPr>
        <w:t>Base scenario: moderate growth, gradually stabilising costs and stable consumer demand.</w:t>
        <w:br/>
        <w:t>Downside scenario: weaker growth, renewed inflation, higher financing costs and supply disruption.</w:t>
        <w:br/>
        <w:t>Upside scenario: stronger productivity, improving real incomes, easing energy costs and stronger demand.</w:t>
      </w:r>
    </w:p>
    <w:p>
      <w:pPr>
        <w:spacing w:line="480" w:lineRule="auto"/>
      </w:pPr>
      <w:r>
        <w:rPr>
          <w:rFonts w:ascii="Times New Roman" w:hAnsi="Times New Roman" w:eastAsia="Times New Roman"/>
          <w:sz w:val="24"/>
        </w:rPr>
        <w:t>For each scenario, management should specify:</w:t>
        <w:br/>
        <w:t>1. Demand assumptions.</w:t>
        <w:br/>
        <w:t>2. Cost assumptions.</w:t>
        <w:br/>
        <w:t>3. Financing assumptions.</w:t>
        <w:br/>
        <w:t>4. Supply-chain assumptions.</w:t>
        <w:br/>
        <w:t>5. Workforce implications.</w:t>
        <w:br/>
        <w:t>6. Investment priorities.</w:t>
        <w:br/>
        <w:t>7. Trigger indicators.</w:t>
        <w:br/>
        <w:t>8. Pre-agreed management actions.</w:t>
      </w:r>
    </w:p>
    <w:p>
      <w:pPr>
        <w:pStyle w:val="Heading2"/>
        <w:spacing w:line="480" w:lineRule="auto"/>
      </w:pPr>
      <w:r>
        <w:rPr>
          <w:rFonts w:ascii="Times New Roman" w:hAnsi="Times New Roman" w:eastAsia="Times New Roman"/>
          <w:sz w:val="24"/>
        </w:rPr>
        <w:t>Appendix C – Economic Indicator and Strategic Response Matrix</w:t>
      </w:r>
    </w:p>
    <w:tbl>
      <w:tblPr>
        <w:tblStyle w:val="TableGrid"/>
        <w:tblW w:type="auto" w:w="0"/>
        <w:jc w:val="center"/>
        <w:tblLook w:firstColumn="1" w:firstRow="1" w:lastColumn="0" w:lastRow="0" w:noHBand="0" w:noVBand="1" w:val="04A0"/>
      </w:tblPr>
      <w:tblGrid>
        <w:gridCol w:w="3120"/>
        <w:gridCol w:w="3120"/>
        <w:gridCol w:w="3120"/>
      </w:tblGrid>
      <w:tr>
        <w:tc>
          <w:tcPr>
            <w:tcW w:type="dxa" w:w="3120"/>
          </w:tcPr>
          <w:p>
            <w:r>
              <w:t>Indicator</w:t>
            </w:r>
          </w:p>
        </w:tc>
        <w:tc>
          <w:tcPr>
            <w:tcW w:type="dxa" w:w="3120"/>
          </w:tcPr>
          <w:p>
            <w:r>
              <w:t>Potential Business Effect</w:t>
            </w:r>
          </w:p>
        </w:tc>
        <w:tc>
          <w:tcPr>
            <w:tcW w:type="dxa" w:w="3120"/>
          </w:tcPr>
          <w:p>
            <w:r>
              <w:t>Possible Strategic Response</w:t>
            </w:r>
          </w:p>
        </w:tc>
      </w:tr>
      <w:tr>
        <w:tc>
          <w:tcPr>
            <w:tcW w:type="dxa" w:w="3120"/>
            <w:vAlign w:val="center"/>
          </w:tcPr>
          <w:p>
            <w:r>
              <w:t>Inflation</w:t>
            </w:r>
          </w:p>
        </w:tc>
        <w:tc>
          <w:tcPr>
            <w:tcW w:type="dxa" w:w="3120"/>
            <w:vAlign w:val="center"/>
          </w:tcPr>
          <w:p>
            <w:r>
              <w:t>Higher input costs and lower real purchasing power</w:t>
            </w:r>
          </w:p>
        </w:tc>
        <w:tc>
          <w:tcPr>
            <w:tcW w:type="dxa" w:w="3120"/>
            <w:vAlign w:val="center"/>
          </w:tcPr>
          <w:p>
            <w:r>
              <w:t>Selective pricing, productivity and value-tier products</w:t>
            </w:r>
          </w:p>
        </w:tc>
      </w:tr>
      <w:tr>
        <w:tc>
          <w:tcPr>
            <w:tcW w:type="dxa" w:w="3120"/>
            <w:vAlign w:val="center"/>
          </w:tcPr>
          <w:p>
            <w:r>
              <w:t>Interest rates</w:t>
            </w:r>
          </w:p>
        </w:tc>
        <w:tc>
          <w:tcPr>
            <w:tcW w:type="dxa" w:w="3120"/>
            <w:vAlign w:val="center"/>
          </w:tcPr>
          <w:p>
            <w:r>
              <w:t>Higher financing costs and weaker credit-sensitive demand</w:t>
            </w:r>
          </w:p>
        </w:tc>
        <w:tc>
          <w:tcPr>
            <w:tcW w:type="dxa" w:w="3120"/>
            <w:vAlign w:val="center"/>
          </w:tcPr>
          <w:p>
            <w:r>
              <w:t>Liquidity buffers, staged investment and debt review</w:t>
            </w:r>
          </w:p>
        </w:tc>
      </w:tr>
      <w:tr>
        <w:tc>
          <w:tcPr>
            <w:tcW w:type="dxa" w:w="3120"/>
            <w:vAlign w:val="center"/>
          </w:tcPr>
          <w:p>
            <w:r>
              <w:t>Employment</w:t>
            </w:r>
          </w:p>
        </w:tc>
        <w:tc>
          <w:tcPr>
            <w:tcW w:type="dxa" w:w="3120"/>
            <w:vAlign w:val="center"/>
          </w:tcPr>
          <w:p>
            <w:r>
              <w:t>Labour shortages or weaker household demand</w:t>
            </w:r>
          </w:p>
        </w:tc>
        <w:tc>
          <w:tcPr>
            <w:tcW w:type="dxa" w:w="3120"/>
            <w:vAlign w:val="center"/>
          </w:tcPr>
          <w:p>
            <w:r>
              <w:t>Training, automation and workforce scenario planning</w:t>
            </w:r>
          </w:p>
        </w:tc>
      </w:tr>
      <w:tr>
        <w:tc>
          <w:tcPr>
            <w:tcW w:type="dxa" w:w="3120"/>
            <w:vAlign w:val="center"/>
          </w:tcPr>
          <w:p>
            <w:r>
              <w:t>Economic growth</w:t>
            </w:r>
          </w:p>
        </w:tc>
        <w:tc>
          <w:tcPr>
            <w:tcW w:type="dxa" w:w="3120"/>
            <w:vAlign w:val="center"/>
          </w:tcPr>
          <w:p>
            <w:r>
              <w:t>Changes in market demand and competitive intensity</w:t>
            </w:r>
          </w:p>
        </w:tc>
        <w:tc>
          <w:tcPr>
            <w:tcW w:type="dxa" w:w="3120"/>
            <w:vAlign w:val="center"/>
          </w:tcPr>
          <w:p>
            <w:r>
              <w:t>Capacity adjustment and portfolio prioritisation</w:t>
            </w:r>
          </w:p>
        </w:tc>
      </w:tr>
      <w:tr>
        <w:tc>
          <w:tcPr>
            <w:tcW w:type="dxa" w:w="3120"/>
            <w:vAlign w:val="center"/>
          </w:tcPr>
          <w:p>
            <w:r>
              <w:t>Exchange rates</w:t>
            </w:r>
          </w:p>
        </w:tc>
        <w:tc>
          <w:tcPr>
            <w:tcW w:type="dxa" w:w="3120"/>
            <w:vAlign w:val="center"/>
          </w:tcPr>
          <w:p>
            <w:r>
              <w:t>Changes in import costs and export competitiveness</w:t>
            </w:r>
          </w:p>
        </w:tc>
        <w:tc>
          <w:tcPr>
            <w:tcW w:type="dxa" w:w="3120"/>
            <w:vAlign w:val="center"/>
          </w:tcPr>
          <w:p>
            <w:r>
              <w:t>Hedging, sourcing diversification and local production</w:t>
            </w:r>
          </w:p>
        </w:tc>
      </w:tr>
      <w:tr>
        <w:tc>
          <w:tcPr>
            <w:tcW w:type="dxa" w:w="3120"/>
            <w:vAlign w:val="center"/>
          </w:tcPr>
          <w:p>
            <w:r>
              <w:t>Consumer confidence</w:t>
            </w:r>
          </w:p>
        </w:tc>
        <w:tc>
          <w:tcPr>
            <w:tcW w:type="dxa" w:w="3120"/>
            <w:vAlign w:val="center"/>
          </w:tcPr>
          <w:p>
            <w:r>
              <w:t>Changes in discretionary spending</w:t>
            </w:r>
          </w:p>
        </w:tc>
        <w:tc>
          <w:tcPr>
            <w:tcW w:type="dxa" w:w="3120"/>
            <w:vAlign w:val="center"/>
          </w:tcPr>
          <w:p>
            <w:r>
              <w:t>Segmentation, promotions and customer-value management</w:t>
            </w:r>
          </w:p>
        </w:tc>
      </w:tr>
      <w:tr>
        <w:tc>
          <w:tcPr>
            <w:tcW w:type="dxa" w:w="3120"/>
            <w:vAlign w:val="center"/>
          </w:tcPr>
          <w:p>
            <w:r>
              <w:t>Commodity prices</w:t>
            </w:r>
          </w:p>
        </w:tc>
        <w:tc>
          <w:tcPr>
            <w:tcW w:type="dxa" w:w="3120"/>
            <w:vAlign w:val="center"/>
          </w:tcPr>
          <w:p>
            <w:r>
              <w:t>Input-cost volatility</w:t>
            </w:r>
          </w:p>
        </w:tc>
        <w:tc>
          <w:tcPr>
            <w:tcW w:type="dxa" w:w="3120"/>
            <w:vAlign w:val="center"/>
          </w:tcPr>
          <w:p>
            <w:r>
              <w:t>Supplier contracts, inventory strategy and alternative materials</w:t>
            </w:r>
          </w:p>
        </w:tc>
      </w:tr>
    </w:tbl>
    <w:sectPr w:rsidR="00FC693F" w:rsidRPr="0006063C" w:rsidSect="00034616">
      <w:footerReference w:type="default" r:id="rId9"/>
      <w:pgSz w:w="12240" w:h="15840"/>
      <w:pgMar w:top="1152" w:right="1440" w:bottom="11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Times New Roman" w:hAnsi="Times New Roman"/>
        <w:sz w:val="20"/>
      </w:rP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480" w:lineRule="auto" w:after="0"/>
    </w:pPr>
    <w:rPr>
      <w:rFonts w:ascii="Times New Roman" w:hAnsi="Times New Roman" w:eastAsia="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Times New Roman" w:hAnsi="Times New Roman" w:eastAsia="Times New Roman"/>
      <w:b/>
      <w:bCs/>
      <w:color w:val="365F91" w:themeColor="accent1" w:themeShade="BF"/>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Times New Roman" w:hAnsi="Times New Roman" w:eastAsia="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Times New Roman" w:hAnsi="Times New Roman" w:eastAsia="Times New Roman"/>
      <w:color w:val="17365D" w:themeColor="text2" w:themeShade="BF"/>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