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CDFDC9" w14:textId="3EEFA43B" w:rsidR="006037DF" w:rsidRPr="0046477A" w:rsidRDefault="0046477A" w:rsidP="0046477A">
      <w:pPr>
        <w:jc w:val="center"/>
        <w:rPr>
          <w:sz w:val="32"/>
          <w:szCs w:val="32"/>
        </w:rPr>
      </w:pPr>
      <w:r w:rsidRPr="0046477A">
        <w:rPr>
          <w:sz w:val="32"/>
          <w:szCs w:val="32"/>
        </w:rPr>
        <w:t>Recreation Course</w:t>
      </w:r>
      <w:r w:rsidRPr="0046477A">
        <w:rPr>
          <w:sz w:val="32"/>
          <w:szCs w:val="32"/>
        </w:rPr>
        <w:br/>
        <w:t>Assignment 4</w:t>
      </w:r>
    </w:p>
    <w:p w14:paraId="6FC56A9A" w14:textId="77777777" w:rsidR="006037DF" w:rsidRDefault="006037DF" w:rsidP="00D119E2">
      <w:pPr>
        <w:jc w:val="both"/>
        <w:rPr>
          <w:b/>
          <w:bCs/>
        </w:rPr>
      </w:pPr>
    </w:p>
    <w:p w14:paraId="657CCEC2" w14:textId="77777777" w:rsidR="006037DF" w:rsidRDefault="006037DF" w:rsidP="00D119E2">
      <w:pPr>
        <w:jc w:val="both"/>
        <w:rPr>
          <w:b/>
          <w:bCs/>
        </w:rPr>
      </w:pPr>
    </w:p>
    <w:p w14:paraId="3C46575C" w14:textId="77777777" w:rsidR="006037DF" w:rsidRDefault="006037DF" w:rsidP="00D119E2">
      <w:pPr>
        <w:jc w:val="both"/>
        <w:rPr>
          <w:b/>
          <w:bCs/>
        </w:rPr>
      </w:pPr>
    </w:p>
    <w:p w14:paraId="10A26437" w14:textId="134762E5" w:rsidR="006037DF" w:rsidRDefault="001A2715" w:rsidP="001A2715">
      <w:pPr>
        <w:jc w:val="center"/>
        <w:rPr>
          <w:b/>
          <w:bCs/>
        </w:rPr>
      </w:pPr>
      <w:r w:rsidRPr="001A2715">
        <w:rPr>
          <w:b/>
          <w:bCs/>
          <w:noProof/>
        </w:rPr>
        <w:drawing>
          <wp:inline distT="0" distB="0" distL="0" distR="0" wp14:anchorId="34A99933" wp14:editId="42319282">
            <wp:extent cx="1930903" cy="1844702"/>
            <wp:effectExtent l="0" t="0" r="0" b="3175"/>
            <wp:docPr id="3383992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399221" name=""/>
                    <pic:cNvPicPr/>
                  </pic:nvPicPr>
                  <pic:blipFill>
                    <a:blip r:embed="rId8"/>
                    <a:stretch>
                      <a:fillRect/>
                    </a:stretch>
                  </pic:blipFill>
                  <pic:spPr>
                    <a:xfrm>
                      <a:off x="0" y="0"/>
                      <a:ext cx="1936555" cy="1850102"/>
                    </a:xfrm>
                    <a:prstGeom prst="rect">
                      <a:avLst/>
                    </a:prstGeom>
                  </pic:spPr>
                </pic:pic>
              </a:graphicData>
            </a:graphic>
          </wp:inline>
        </w:drawing>
      </w:r>
    </w:p>
    <w:p w14:paraId="3FE8BA74" w14:textId="39BA2CD3" w:rsidR="001A2715" w:rsidRPr="0046477A" w:rsidRDefault="001A2715" w:rsidP="0046477A">
      <w:pPr>
        <w:jc w:val="center"/>
        <w:rPr>
          <w:b/>
          <w:bCs/>
          <w:sz w:val="28"/>
          <w:szCs w:val="28"/>
        </w:rPr>
      </w:pPr>
      <w:r w:rsidRPr="0046477A">
        <w:rPr>
          <w:b/>
          <w:bCs/>
          <w:sz w:val="28"/>
          <w:szCs w:val="28"/>
        </w:rPr>
        <w:t>Title</w:t>
      </w:r>
    </w:p>
    <w:p w14:paraId="32B2F3FD" w14:textId="08852146" w:rsidR="001A2715" w:rsidRPr="0046477A" w:rsidRDefault="001A2715" w:rsidP="0046477A">
      <w:pPr>
        <w:jc w:val="center"/>
        <w:rPr>
          <w:sz w:val="28"/>
          <w:szCs w:val="28"/>
        </w:rPr>
      </w:pPr>
      <w:r w:rsidRPr="00D119E2">
        <w:rPr>
          <w:sz w:val="28"/>
          <w:szCs w:val="28"/>
        </w:rPr>
        <w:t>Nexus Between Recreational Resource Planning and Sustainable Tourism</w:t>
      </w:r>
    </w:p>
    <w:p w14:paraId="7830FE04" w14:textId="77777777" w:rsidR="001A2715" w:rsidRPr="00D119E2" w:rsidRDefault="001A2715" w:rsidP="0046477A">
      <w:pPr>
        <w:jc w:val="center"/>
        <w:rPr>
          <w:b/>
          <w:bCs/>
          <w:sz w:val="28"/>
          <w:szCs w:val="28"/>
        </w:rPr>
      </w:pPr>
    </w:p>
    <w:p w14:paraId="1EB22144" w14:textId="196B881A" w:rsidR="001A2715" w:rsidRPr="0046477A" w:rsidRDefault="001A2715" w:rsidP="0046477A">
      <w:pPr>
        <w:jc w:val="center"/>
        <w:rPr>
          <w:b/>
          <w:bCs/>
          <w:sz w:val="28"/>
          <w:szCs w:val="28"/>
        </w:rPr>
      </w:pPr>
      <w:r w:rsidRPr="0046477A">
        <w:rPr>
          <w:b/>
          <w:bCs/>
          <w:sz w:val="28"/>
          <w:szCs w:val="28"/>
        </w:rPr>
        <w:t>Student Name</w:t>
      </w:r>
    </w:p>
    <w:p w14:paraId="6882CE75" w14:textId="427D3198" w:rsidR="001A2715" w:rsidRPr="00CD7A0B" w:rsidRDefault="00CD7A0B" w:rsidP="0046477A">
      <w:pPr>
        <w:jc w:val="center"/>
        <w:rPr>
          <w:sz w:val="28"/>
          <w:szCs w:val="28"/>
        </w:rPr>
      </w:pPr>
      <w:r w:rsidRPr="00CD7A0B">
        <w:rPr>
          <w:sz w:val="28"/>
          <w:szCs w:val="28"/>
        </w:rPr>
        <w:t>Harpreet Singh</w:t>
      </w:r>
    </w:p>
    <w:p w14:paraId="4D115BC4" w14:textId="3656649C" w:rsidR="001A2715" w:rsidRDefault="001A2715" w:rsidP="0046477A">
      <w:pPr>
        <w:jc w:val="center"/>
        <w:rPr>
          <w:b/>
          <w:bCs/>
          <w:sz w:val="28"/>
          <w:szCs w:val="28"/>
        </w:rPr>
      </w:pPr>
      <w:r w:rsidRPr="0046477A">
        <w:rPr>
          <w:b/>
          <w:bCs/>
          <w:sz w:val="28"/>
          <w:szCs w:val="28"/>
        </w:rPr>
        <w:t>Student ID</w:t>
      </w:r>
    </w:p>
    <w:p w14:paraId="6F1D411D" w14:textId="473118C7" w:rsidR="00CD7A0B" w:rsidRPr="00CD7A0B" w:rsidRDefault="00CD7A0B" w:rsidP="0046477A">
      <w:pPr>
        <w:jc w:val="center"/>
        <w:rPr>
          <w:sz w:val="28"/>
          <w:szCs w:val="28"/>
        </w:rPr>
      </w:pPr>
      <w:r w:rsidRPr="00CD7A0B">
        <w:rPr>
          <w:sz w:val="28"/>
          <w:szCs w:val="28"/>
        </w:rPr>
        <w:t>DE240148</w:t>
      </w:r>
    </w:p>
    <w:p w14:paraId="6F5CAA4F" w14:textId="66ABA0FF" w:rsidR="001A2715" w:rsidRDefault="001A2715" w:rsidP="0046477A">
      <w:pPr>
        <w:jc w:val="center"/>
        <w:rPr>
          <w:b/>
          <w:bCs/>
          <w:sz w:val="28"/>
          <w:szCs w:val="28"/>
        </w:rPr>
      </w:pPr>
      <w:r w:rsidRPr="0046477A">
        <w:rPr>
          <w:b/>
          <w:bCs/>
          <w:sz w:val="28"/>
          <w:szCs w:val="28"/>
        </w:rPr>
        <w:t>Date</w:t>
      </w:r>
    </w:p>
    <w:p w14:paraId="590E18AA" w14:textId="689E3B3F" w:rsidR="00CD7A0B" w:rsidRPr="00CD7A0B" w:rsidRDefault="00CD7A0B" w:rsidP="0046477A">
      <w:pPr>
        <w:jc w:val="center"/>
        <w:rPr>
          <w:sz w:val="28"/>
          <w:szCs w:val="28"/>
        </w:rPr>
      </w:pPr>
      <w:r w:rsidRPr="00CD7A0B">
        <w:rPr>
          <w:sz w:val="28"/>
          <w:szCs w:val="28"/>
        </w:rPr>
        <w:t xml:space="preserve">30 </w:t>
      </w:r>
      <w:proofErr w:type="gramStart"/>
      <w:r w:rsidRPr="00CD7A0B">
        <w:rPr>
          <w:sz w:val="28"/>
          <w:szCs w:val="28"/>
        </w:rPr>
        <w:t>July,</w:t>
      </w:r>
      <w:proofErr w:type="gramEnd"/>
      <w:r w:rsidRPr="00CD7A0B">
        <w:rPr>
          <w:sz w:val="28"/>
          <w:szCs w:val="28"/>
        </w:rPr>
        <w:t xml:space="preserve"> 2025</w:t>
      </w:r>
    </w:p>
    <w:p w14:paraId="44B2B58F" w14:textId="77777777" w:rsidR="001A2715" w:rsidRDefault="001A2715" w:rsidP="001A2715">
      <w:pPr>
        <w:jc w:val="center"/>
        <w:rPr>
          <w:b/>
          <w:bCs/>
        </w:rPr>
      </w:pPr>
    </w:p>
    <w:p w14:paraId="1D9222A5" w14:textId="77777777" w:rsidR="006037DF" w:rsidRDefault="006037DF" w:rsidP="00D119E2">
      <w:pPr>
        <w:jc w:val="both"/>
        <w:rPr>
          <w:b/>
          <w:bCs/>
        </w:rPr>
      </w:pPr>
    </w:p>
    <w:p w14:paraId="7E24AC44" w14:textId="77777777" w:rsidR="006037DF" w:rsidRDefault="006037DF" w:rsidP="00D119E2">
      <w:pPr>
        <w:jc w:val="both"/>
        <w:rPr>
          <w:b/>
          <w:bCs/>
        </w:rPr>
      </w:pPr>
    </w:p>
    <w:p w14:paraId="53106E38" w14:textId="77777777" w:rsidR="006037DF" w:rsidRDefault="006037DF" w:rsidP="00D119E2">
      <w:pPr>
        <w:jc w:val="both"/>
        <w:rPr>
          <w:b/>
          <w:bCs/>
        </w:rPr>
      </w:pPr>
    </w:p>
    <w:p w14:paraId="077CF9D3" w14:textId="77777777" w:rsidR="006037DF" w:rsidRDefault="006037DF" w:rsidP="00D119E2">
      <w:pPr>
        <w:jc w:val="both"/>
        <w:rPr>
          <w:b/>
          <w:bCs/>
        </w:rPr>
      </w:pPr>
    </w:p>
    <w:p w14:paraId="784F458C" w14:textId="77777777" w:rsidR="006037DF" w:rsidRDefault="006037DF" w:rsidP="00D119E2">
      <w:pPr>
        <w:jc w:val="both"/>
        <w:rPr>
          <w:b/>
          <w:bCs/>
        </w:rPr>
      </w:pPr>
    </w:p>
    <w:p w14:paraId="78DA735A" w14:textId="77777777" w:rsidR="006037DF" w:rsidRDefault="006037DF" w:rsidP="00D119E2">
      <w:pPr>
        <w:jc w:val="both"/>
        <w:rPr>
          <w:b/>
          <w:bCs/>
        </w:rPr>
      </w:pPr>
    </w:p>
    <w:p w14:paraId="58F24844" w14:textId="77777777" w:rsidR="006037DF" w:rsidRDefault="006037DF" w:rsidP="00D119E2">
      <w:pPr>
        <w:jc w:val="both"/>
        <w:rPr>
          <w:b/>
          <w:bCs/>
        </w:rPr>
      </w:pPr>
    </w:p>
    <w:p w14:paraId="146509BB" w14:textId="77777777" w:rsidR="006037DF" w:rsidRDefault="006037DF" w:rsidP="00D119E2">
      <w:pPr>
        <w:jc w:val="both"/>
        <w:rPr>
          <w:b/>
          <w:bCs/>
        </w:rPr>
      </w:pPr>
    </w:p>
    <w:sdt>
      <w:sdtPr>
        <w:rPr>
          <w:rFonts w:ascii="Times New Roman" w:eastAsiaTheme="minorHAnsi" w:hAnsi="Times New Roman" w:cstheme="minorBidi"/>
          <w:color w:val="auto"/>
          <w:kern w:val="2"/>
          <w:sz w:val="24"/>
          <w:szCs w:val="24"/>
          <w14:ligatures w14:val="standardContextual"/>
        </w:rPr>
        <w:id w:val="-507679928"/>
        <w:docPartObj>
          <w:docPartGallery w:val="Table of Contents"/>
          <w:docPartUnique/>
        </w:docPartObj>
      </w:sdtPr>
      <w:sdtEndPr>
        <w:rPr>
          <w:b/>
          <w:bCs/>
          <w:noProof/>
        </w:rPr>
      </w:sdtEndPr>
      <w:sdtContent>
        <w:p w14:paraId="5506E29D" w14:textId="3B65CC05" w:rsidR="00780E7E" w:rsidRDefault="00780E7E">
          <w:pPr>
            <w:pStyle w:val="TOCHeading"/>
          </w:pPr>
          <w:r>
            <w:t>Table of Contents</w:t>
          </w:r>
        </w:p>
        <w:p w14:paraId="22EC7034" w14:textId="287840C0" w:rsidR="00780E7E" w:rsidRDefault="00780E7E">
          <w:pPr>
            <w:pStyle w:val="TOC1"/>
            <w:tabs>
              <w:tab w:val="right" w:leader="dot" w:pos="9350"/>
            </w:tabs>
            <w:rPr>
              <w:noProof/>
            </w:rPr>
          </w:pPr>
          <w:r>
            <w:fldChar w:fldCharType="begin"/>
          </w:r>
          <w:r>
            <w:instrText xml:space="preserve"> TOC \o "1-3" \h \z \u </w:instrText>
          </w:r>
          <w:r>
            <w:fldChar w:fldCharType="separate"/>
          </w:r>
          <w:hyperlink w:anchor="_Toc204762370" w:history="1">
            <w:r w:rsidRPr="00CC1405">
              <w:rPr>
                <w:rStyle w:val="Hyperlink"/>
                <w:noProof/>
              </w:rPr>
              <w:t>1. Introduction</w:t>
            </w:r>
            <w:r>
              <w:rPr>
                <w:noProof/>
                <w:webHidden/>
              </w:rPr>
              <w:tab/>
            </w:r>
            <w:r>
              <w:rPr>
                <w:noProof/>
                <w:webHidden/>
              </w:rPr>
              <w:fldChar w:fldCharType="begin"/>
            </w:r>
            <w:r>
              <w:rPr>
                <w:noProof/>
                <w:webHidden/>
              </w:rPr>
              <w:instrText xml:space="preserve"> PAGEREF _Toc204762370 \h </w:instrText>
            </w:r>
            <w:r>
              <w:rPr>
                <w:noProof/>
                <w:webHidden/>
              </w:rPr>
            </w:r>
            <w:r>
              <w:rPr>
                <w:noProof/>
                <w:webHidden/>
              </w:rPr>
              <w:fldChar w:fldCharType="separate"/>
            </w:r>
            <w:r>
              <w:rPr>
                <w:noProof/>
                <w:webHidden/>
              </w:rPr>
              <w:t>3</w:t>
            </w:r>
            <w:r>
              <w:rPr>
                <w:noProof/>
                <w:webHidden/>
              </w:rPr>
              <w:fldChar w:fldCharType="end"/>
            </w:r>
          </w:hyperlink>
        </w:p>
        <w:p w14:paraId="639933AF" w14:textId="7205725D" w:rsidR="00780E7E" w:rsidRDefault="00780E7E">
          <w:pPr>
            <w:pStyle w:val="TOC1"/>
            <w:tabs>
              <w:tab w:val="right" w:leader="dot" w:pos="9350"/>
            </w:tabs>
            <w:rPr>
              <w:noProof/>
            </w:rPr>
          </w:pPr>
          <w:hyperlink w:anchor="_Toc204762371" w:history="1">
            <w:r w:rsidRPr="00CC1405">
              <w:rPr>
                <w:rStyle w:val="Hyperlink"/>
                <w:noProof/>
              </w:rPr>
              <w:t>2. Understanding the Concepts</w:t>
            </w:r>
            <w:r>
              <w:rPr>
                <w:noProof/>
                <w:webHidden/>
              </w:rPr>
              <w:tab/>
            </w:r>
            <w:r>
              <w:rPr>
                <w:noProof/>
                <w:webHidden/>
              </w:rPr>
              <w:fldChar w:fldCharType="begin"/>
            </w:r>
            <w:r>
              <w:rPr>
                <w:noProof/>
                <w:webHidden/>
              </w:rPr>
              <w:instrText xml:space="preserve"> PAGEREF _Toc204762371 \h </w:instrText>
            </w:r>
            <w:r>
              <w:rPr>
                <w:noProof/>
                <w:webHidden/>
              </w:rPr>
            </w:r>
            <w:r>
              <w:rPr>
                <w:noProof/>
                <w:webHidden/>
              </w:rPr>
              <w:fldChar w:fldCharType="separate"/>
            </w:r>
            <w:r>
              <w:rPr>
                <w:noProof/>
                <w:webHidden/>
              </w:rPr>
              <w:t>3</w:t>
            </w:r>
            <w:r>
              <w:rPr>
                <w:noProof/>
                <w:webHidden/>
              </w:rPr>
              <w:fldChar w:fldCharType="end"/>
            </w:r>
          </w:hyperlink>
        </w:p>
        <w:p w14:paraId="0760B4A4" w14:textId="0C92B47C" w:rsidR="00780E7E" w:rsidRDefault="00780E7E">
          <w:pPr>
            <w:pStyle w:val="TOC1"/>
            <w:tabs>
              <w:tab w:val="right" w:leader="dot" w:pos="9350"/>
            </w:tabs>
            <w:rPr>
              <w:noProof/>
            </w:rPr>
          </w:pPr>
          <w:hyperlink w:anchor="_Toc204762372" w:history="1">
            <w:r w:rsidRPr="00CC1405">
              <w:rPr>
                <w:rStyle w:val="Hyperlink"/>
                <w:noProof/>
              </w:rPr>
              <w:t>3. The Nexus: How They Work Together</w:t>
            </w:r>
            <w:r>
              <w:rPr>
                <w:noProof/>
                <w:webHidden/>
              </w:rPr>
              <w:tab/>
            </w:r>
            <w:r>
              <w:rPr>
                <w:noProof/>
                <w:webHidden/>
              </w:rPr>
              <w:fldChar w:fldCharType="begin"/>
            </w:r>
            <w:r>
              <w:rPr>
                <w:noProof/>
                <w:webHidden/>
              </w:rPr>
              <w:instrText xml:space="preserve"> PAGEREF _Toc204762372 \h </w:instrText>
            </w:r>
            <w:r>
              <w:rPr>
                <w:noProof/>
                <w:webHidden/>
              </w:rPr>
            </w:r>
            <w:r>
              <w:rPr>
                <w:noProof/>
                <w:webHidden/>
              </w:rPr>
              <w:fldChar w:fldCharType="separate"/>
            </w:r>
            <w:r>
              <w:rPr>
                <w:noProof/>
                <w:webHidden/>
              </w:rPr>
              <w:t>3</w:t>
            </w:r>
            <w:r>
              <w:rPr>
                <w:noProof/>
                <w:webHidden/>
              </w:rPr>
              <w:fldChar w:fldCharType="end"/>
            </w:r>
          </w:hyperlink>
        </w:p>
        <w:p w14:paraId="23FEB8EB" w14:textId="16F06372" w:rsidR="00780E7E" w:rsidRDefault="00780E7E">
          <w:pPr>
            <w:pStyle w:val="TOC1"/>
            <w:tabs>
              <w:tab w:val="right" w:leader="dot" w:pos="9350"/>
            </w:tabs>
            <w:rPr>
              <w:noProof/>
            </w:rPr>
          </w:pPr>
          <w:hyperlink w:anchor="_Toc204762373" w:history="1">
            <w:r w:rsidRPr="00CC1405">
              <w:rPr>
                <w:rStyle w:val="Hyperlink"/>
                <w:noProof/>
              </w:rPr>
              <w:t>4. Theoretical Frameworks</w:t>
            </w:r>
            <w:r>
              <w:rPr>
                <w:noProof/>
                <w:webHidden/>
              </w:rPr>
              <w:tab/>
            </w:r>
            <w:r>
              <w:rPr>
                <w:noProof/>
                <w:webHidden/>
              </w:rPr>
              <w:fldChar w:fldCharType="begin"/>
            </w:r>
            <w:r>
              <w:rPr>
                <w:noProof/>
                <w:webHidden/>
              </w:rPr>
              <w:instrText xml:space="preserve"> PAGEREF _Toc204762373 \h </w:instrText>
            </w:r>
            <w:r>
              <w:rPr>
                <w:noProof/>
                <w:webHidden/>
              </w:rPr>
            </w:r>
            <w:r>
              <w:rPr>
                <w:noProof/>
                <w:webHidden/>
              </w:rPr>
              <w:fldChar w:fldCharType="separate"/>
            </w:r>
            <w:r>
              <w:rPr>
                <w:noProof/>
                <w:webHidden/>
              </w:rPr>
              <w:t>4</w:t>
            </w:r>
            <w:r>
              <w:rPr>
                <w:noProof/>
                <w:webHidden/>
              </w:rPr>
              <w:fldChar w:fldCharType="end"/>
            </w:r>
          </w:hyperlink>
        </w:p>
        <w:p w14:paraId="7E08D1D4" w14:textId="3B570A8D" w:rsidR="00780E7E" w:rsidRDefault="00780E7E">
          <w:pPr>
            <w:pStyle w:val="TOC1"/>
            <w:tabs>
              <w:tab w:val="right" w:leader="dot" w:pos="9350"/>
            </w:tabs>
            <w:rPr>
              <w:noProof/>
            </w:rPr>
          </w:pPr>
          <w:hyperlink w:anchor="_Toc204762374" w:history="1">
            <w:r w:rsidRPr="00CC1405">
              <w:rPr>
                <w:rStyle w:val="Hyperlink"/>
                <w:noProof/>
              </w:rPr>
              <w:t>5. Real-World Example: Germany's Digital Tourism Tools</w:t>
            </w:r>
            <w:r>
              <w:rPr>
                <w:noProof/>
                <w:webHidden/>
              </w:rPr>
              <w:tab/>
            </w:r>
            <w:r>
              <w:rPr>
                <w:noProof/>
                <w:webHidden/>
              </w:rPr>
              <w:fldChar w:fldCharType="begin"/>
            </w:r>
            <w:r>
              <w:rPr>
                <w:noProof/>
                <w:webHidden/>
              </w:rPr>
              <w:instrText xml:space="preserve"> PAGEREF _Toc204762374 \h </w:instrText>
            </w:r>
            <w:r>
              <w:rPr>
                <w:noProof/>
                <w:webHidden/>
              </w:rPr>
            </w:r>
            <w:r>
              <w:rPr>
                <w:noProof/>
                <w:webHidden/>
              </w:rPr>
              <w:fldChar w:fldCharType="separate"/>
            </w:r>
            <w:r>
              <w:rPr>
                <w:noProof/>
                <w:webHidden/>
              </w:rPr>
              <w:t>5</w:t>
            </w:r>
            <w:r>
              <w:rPr>
                <w:noProof/>
                <w:webHidden/>
              </w:rPr>
              <w:fldChar w:fldCharType="end"/>
            </w:r>
          </w:hyperlink>
        </w:p>
        <w:p w14:paraId="3366B6A4" w14:textId="4F00DBE7" w:rsidR="00780E7E" w:rsidRDefault="00780E7E">
          <w:pPr>
            <w:pStyle w:val="TOC1"/>
            <w:tabs>
              <w:tab w:val="right" w:leader="dot" w:pos="9350"/>
            </w:tabs>
            <w:rPr>
              <w:noProof/>
            </w:rPr>
          </w:pPr>
          <w:hyperlink w:anchor="_Toc204762375" w:history="1">
            <w:r w:rsidRPr="00CC1405">
              <w:rPr>
                <w:rStyle w:val="Hyperlink"/>
                <w:noProof/>
              </w:rPr>
              <w:t>6. Critical Evaluation</w:t>
            </w:r>
            <w:r>
              <w:rPr>
                <w:noProof/>
                <w:webHidden/>
              </w:rPr>
              <w:tab/>
            </w:r>
            <w:r>
              <w:rPr>
                <w:noProof/>
                <w:webHidden/>
              </w:rPr>
              <w:fldChar w:fldCharType="begin"/>
            </w:r>
            <w:r>
              <w:rPr>
                <w:noProof/>
                <w:webHidden/>
              </w:rPr>
              <w:instrText xml:space="preserve"> PAGEREF _Toc204762375 \h </w:instrText>
            </w:r>
            <w:r>
              <w:rPr>
                <w:noProof/>
                <w:webHidden/>
              </w:rPr>
            </w:r>
            <w:r>
              <w:rPr>
                <w:noProof/>
                <w:webHidden/>
              </w:rPr>
              <w:fldChar w:fldCharType="separate"/>
            </w:r>
            <w:r>
              <w:rPr>
                <w:noProof/>
                <w:webHidden/>
              </w:rPr>
              <w:t>5</w:t>
            </w:r>
            <w:r>
              <w:rPr>
                <w:noProof/>
                <w:webHidden/>
              </w:rPr>
              <w:fldChar w:fldCharType="end"/>
            </w:r>
          </w:hyperlink>
        </w:p>
        <w:p w14:paraId="0679788A" w14:textId="140E61EE" w:rsidR="00780E7E" w:rsidRDefault="00780E7E">
          <w:pPr>
            <w:pStyle w:val="TOC1"/>
            <w:tabs>
              <w:tab w:val="right" w:leader="dot" w:pos="9350"/>
            </w:tabs>
            <w:rPr>
              <w:noProof/>
            </w:rPr>
          </w:pPr>
          <w:hyperlink w:anchor="_Toc204762376" w:history="1">
            <w:r w:rsidRPr="00CC1405">
              <w:rPr>
                <w:rStyle w:val="Hyperlink"/>
                <w:noProof/>
              </w:rPr>
              <w:t>7. Conclusion</w:t>
            </w:r>
            <w:r>
              <w:rPr>
                <w:noProof/>
                <w:webHidden/>
              </w:rPr>
              <w:tab/>
            </w:r>
            <w:r>
              <w:rPr>
                <w:noProof/>
                <w:webHidden/>
              </w:rPr>
              <w:fldChar w:fldCharType="begin"/>
            </w:r>
            <w:r>
              <w:rPr>
                <w:noProof/>
                <w:webHidden/>
              </w:rPr>
              <w:instrText xml:space="preserve"> PAGEREF _Toc204762376 \h </w:instrText>
            </w:r>
            <w:r>
              <w:rPr>
                <w:noProof/>
                <w:webHidden/>
              </w:rPr>
            </w:r>
            <w:r>
              <w:rPr>
                <w:noProof/>
                <w:webHidden/>
              </w:rPr>
              <w:fldChar w:fldCharType="separate"/>
            </w:r>
            <w:r>
              <w:rPr>
                <w:noProof/>
                <w:webHidden/>
              </w:rPr>
              <w:t>5</w:t>
            </w:r>
            <w:r>
              <w:rPr>
                <w:noProof/>
                <w:webHidden/>
              </w:rPr>
              <w:fldChar w:fldCharType="end"/>
            </w:r>
          </w:hyperlink>
        </w:p>
        <w:p w14:paraId="7D11FA21" w14:textId="6601B4A6" w:rsidR="00780E7E" w:rsidRDefault="00780E7E">
          <w:pPr>
            <w:pStyle w:val="TOC1"/>
            <w:tabs>
              <w:tab w:val="right" w:leader="dot" w:pos="9350"/>
            </w:tabs>
            <w:rPr>
              <w:noProof/>
            </w:rPr>
          </w:pPr>
          <w:hyperlink w:anchor="_Toc204762377" w:history="1">
            <w:r w:rsidRPr="00CC1405">
              <w:rPr>
                <w:rStyle w:val="Hyperlink"/>
                <w:noProof/>
              </w:rPr>
              <w:t>Reference</w:t>
            </w:r>
            <w:r>
              <w:rPr>
                <w:noProof/>
                <w:webHidden/>
              </w:rPr>
              <w:tab/>
            </w:r>
            <w:r>
              <w:rPr>
                <w:noProof/>
                <w:webHidden/>
              </w:rPr>
              <w:fldChar w:fldCharType="begin"/>
            </w:r>
            <w:r>
              <w:rPr>
                <w:noProof/>
                <w:webHidden/>
              </w:rPr>
              <w:instrText xml:space="preserve"> PAGEREF _Toc204762377 \h </w:instrText>
            </w:r>
            <w:r>
              <w:rPr>
                <w:noProof/>
                <w:webHidden/>
              </w:rPr>
            </w:r>
            <w:r>
              <w:rPr>
                <w:noProof/>
                <w:webHidden/>
              </w:rPr>
              <w:fldChar w:fldCharType="separate"/>
            </w:r>
            <w:r>
              <w:rPr>
                <w:noProof/>
                <w:webHidden/>
              </w:rPr>
              <w:t>7</w:t>
            </w:r>
            <w:r>
              <w:rPr>
                <w:noProof/>
                <w:webHidden/>
              </w:rPr>
              <w:fldChar w:fldCharType="end"/>
            </w:r>
          </w:hyperlink>
        </w:p>
        <w:p w14:paraId="0430951A" w14:textId="6A7C3E10" w:rsidR="00780E7E" w:rsidRDefault="00780E7E">
          <w:r>
            <w:rPr>
              <w:b/>
              <w:bCs/>
              <w:noProof/>
            </w:rPr>
            <w:fldChar w:fldCharType="end"/>
          </w:r>
        </w:p>
      </w:sdtContent>
    </w:sdt>
    <w:p w14:paraId="55769DE7" w14:textId="77777777" w:rsidR="006037DF" w:rsidRDefault="006037DF" w:rsidP="00D119E2">
      <w:pPr>
        <w:jc w:val="both"/>
        <w:rPr>
          <w:b/>
          <w:bCs/>
        </w:rPr>
      </w:pPr>
    </w:p>
    <w:p w14:paraId="5838E2D6" w14:textId="77777777" w:rsidR="006037DF" w:rsidRDefault="006037DF" w:rsidP="00D119E2">
      <w:pPr>
        <w:jc w:val="both"/>
        <w:rPr>
          <w:b/>
          <w:bCs/>
        </w:rPr>
      </w:pPr>
    </w:p>
    <w:p w14:paraId="0A0D31F2" w14:textId="77777777" w:rsidR="006037DF" w:rsidRDefault="006037DF" w:rsidP="00D119E2">
      <w:pPr>
        <w:jc w:val="both"/>
        <w:rPr>
          <w:b/>
          <w:bCs/>
        </w:rPr>
      </w:pPr>
    </w:p>
    <w:p w14:paraId="733D094C" w14:textId="77777777" w:rsidR="006037DF" w:rsidRDefault="006037DF" w:rsidP="00D119E2">
      <w:pPr>
        <w:jc w:val="both"/>
        <w:rPr>
          <w:b/>
          <w:bCs/>
        </w:rPr>
      </w:pPr>
    </w:p>
    <w:p w14:paraId="50400848" w14:textId="77777777" w:rsidR="006037DF" w:rsidRDefault="006037DF" w:rsidP="00D119E2">
      <w:pPr>
        <w:jc w:val="both"/>
        <w:rPr>
          <w:b/>
          <w:bCs/>
        </w:rPr>
      </w:pPr>
    </w:p>
    <w:p w14:paraId="35BC20B7" w14:textId="77777777" w:rsidR="006037DF" w:rsidRDefault="006037DF" w:rsidP="00D119E2">
      <w:pPr>
        <w:jc w:val="both"/>
        <w:rPr>
          <w:b/>
          <w:bCs/>
        </w:rPr>
      </w:pPr>
    </w:p>
    <w:p w14:paraId="64A229EB" w14:textId="77777777" w:rsidR="006037DF" w:rsidRDefault="006037DF" w:rsidP="00D119E2">
      <w:pPr>
        <w:jc w:val="both"/>
        <w:rPr>
          <w:b/>
          <w:bCs/>
        </w:rPr>
      </w:pPr>
    </w:p>
    <w:p w14:paraId="7620284E" w14:textId="77777777" w:rsidR="006037DF" w:rsidRDefault="006037DF" w:rsidP="00D119E2">
      <w:pPr>
        <w:jc w:val="both"/>
        <w:rPr>
          <w:b/>
          <w:bCs/>
        </w:rPr>
      </w:pPr>
    </w:p>
    <w:p w14:paraId="7020CD66" w14:textId="77777777" w:rsidR="006037DF" w:rsidRDefault="006037DF" w:rsidP="00D119E2">
      <w:pPr>
        <w:jc w:val="both"/>
        <w:rPr>
          <w:b/>
          <w:bCs/>
        </w:rPr>
      </w:pPr>
    </w:p>
    <w:p w14:paraId="5AE2D495" w14:textId="77777777" w:rsidR="006037DF" w:rsidRDefault="006037DF" w:rsidP="00D119E2">
      <w:pPr>
        <w:jc w:val="both"/>
        <w:rPr>
          <w:b/>
          <w:bCs/>
        </w:rPr>
      </w:pPr>
    </w:p>
    <w:p w14:paraId="3023D32B" w14:textId="77777777" w:rsidR="006037DF" w:rsidRDefault="006037DF" w:rsidP="00D119E2">
      <w:pPr>
        <w:jc w:val="both"/>
        <w:rPr>
          <w:b/>
          <w:bCs/>
        </w:rPr>
      </w:pPr>
    </w:p>
    <w:p w14:paraId="7A72474D" w14:textId="77777777" w:rsidR="006037DF" w:rsidRDefault="006037DF" w:rsidP="00D119E2">
      <w:pPr>
        <w:jc w:val="both"/>
        <w:rPr>
          <w:b/>
          <w:bCs/>
        </w:rPr>
      </w:pPr>
    </w:p>
    <w:p w14:paraId="145BFD20" w14:textId="77777777" w:rsidR="006037DF" w:rsidRDefault="006037DF" w:rsidP="00D119E2">
      <w:pPr>
        <w:jc w:val="both"/>
        <w:rPr>
          <w:b/>
          <w:bCs/>
        </w:rPr>
      </w:pPr>
    </w:p>
    <w:p w14:paraId="365070B1" w14:textId="77777777" w:rsidR="006037DF" w:rsidRDefault="006037DF" w:rsidP="00D119E2">
      <w:pPr>
        <w:jc w:val="both"/>
        <w:rPr>
          <w:b/>
          <w:bCs/>
        </w:rPr>
      </w:pPr>
    </w:p>
    <w:p w14:paraId="65280CE6" w14:textId="77777777" w:rsidR="006037DF" w:rsidRDefault="006037DF" w:rsidP="00D119E2">
      <w:pPr>
        <w:jc w:val="both"/>
        <w:rPr>
          <w:b/>
          <w:bCs/>
        </w:rPr>
      </w:pPr>
    </w:p>
    <w:p w14:paraId="7685407C" w14:textId="77777777" w:rsidR="006037DF" w:rsidRDefault="006037DF" w:rsidP="00D119E2">
      <w:pPr>
        <w:jc w:val="both"/>
        <w:rPr>
          <w:b/>
          <w:bCs/>
        </w:rPr>
      </w:pPr>
    </w:p>
    <w:p w14:paraId="52E63CEF" w14:textId="77777777" w:rsidR="006037DF" w:rsidRDefault="006037DF" w:rsidP="00D119E2">
      <w:pPr>
        <w:jc w:val="both"/>
        <w:rPr>
          <w:b/>
          <w:bCs/>
        </w:rPr>
      </w:pPr>
    </w:p>
    <w:p w14:paraId="08DF37EB" w14:textId="77777777" w:rsidR="006037DF" w:rsidRDefault="006037DF" w:rsidP="00D119E2">
      <w:pPr>
        <w:jc w:val="both"/>
        <w:rPr>
          <w:b/>
          <w:bCs/>
        </w:rPr>
      </w:pPr>
    </w:p>
    <w:p w14:paraId="73640713" w14:textId="170F5AFB" w:rsidR="00D119E2" w:rsidRPr="00D119E2" w:rsidRDefault="00D119E2" w:rsidP="00780E7E">
      <w:pPr>
        <w:pStyle w:val="Heading1"/>
      </w:pPr>
      <w:bookmarkStart w:id="0" w:name="_Toc204762370"/>
      <w:r>
        <w:t xml:space="preserve">1. </w:t>
      </w:r>
      <w:r w:rsidRPr="00D119E2">
        <w:t>Introduction</w:t>
      </w:r>
      <w:bookmarkEnd w:id="0"/>
    </w:p>
    <w:p w14:paraId="739DEA12" w14:textId="41AE3CB3" w:rsidR="00D119E2" w:rsidRPr="00D119E2" w:rsidRDefault="0062566B" w:rsidP="006037DF">
      <w:pPr>
        <w:spacing w:line="360" w:lineRule="auto"/>
        <w:jc w:val="both"/>
      </w:pPr>
      <w:r w:rsidRPr="0062566B">
        <w:t>Planning tourism involves creating an effective strategy to turn tourism activity into tourism product while conserving natural resources and jobs. Recreational resource planning and sustainable tourism are interconnected concepts that target optimum use of natural and cultural assets.  Germany offers an interesting case study, because sustainable tourism and recreational planning policies are generally advanced (Germany Travels, 2023; Ibrohim, 2024). This report discusses how these two areas are interlinked and uses real-time examples and sustainability frameworks</w:t>
      </w:r>
      <w:r w:rsidR="00D119E2" w:rsidRPr="00D119E2">
        <w:t>.</w:t>
      </w:r>
    </w:p>
    <w:p w14:paraId="0C29A77C" w14:textId="4DD9B094" w:rsidR="00D119E2" w:rsidRPr="00D119E2" w:rsidRDefault="00D119E2" w:rsidP="00780E7E">
      <w:pPr>
        <w:pStyle w:val="Heading1"/>
      </w:pPr>
      <w:bookmarkStart w:id="1" w:name="_Toc204762371"/>
      <w:r w:rsidRPr="00780E7E">
        <w:t xml:space="preserve">2. </w:t>
      </w:r>
      <w:r w:rsidRPr="00D119E2">
        <w:t>Understanding the Concepts</w:t>
      </w:r>
      <w:bookmarkEnd w:id="1"/>
    </w:p>
    <w:p w14:paraId="350AE5BD" w14:textId="1D05DBE5" w:rsidR="00D119E2" w:rsidRPr="00D119E2" w:rsidRDefault="00D119E2" w:rsidP="006037DF">
      <w:pPr>
        <w:pStyle w:val="ListParagraph"/>
        <w:numPr>
          <w:ilvl w:val="0"/>
          <w:numId w:val="3"/>
        </w:numPr>
        <w:spacing w:line="360" w:lineRule="auto"/>
        <w:jc w:val="both"/>
      </w:pPr>
      <w:r w:rsidRPr="00D119E2">
        <w:rPr>
          <w:b/>
          <w:bCs/>
        </w:rPr>
        <w:t>Recreational resource planning</w:t>
      </w:r>
      <w:r w:rsidRPr="00D119E2">
        <w:t xml:space="preserve"> </w:t>
      </w:r>
      <w:r w:rsidR="0062566B">
        <w:t>i</w:t>
      </w:r>
      <w:r w:rsidR="0062566B" w:rsidRPr="0062566B">
        <w:t>nvolves designing and managing spaces like parks, heritage sites, and urban green zones that maintain a balance between enjoyment and environment. Evaluating the carrying capacity of regions, protecting ecosystems, and participating local communities</w:t>
      </w:r>
      <w:r w:rsidR="0062566B">
        <w:t xml:space="preserve"> </w:t>
      </w:r>
      <w:r w:rsidR="00FB101D" w:rsidRPr="00FB101D">
        <w:t>(Barnes, 2018)</w:t>
      </w:r>
      <w:r w:rsidR="00FB101D">
        <w:t>.</w:t>
      </w:r>
    </w:p>
    <w:p w14:paraId="32D8E12E" w14:textId="7671406C" w:rsidR="00D119E2" w:rsidRDefault="00D119E2" w:rsidP="006037DF">
      <w:pPr>
        <w:pStyle w:val="ListParagraph"/>
        <w:numPr>
          <w:ilvl w:val="0"/>
          <w:numId w:val="3"/>
        </w:numPr>
        <w:spacing w:line="360" w:lineRule="auto"/>
        <w:jc w:val="both"/>
      </w:pPr>
      <w:r w:rsidRPr="00D119E2">
        <w:rPr>
          <w:b/>
          <w:bCs/>
        </w:rPr>
        <w:t>Sustainable tourism</w:t>
      </w:r>
      <w:r w:rsidRPr="00D119E2">
        <w:t xml:space="preserve">, </w:t>
      </w:r>
      <w:r w:rsidR="0062566B" w:rsidRPr="0062566B">
        <w:t>Ibrohim (2024) aims to reduce negative impacts on environment as well as culture and maximize benefits on social and economy. It supports local jobs, promotes environmentally friendly tricks, and ensures future generations will be able to enjoy tourism</w:t>
      </w:r>
      <w:r w:rsidRPr="00D119E2">
        <w:t>.</w:t>
      </w:r>
    </w:p>
    <w:p w14:paraId="0E3D07FD" w14:textId="4397D526" w:rsidR="00D119E2" w:rsidRPr="00D119E2" w:rsidRDefault="00D119E2" w:rsidP="006037DF">
      <w:pPr>
        <w:spacing w:line="360" w:lineRule="auto"/>
        <w:jc w:val="both"/>
      </w:pPr>
      <w:r w:rsidRPr="00D119E2">
        <w:t>When integrated, these two approaches create tourism that is not only enjoyable but also environmentally and socially responsible.</w:t>
      </w:r>
    </w:p>
    <w:p w14:paraId="56681D12" w14:textId="7CC58F9E" w:rsidR="00D119E2" w:rsidRPr="00D119E2" w:rsidRDefault="00D119E2" w:rsidP="00780E7E">
      <w:pPr>
        <w:pStyle w:val="Heading1"/>
      </w:pPr>
      <w:bookmarkStart w:id="2" w:name="_Toc204762372"/>
      <w:r w:rsidRPr="00780E7E">
        <w:t xml:space="preserve">3. </w:t>
      </w:r>
      <w:r w:rsidRPr="00D119E2">
        <w:t>The Nexus: How They Work Together</w:t>
      </w:r>
      <w:bookmarkEnd w:id="2"/>
    </w:p>
    <w:p w14:paraId="73302329" w14:textId="6A93C33D" w:rsidR="00D119E2" w:rsidRPr="00D119E2" w:rsidRDefault="0062566B" w:rsidP="006037DF">
      <w:pPr>
        <w:spacing w:line="360" w:lineRule="auto"/>
        <w:jc w:val="both"/>
      </w:pPr>
      <w:r w:rsidRPr="0062566B">
        <w:t>Germany’s approach demonstrates a significant link between planning recreational resources and sustainable tourism. Germany has made a considerable investment in digitalization and accessibility within an overall sustainable strategy (Germany Travels, 2023).  The actions serve as best practices which are closely aligned with the UN Sustainable Development Goals (SDGs).</w:t>
      </w:r>
    </w:p>
    <w:p w14:paraId="61590F10" w14:textId="7B68132D" w:rsidR="00D119E2" w:rsidRPr="00D119E2" w:rsidRDefault="00D119E2" w:rsidP="006037DF">
      <w:pPr>
        <w:spacing w:line="360" w:lineRule="auto"/>
        <w:jc w:val="both"/>
        <w:rPr>
          <w:b/>
          <w:bCs/>
        </w:rPr>
      </w:pPr>
      <w:r w:rsidRPr="00D119E2">
        <w:rPr>
          <w:b/>
          <w:bCs/>
        </w:rPr>
        <w:lastRenderedPageBreak/>
        <w:t>1. Balancing Visitor Use and Conservation</w:t>
      </w:r>
      <w:r w:rsidR="00FB101D">
        <w:rPr>
          <w:b/>
          <w:bCs/>
        </w:rPr>
        <w:t xml:space="preserve">: </w:t>
      </w:r>
      <w:r w:rsidR="0062566B" w:rsidRPr="0062566B">
        <w:t>Various parks and UNESCO World Heritage Sites manage the flow of visitors using visitor data in Germany.  The "Stay a little bit longer" campaign, for example, asks tourists to extend their stay to better distribute the environmental impact of tourism (Germany Travels, 2023). This is a direct result of the digital planning tools with sustainable tourism.</w:t>
      </w:r>
    </w:p>
    <w:p w14:paraId="17F76992" w14:textId="2885F67B" w:rsidR="00D119E2" w:rsidRPr="00D119E2" w:rsidRDefault="00D119E2" w:rsidP="006037DF">
      <w:pPr>
        <w:spacing w:line="360" w:lineRule="auto"/>
        <w:jc w:val="both"/>
        <w:rPr>
          <w:b/>
          <w:bCs/>
        </w:rPr>
      </w:pPr>
      <w:r w:rsidRPr="00D119E2">
        <w:rPr>
          <w:b/>
          <w:bCs/>
        </w:rPr>
        <w:t>2. Inclusive and Equitable Access</w:t>
      </w:r>
      <w:r w:rsidR="00FB101D">
        <w:rPr>
          <w:b/>
          <w:bCs/>
        </w:rPr>
        <w:t xml:space="preserve">: </w:t>
      </w:r>
      <w:r w:rsidR="0062566B" w:rsidRPr="0062566B">
        <w:t>Germany’s recreational planning, which is guided by sustainability, includes accessibility in the sphere of recreation. Barrier free travel initiatives ensure that tourism is inclusive for disabled people (Germany Travels, 2023) and equality in recreation</w:t>
      </w:r>
      <w:r w:rsidRPr="00D119E2">
        <w:t>.</w:t>
      </w:r>
    </w:p>
    <w:p w14:paraId="610BAD06" w14:textId="39E13223" w:rsidR="00D119E2" w:rsidRPr="00D119E2" w:rsidRDefault="00D119E2" w:rsidP="006037DF">
      <w:pPr>
        <w:spacing w:line="360" w:lineRule="auto"/>
        <w:jc w:val="both"/>
        <w:rPr>
          <w:b/>
          <w:bCs/>
        </w:rPr>
      </w:pPr>
      <w:r w:rsidRPr="00D119E2">
        <w:rPr>
          <w:b/>
          <w:bCs/>
        </w:rPr>
        <w:t>3. Community Engagement and Cultural Preservation</w:t>
      </w:r>
      <w:r w:rsidR="00FB101D">
        <w:rPr>
          <w:b/>
          <w:bCs/>
        </w:rPr>
        <w:t xml:space="preserve">: </w:t>
      </w:r>
      <w:r w:rsidRPr="00D119E2">
        <w:t>Germany supports community-based tourism that preserves cultural heritage while offering economic opportunities. Local festivals, traditional crafts, and regional cuisines are planned into tourism products (Ibrohim, 2024). Recreational spaces like historical towns and cultural routes are maintained with local input, linking planning directly with sustainable outcomes.</w:t>
      </w:r>
    </w:p>
    <w:p w14:paraId="145DC5FB" w14:textId="4B86FABA" w:rsidR="00D119E2" w:rsidRPr="00D119E2" w:rsidRDefault="006037DF" w:rsidP="00780E7E">
      <w:pPr>
        <w:pStyle w:val="Heading1"/>
      </w:pPr>
      <w:bookmarkStart w:id="3" w:name="_Toc204762373"/>
      <w:r w:rsidRPr="00780E7E">
        <w:t xml:space="preserve">4. </w:t>
      </w:r>
      <w:r w:rsidR="00D119E2" w:rsidRPr="00D119E2">
        <w:t>Theoretical Frameworks</w:t>
      </w:r>
      <w:bookmarkEnd w:id="3"/>
    </w:p>
    <w:p w14:paraId="6C80E8C6" w14:textId="77777777" w:rsidR="00D119E2" w:rsidRPr="00D119E2" w:rsidRDefault="00D119E2" w:rsidP="006037DF">
      <w:pPr>
        <w:spacing w:line="360" w:lineRule="auto"/>
        <w:jc w:val="both"/>
      </w:pPr>
      <w:r w:rsidRPr="00D119E2">
        <w:t>The nexus can be critically examined through two important models: the Triple Bottom Line (TBL) theory and the Carrying Capacity Concept. Both offer structured ways to align recreational planning with sustainable tourism goals (Chalermchaikit &amp; Kozak, 2021).</w:t>
      </w:r>
    </w:p>
    <w:p w14:paraId="286EF5C8" w14:textId="77777777" w:rsidR="00D119E2" w:rsidRPr="00D119E2" w:rsidRDefault="00D119E2" w:rsidP="006037DF">
      <w:pPr>
        <w:numPr>
          <w:ilvl w:val="0"/>
          <w:numId w:val="4"/>
        </w:numPr>
        <w:spacing w:line="360" w:lineRule="auto"/>
        <w:jc w:val="both"/>
      </w:pPr>
      <w:r w:rsidRPr="00D119E2">
        <w:rPr>
          <w:b/>
          <w:bCs/>
        </w:rPr>
        <w:t>People</w:t>
      </w:r>
      <w:r w:rsidRPr="00D119E2">
        <w:t>: The TBL model emphasizes community involvement as essential. When local residents help plan and manage recreational resources, it increases social equity and creates jobs. However, this can be challenging if power dynamics are unequal or community voices are ignored. In Germany, successful examples include community-led heritage tourism and inclusive accessibility projects, though rural areas still struggle with equal participation and funding.</w:t>
      </w:r>
    </w:p>
    <w:p w14:paraId="43D7CB41" w14:textId="45BFBF14" w:rsidR="00D119E2" w:rsidRPr="00D119E2" w:rsidRDefault="00D119E2" w:rsidP="006037DF">
      <w:pPr>
        <w:numPr>
          <w:ilvl w:val="0"/>
          <w:numId w:val="4"/>
        </w:numPr>
        <w:spacing w:line="360" w:lineRule="auto"/>
        <w:jc w:val="both"/>
      </w:pPr>
      <w:r w:rsidRPr="00D119E2">
        <w:rPr>
          <w:b/>
          <w:bCs/>
        </w:rPr>
        <w:t>Planet</w:t>
      </w:r>
      <w:r w:rsidRPr="00D119E2">
        <w:t>: Environmental conservation is at the core of sustainable planning. Germany applies eco-friendly design, protects biodiversity, and tracks emissions. Yet, climate change and overtourism still threaten fragile ecosystems, despite these efforts. The TBL approach encourages eco-conscious development, but its real impact depends on strict monitoring and enforcement, which can vary across regions</w:t>
      </w:r>
      <w:r w:rsidR="00FB101D">
        <w:t xml:space="preserve"> </w:t>
      </w:r>
      <w:r w:rsidR="00FB101D" w:rsidRPr="00FB101D">
        <w:t>(Wise, 2016)</w:t>
      </w:r>
    </w:p>
    <w:p w14:paraId="489D4F09" w14:textId="77777777" w:rsidR="00D119E2" w:rsidRPr="00D119E2" w:rsidRDefault="00D119E2" w:rsidP="006037DF">
      <w:pPr>
        <w:numPr>
          <w:ilvl w:val="0"/>
          <w:numId w:val="4"/>
        </w:numPr>
        <w:spacing w:line="360" w:lineRule="auto"/>
        <w:jc w:val="both"/>
      </w:pPr>
      <w:r w:rsidRPr="00D119E2">
        <w:rPr>
          <w:b/>
          <w:bCs/>
        </w:rPr>
        <w:lastRenderedPageBreak/>
        <w:t>Profit</w:t>
      </w:r>
      <w:r w:rsidRPr="00D119E2">
        <w:t>: While TBL promotes economic resilience, focusing on quality tourism over quantity, there is tension between growth and sustainability. Germany’s green campaigns attract responsible travelers, but high tourist numbers can still strain infrastructure. Long-term profit comes from protecting resources, but it requires balancing market demand with ecological limits.</w:t>
      </w:r>
    </w:p>
    <w:p w14:paraId="5E2FD786" w14:textId="5716EEBD" w:rsidR="00D119E2" w:rsidRPr="00D119E2" w:rsidRDefault="00D119E2" w:rsidP="006037DF">
      <w:pPr>
        <w:spacing w:line="360" w:lineRule="auto"/>
        <w:jc w:val="both"/>
      </w:pPr>
      <w:r w:rsidRPr="00D119E2">
        <w:t>The Carrying Capacity Concept complements TBL by setting practical limits. It helps planners define visitor thresholds to avoid environmental degradation</w:t>
      </w:r>
      <w:r w:rsidR="00FB101D">
        <w:t xml:space="preserve"> </w:t>
      </w:r>
      <w:r w:rsidR="00FB101D" w:rsidRPr="00FB101D">
        <w:t>(Chalermchaikit &amp; Kozak, 2021)</w:t>
      </w:r>
      <w:r w:rsidR="00FB101D">
        <w:t xml:space="preserve">. </w:t>
      </w:r>
      <w:r w:rsidRPr="00D119E2">
        <w:t xml:space="preserve"> Germany’s national parks use it effectively through controlled access and digital visitor management. Still, applying these limits across all destinations remains a complex policy challenge.</w:t>
      </w:r>
    </w:p>
    <w:p w14:paraId="67B56E71" w14:textId="02BE7B9D" w:rsidR="00D119E2" w:rsidRPr="00D119E2" w:rsidRDefault="006037DF" w:rsidP="00780E7E">
      <w:pPr>
        <w:pStyle w:val="Heading1"/>
      </w:pPr>
      <w:bookmarkStart w:id="4" w:name="_Toc204762374"/>
      <w:r w:rsidRPr="00780E7E">
        <w:t xml:space="preserve">5. </w:t>
      </w:r>
      <w:r w:rsidR="00D119E2" w:rsidRPr="00D119E2">
        <w:t>Real-World Example: Germany's Digital Tourism Tools</w:t>
      </w:r>
      <w:bookmarkEnd w:id="4"/>
    </w:p>
    <w:p w14:paraId="5DD48555" w14:textId="30222F16" w:rsidR="00D119E2" w:rsidRPr="00D119E2" w:rsidRDefault="00801BB0" w:rsidP="006037DF">
      <w:pPr>
        <w:spacing w:line="360" w:lineRule="auto"/>
        <w:jc w:val="both"/>
      </w:pPr>
      <w:r w:rsidRPr="00801BB0">
        <w:t xml:space="preserve">Germany’s </w:t>
      </w:r>
      <w:r w:rsidRPr="00801BB0">
        <w:rPr>
          <w:b/>
          <w:bCs/>
        </w:rPr>
        <w:t>“</w:t>
      </w:r>
      <w:r w:rsidRPr="00801BB0">
        <w:t>Sustainable Travel Trends to Germany</w:t>
      </w:r>
      <w:r w:rsidRPr="00801BB0">
        <w:rPr>
          <w:b/>
          <w:bCs/>
        </w:rPr>
        <w:t>”</w:t>
      </w:r>
      <w:r w:rsidRPr="00801BB0">
        <w:t xml:space="preserve"> dashboard showcases how digital innovation supports sustainable tourism (Germany Travels, 2023). By integrating open data and AI, the tool allows planners to monitor tourism’s environmental and social impacts in real time. It enables evidence-based decisions, such as identifying regions with high CO₂ emissions and redirecting promotion toward low-impact transport options like trains and bike routes. This not only reduces the ecological footprint but also improves visitor management. The dashboard is a practical example of how data-driven recreational planning directly supports sustainable tourism goals through targeted, adaptive strategies.</w:t>
      </w:r>
    </w:p>
    <w:p w14:paraId="3D0BFC2D" w14:textId="0B761144" w:rsidR="00D119E2" w:rsidRPr="00D119E2" w:rsidRDefault="006037DF" w:rsidP="00780E7E">
      <w:pPr>
        <w:pStyle w:val="Heading1"/>
      </w:pPr>
      <w:bookmarkStart w:id="5" w:name="_Toc204762375"/>
      <w:r w:rsidRPr="00780E7E">
        <w:t xml:space="preserve">6. </w:t>
      </w:r>
      <w:r w:rsidR="00D119E2" w:rsidRPr="00D119E2">
        <w:t>Critical Evaluation</w:t>
      </w:r>
      <w:bookmarkEnd w:id="5"/>
    </w:p>
    <w:p w14:paraId="11FB1362" w14:textId="77E3B9EC" w:rsidR="00D119E2" w:rsidRPr="00D119E2" w:rsidRDefault="00FB101D" w:rsidP="006037DF">
      <w:pPr>
        <w:spacing w:line="360" w:lineRule="auto"/>
        <w:jc w:val="both"/>
      </w:pPr>
      <w:r w:rsidRPr="00FB101D">
        <w:t>Germany has made notable advancements in sustainable tourism, but critical challenges still exist. Overtourism continues to strain popular sites, and waste management systems face growing pressure (Ibrohim, 2024). Additionally, the economic benefits are unevenly distributed, often bypassing rural communities. A significant gap remains between tourists’ intentions and their actual sustainable behavior (Germany Travels, 2023). To address these issues, Germany must enhance public-private collaboration, expand support for community-based tourism in lesser-known regions, and invest in climate-resilient infrastructure. Without these improvements, long-term sustainability and equitable growth in tourism will remain difficult to achieve. More targeted strategies are urgently needed.</w:t>
      </w:r>
    </w:p>
    <w:p w14:paraId="68235F81" w14:textId="2EC077D3" w:rsidR="00D119E2" w:rsidRPr="00D119E2" w:rsidRDefault="006037DF" w:rsidP="00780E7E">
      <w:pPr>
        <w:pStyle w:val="Heading1"/>
      </w:pPr>
      <w:bookmarkStart w:id="6" w:name="_Toc204762376"/>
      <w:r w:rsidRPr="00780E7E">
        <w:lastRenderedPageBreak/>
        <w:t xml:space="preserve">7. </w:t>
      </w:r>
      <w:r w:rsidR="00D119E2" w:rsidRPr="00D119E2">
        <w:t>Conclusion</w:t>
      </w:r>
      <w:bookmarkEnd w:id="6"/>
    </w:p>
    <w:p w14:paraId="3013CDF4" w14:textId="223259A7" w:rsidR="00D119E2" w:rsidRPr="00D119E2" w:rsidRDefault="00801BB0" w:rsidP="006037DF">
      <w:pPr>
        <w:spacing w:line="360" w:lineRule="auto"/>
        <w:jc w:val="both"/>
      </w:pPr>
      <w:r w:rsidRPr="00801BB0">
        <w:t>Recreational resource planning and sustainable tourism are deeply interconnected and essential for ensuring tourism’s long-term benefits. Germany’s case highlights how thoughtful planning, inclusive policies, and digital tools can lead to more responsible and resilient tourism. While strong frameworks like the Triple Bottom Line and Carrying Capacity guide progress, real-world application still faces challenges such as overtourism, unequal benefits, and environmental strain. To move forward, continuous collaboration, local engagement, and adaptive strategies are crucial. As global tourism grows, integrating sustainability into every aspect of recreational planning will be key to protecting destinations and enriching both visitors and host communities.</w:t>
      </w:r>
    </w:p>
    <w:p w14:paraId="53704698" w14:textId="77777777" w:rsidR="0048193C" w:rsidRDefault="0048193C" w:rsidP="00D119E2">
      <w:pPr>
        <w:jc w:val="both"/>
      </w:pPr>
    </w:p>
    <w:p w14:paraId="27CB1492" w14:textId="77777777" w:rsidR="006037DF" w:rsidRDefault="006037DF" w:rsidP="00D119E2">
      <w:pPr>
        <w:jc w:val="both"/>
      </w:pPr>
    </w:p>
    <w:p w14:paraId="34D2E41A" w14:textId="77777777" w:rsidR="006037DF" w:rsidRDefault="006037DF" w:rsidP="00D119E2">
      <w:pPr>
        <w:jc w:val="both"/>
      </w:pPr>
    </w:p>
    <w:p w14:paraId="3572DD8E" w14:textId="77777777" w:rsidR="006037DF" w:rsidRDefault="006037DF" w:rsidP="00D119E2">
      <w:pPr>
        <w:jc w:val="both"/>
      </w:pPr>
    </w:p>
    <w:p w14:paraId="2AD95647" w14:textId="77777777" w:rsidR="006037DF" w:rsidRDefault="006037DF" w:rsidP="00D119E2">
      <w:pPr>
        <w:jc w:val="both"/>
      </w:pPr>
    </w:p>
    <w:p w14:paraId="2EC0712B" w14:textId="77777777" w:rsidR="006037DF" w:rsidRDefault="006037DF" w:rsidP="00D119E2">
      <w:pPr>
        <w:jc w:val="both"/>
      </w:pPr>
    </w:p>
    <w:p w14:paraId="635B9479" w14:textId="77777777" w:rsidR="006037DF" w:rsidRDefault="006037DF" w:rsidP="00D119E2">
      <w:pPr>
        <w:jc w:val="both"/>
      </w:pPr>
    </w:p>
    <w:p w14:paraId="1AF37A1C" w14:textId="77777777" w:rsidR="006037DF" w:rsidRDefault="006037DF" w:rsidP="00D119E2">
      <w:pPr>
        <w:jc w:val="both"/>
      </w:pPr>
    </w:p>
    <w:p w14:paraId="652A0E74" w14:textId="77777777" w:rsidR="006037DF" w:rsidRDefault="006037DF" w:rsidP="00D119E2">
      <w:pPr>
        <w:jc w:val="both"/>
      </w:pPr>
    </w:p>
    <w:p w14:paraId="61F3F1B2" w14:textId="77777777" w:rsidR="006037DF" w:rsidRDefault="006037DF" w:rsidP="00D119E2">
      <w:pPr>
        <w:jc w:val="both"/>
      </w:pPr>
    </w:p>
    <w:p w14:paraId="26A70F9B" w14:textId="77777777" w:rsidR="006037DF" w:rsidRDefault="006037DF" w:rsidP="00D119E2">
      <w:pPr>
        <w:jc w:val="both"/>
      </w:pPr>
    </w:p>
    <w:p w14:paraId="30B461E0" w14:textId="77777777" w:rsidR="006037DF" w:rsidRDefault="006037DF" w:rsidP="00D119E2">
      <w:pPr>
        <w:jc w:val="both"/>
      </w:pPr>
    </w:p>
    <w:p w14:paraId="27A690EE" w14:textId="77777777" w:rsidR="006037DF" w:rsidRDefault="006037DF" w:rsidP="00D119E2">
      <w:pPr>
        <w:jc w:val="both"/>
      </w:pPr>
    </w:p>
    <w:p w14:paraId="35F7C738" w14:textId="77777777" w:rsidR="006037DF" w:rsidRDefault="006037DF" w:rsidP="00D119E2">
      <w:pPr>
        <w:jc w:val="both"/>
      </w:pPr>
    </w:p>
    <w:p w14:paraId="5EA6AB0E" w14:textId="77777777" w:rsidR="006037DF" w:rsidRDefault="006037DF" w:rsidP="00D119E2">
      <w:pPr>
        <w:jc w:val="both"/>
      </w:pPr>
    </w:p>
    <w:p w14:paraId="1DD2D2AA" w14:textId="77777777" w:rsidR="006037DF" w:rsidRDefault="006037DF" w:rsidP="00D119E2">
      <w:pPr>
        <w:jc w:val="both"/>
      </w:pPr>
    </w:p>
    <w:p w14:paraId="605B48A8" w14:textId="77777777" w:rsidR="006037DF" w:rsidRDefault="006037DF" w:rsidP="00D119E2">
      <w:pPr>
        <w:jc w:val="both"/>
      </w:pPr>
    </w:p>
    <w:p w14:paraId="637ED29C" w14:textId="77777777" w:rsidR="006037DF" w:rsidRDefault="006037DF" w:rsidP="00D119E2">
      <w:pPr>
        <w:jc w:val="both"/>
      </w:pPr>
    </w:p>
    <w:p w14:paraId="67402807" w14:textId="77777777" w:rsidR="006037DF" w:rsidRDefault="006037DF" w:rsidP="00D119E2">
      <w:pPr>
        <w:jc w:val="both"/>
      </w:pPr>
    </w:p>
    <w:p w14:paraId="4B29FE1C" w14:textId="580C6321" w:rsidR="006037DF" w:rsidRPr="00780E7E" w:rsidRDefault="006037DF" w:rsidP="00780E7E">
      <w:pPr>
        <w:pStyle w:val="Heading1"/>
      </w:pPr>
      <w:bookmarkStart w:id="7" w:name="_Toc204762377"/>
      <w:r w:rsidRPr="00780E7E">
        <w:lastRenderedPageBreak/>
        <w:t>Reference</w:t>
      </w:r>
      <w:bookmarkEnd w:id="7"/>
      <w:r w:rsidRPr="00780E7E">
        <w:t xml:space="preserve"> </w:t>
      </w:r>
    </w:p>
    <w:p w14:paraId="2FCA2674" w14:textId="77777777" w:rsidR="006037DF" w:rsidRPr="006037DF" w:rsidRDefault="006037DF" w:rsidP="006037DF">
      <w:pPr>
        <w:ind w:left="720" w:hanging="720"/>
        <w:jc w:val="both"/>
      </w:pPr>
      <w:r w:rsidRPr="006037DF">
        <w:t xml:space="preserve">Barnes, M. (2018). The Role that Students Can Play in the Expansion of a Neighborhood Park. </w:t>
      </w:r>
      <w:r w:rsidRPr="006037DF">
        <w:rPr>
          <w:i/>
          <w:iCs/>
        </w:rPr>
        <w:t>SCHOLE: A Journal of Leisure Studies and Recreation Education</w:t>
      </w:r>
      <w:r w:rsidRPr="006037DF">
        <w:t xml:space="preserve">, </w:t>
      </w:r>
      <w:r w:rsidRPr="006037DF">
        <w:rPr>
          <w:i/>
          <w:iCs/>
        </w:rPr>
        <w:t>33</w:t>
      </w:r>
      <w:r w:rsidRPr="006037DF">
        <w:t xml:space="preserve">(2), 103–110. </w:t>
      </w:r>
      <w:hyperlink r:id="rId9" w:history="1">
        <w:r w:rsidRPr="006037DF">
          <w:rPr>
            <w:rStyle w:val="Hyperlink"/>
          </w:rPr>
          <w:t>https://doi.org/10.1080/1937156x.2018.1513278</w:t>
        </w:r>
      </w:hyperlink>
    </w:p>
    <w:p w14:paraId="7931EA35" w14:textId="77777777" w:rsidR="006037DF" w:rsidRPr="006037DF" w:rsidRDefault="006037DF" w:rsidP="006037DF">
      <w:pPr>
        <w:ind w:left="720" w:hanging="720"/>
        <w:jc w:val="both"/>
      </w:pPr>
      <w:r w:rsidRPr="006037DF">
        <w:t xml:space="preserve">Chalermchaikit, V., &amp; Kozak, M. (2021). The Practice of Triple Bottom Line in the Sustainability of Tourism: A Gender Perspective. </w:t>
      </w:r>
      <w:r w:rsidRPr="006037DF">
        <w:rPr>
          <w:i/>
          <w:iCs/>
        </w:rPr>
        <w:t>Gender and Tourism</w:t>
      </w:r>
      <w:r w:rsidRPr="006037DF">
        <w:t xml:space="preserve">, 285–300. </w:t>
      </w:r>
      <w:hyperlink r:id="rId10" w:history="1">
        <w:r w:rsidRPr="006037DF">
          <w:rPr>
            <w:rStyle w:val="Hyperlink"/>
          </w:rPr>
          <w:t>https://doi.org/10.1108/978-1-80117-322-320211016</w:t>
        </w:r>
      </w:hyperlink>
    </w:p>
    <w:p w14:paraId="0AF2EAB1" w14:textId="77777777" w:rsidR="006037DF" w:rsidRPr="006037DF" w:rsidRDefault="006037DF" w:rsidP="006037DF">
      <w:pPr>
        <w:ind w:left="720" w:hanging="720"/>
        <w:jc w:val="both"/>
      </w:pPr>
      <w:r w:rsidRPr="006037DF">
        <w:t xml:space="preserve">Germany Travels. (2023). </w:t>
      </w:r>
      <w:r w:rsidRPr="006037DF">
        <w:rPr>
          <w:i/>
          <w:iCs/>
        </w:rPr>
        <w:t>MAKING TOURISM MORE SUSTAINABLE</w:t>
      </w:r>
      <w:r w:rsidRPr="006037DF">
        <w:t xml:space="preserve">. </w:t>
      </w:r>
      <w:hyperlink r:id="rId11" w:history="1">
        <w:r w:rsidRPr="006037DF">
          <w:rPr>
            <w:rStyle w:val="Hyperlink"/>
          </w:rPr>
          <w:t>https://www.germany.travel/media/en/pdf_5/FB_23_DE_barrierefrei.pdf</w:t>
        </w:r>
      </w:hyperlink>
    </w:p>
    <w:p w14:paraId="24225075" w14:textId="77777777" w:rsidR="006037DF" w:rsidRPr="006037DF" w:rsidRDefault="006037DF" w:rsidP="006037DF">
      <w:pPr>
        <w:ind w:left="720" w:hanging="720"/>
        <w:jc w:val="both"/>
      </w:pPr>
      <w:r w:rsidRPr="006037DF">
        <w:t xml:space="preserve">Ibrohim , H. (2024). </w:t>
      </w:r>
      <w:r w:rsidRPr="006037DF">
        <w:rPr>
          <w:i/>
          <w:iCs/>
        </w:rPr>
        <w:t xml:space="preserve">SUSTAINABLE TOURISM PRACTICES IN GERMANY AND COMPREHENSIVE  ANALYSIS </w:t>
      </w:r>
      <w:r w:rsidRPr="006037DF">
        <w:t>.</w:t>
      </w:r>
    </w:p>
    <w:p w14:paraId="53756F45" w14:textId="3291B47C" w:rsidR="006037DF" w:rsidRDefault="006037DF" w:rsidP="006037DF">
      <w:pPr>
        <w:ind w:left="720" w:hanging="720"/>
        <w:jc w:val="both"/>
      </w:pPr>
      <w:r w:rsidRPr="006037DF">
        <w:t xml:space="preserve">Wise, N. (2016). Outlining triple bottom line contexts in urban tourism regeneration. </w:t>
      </w:r>
      <w:r w:rsidRPr="006037DF">
        <w:rPr>
          <w:i/>
          <w:iCs/>
        </w:rPr>
        <w:t>Cities</w:t>
      </w:r>
      <w:r w:rsidRPr="006037DF">
        <w:t xml:space="preserve">, </w:t>
      </w:r>
      <w:r w:rsidRPr="006037DF">
        <w:rPr>
          <w:i/>
          <w:iCs/>
        </w:rPr>
        <w:t>53</w:t>
      </w:r>
      <w:r w:rsidRPr="006037DF">
        <w:t xml:space="preserve">, 30–34. </w:t>
      </w:r>
      <w:hyperlink r:id="rId12" w:history="1">
        <w:r w:rsidRPr="006037DF">
          <w:rPr>
            <w:rStyle w:val="Hyperlink"/>
          </w:rPr>
          <w:t>https://doi.org/10.1016/j.cities.2016.01.003</w:t>
        </w:r>
      </w:hyperlink>
      <w:r>
        <w:t>.</w:t>
      </w:r>
    </w:p>
    <w:p w14:paraId="32941C00" w14:textId="77777777" w:rsidR="006037DF" w:rsidRPr="006037DF" w:rsidRDefault="006037DF" w:rsidP="006037DF">
      <w:pPr>
        <w:ind w:left="720" w:hanging="720"/>
        <w:jc w:val="both"/>
      </w:pPr>
    </w:p>
    <w:p w14:paraId="3CE415CC" w14:textId="77777777" w:rsidR="006037DF" w:rsidRPr="006037DF" w:rsidRDefault="006037DF" w:rsidP="00D119E2">
      <w:pPr>
        <w:jc w:val="both"/>
        <w:rPr>
          <w:b/>
          <w:bCs/>
        </w:rPr>
      </w:pPr>
    </w:p>
    <w:p w14:paraId="3A259EB6" w14:textId="77777777" w:rsidR="006037DF" w:rsidRDefault="006037DF" w:rsidP="00D119E2">
      <w:pPr>
        <w:jc w:val="both"/>
      </w:pPr>
    </w:p>
    <w:sectPr w:rsidR="006037DF">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6A060C" w14:textId="77777777" w:rsidR="003F05AF" w:rsidRDefault="003F05AF" w:rsidP="00A33446">
      <w:pPr>
        <w:spacing w:after="0" w:line="240" w:lineRule="auto"/>
      </w:pPr>
      <w:r>
        <w:separator/>
      </w:r>
    </w:p>
  </w:endnote>
  <w:endnote w:type="continuationSeparator" w:id="0">
    <w:p w14:paraId="39FA19C1" w14:textId="77777777" w:rsidR="003F05AF" w:rsidRDefault="003F05AF" w:rsidP="00A334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1781846"/>
      <w:docPartObj>
        <w:docPartGallery w:val="Page Numbers (Bottom of Page)"/>
        <w:docPartUnique/>
      </w:docPartObj>
    </w:sdtPr>
    <w:sdtEndPr>
      <w:rPr>
        <w:noProof/>
      </w:rPr>
    </w:sdtEndPr>
    <w:sdtContent>
      <w:p w14:paraId="2038AD34" w14:textId="507AB811" w:rsidR="00A33446" w:rsidRDefault="00A3344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3459F4" w14:textId="77777777" w:rsidR="00A33446" w:rsidRDefault="00A334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392BEA" w14:textId="77777777" w:rsidR="003F05AF" w:rsidRDefault="003F05AF" w:rsidP="00A33446">
      <w:pPr>
        <w:spacing w:after="0" w:line="240" w:lineRule="auto"/>
      </w:pPr>
      <w:r>
        <w:separator/>
      </w:r>
    </w:p>
  </w:footnote>
  <w:footnote w:type="continuationSeparator" w:id="0">
    <w:p w14:paraId="5FA1AF39" w14:textId="77777777" w:rsidR="003F05AF" w:rsidRDefault="003F05AF" w:rsidP="00A334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208EF"/>
    <w:multiLevelType w:val="multilevel"/>
    <w:tmpl w:val="DF0C5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222F78"/>
    <w:multiLevelType w:val="multilevel"/>
    <w:tmpl w:val="9EA4A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5312234"/>
    <w:multiLevelType w:val="multilevel"/>
    <w:tmpl w:val="BB3A2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9E320FA"/>
    <w:multiLevelType w:val="hybridMultilevel"/>
    <w:tmpl w:val="880A4F08"/>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28676480">
    <w:abstractNumId w:val="0"/>
  </w:num>
  <w:num w:numId="2" w16cid:durableId="1790512832">
    <w:abstractNumId w:val="2"/>
  </w:num>
  <w:num w:numId="3" w16cid:durableId="905920921">
    <w:abstractNumId w:val="3"/>
  </w:num>
  <w:num w:numId="4" w16cid:durableId="8812148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9E2"/>
    <w:rsid w:val="00081E9C"/>
    <w:rsid w:val="0009116C"/>
    <w:rsid w:val="001A2715"/>
    <w:rsid w:val="00241845"/>
    <w:rsid w:val="002B0992"/>
    <w:rsid w:val="003F05AF"/>
    <w:rsid w:val="003F1915"/>
    <w:rsid w:val="0046477A"/>
    <w:rsid w:val="0048193C"/>
    <w:rsid w:val="006037DF"/>
    <w:rsid w:val="0062566B"/>
    <w:rsid w:val="00627F6A"/>
    <w:rsid w:val="00780E7E"/>
    <w:rsid w:val="00801BB0"/>
    <w:rsid w:val="00A33446"/>
    <w:rsid w:val="00B22F4A"/>
    <w:rsid w:val="00C17FE9"/>
    <w:rsid w:val="00C97836"/>
    <w:rsid w:val="00CD7A0B"/>
    <w:rsid w:val="00D119E2"/>
    <w:rsid w:val="00FB101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5276E"/>
  <w15:chartTrackingRefBased/>
  <w15:docId w15:val="{D07092F9-E2C5-4D2A-B9DB-7EC953D35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193C"/>
    <w:rPr>
      <w:rFonts w:ascii="Times New Roman" w:hAnsi="Times New Roman"/>
    </w:rPr>
  </w:style>
  <w:style w:type="paragraph" w:styleId="Heading1">
    <w:name w:val="heading 1"/>
    <w:basedOn w:val="Normal"/>
    <w:next w:val="Normal"/>
    <w:link w:val="Heading1Char"/>
    <w:uiPriority w:val="9"/>
    <w:qFormat/>
    <w:rsid w:val="00C17FE9"/>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semiHidden/>
    <w:unhideWhenUsed/>
    <w:qFormat/>
    <w:rsid w:val="00C17FE9"/>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autoRedefine/>
    <w:uiPriority w:val="9"/>
    <w:unhideWhenUsed/>
    <w:qFormat/>
    <w:rsid w:val="00081E9C"/>
    <w:pPr>
      <w:keepNext/>
      <w:keepLines/>
      <w:spacing w:before="160" w:after="80"/>
      <w:outlineLvl w:val="2"/>
    </w:pPr>
    <w:rPr>
      <w:rFonts w:eastAsiaTheme="majorEastAsia" w:cstheme="majorBidi"/>
      <w:b/>
      <w:i/>
      <w:szCs w:val="28"/>
    </w:rPr>
  </w:style>
  <w:style w:type="paragraph" w:styleId="Heading4">
    <w:name w:val="heading 4"/>
    <w:basedOn w:val="Normal"/>
    <w:next w:val="Normal"/>
    <w:link w:val="Heading4Char"/>
    <w:uiPriority w:val="9"/>
    <w:semiHidden/>
    <w:unhideWhenUsed/>
    <w:qFormat/>
    <w:rsid w:val="00D119E2"/>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D119E2"/>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D119E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119E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119E2"/>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119E2"/>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7FE9"/>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semiHidden/>
    <w:rsid w:val="00C17FE9"/>
    <w:rPr>
      <w:rFonts w:ascii="Times New Roman" w:eastAsiaTheme="majorEastAsia" w:hAnsi="Times New Roman" w:cstheme="majorBidi"/>
      <w:b/>
      <w:szCs w:val="32"/>
    </w:rPr>
  </w:style>
  <w:style w:type="character" w:customStyle="1" w:styleId="Heading3Char">
    <w:name w:val="Heading 3 Char"/>
    <w:basedOn w:val="DefaultParagraphFont"/>
    <w:link w:val="Heading3"/>
    <w:uiPriority w:val="9"/>
    <w:rsid w:val="00081E9C"/>
    <w:rPr>
      <w:rFonts w:ascii="Times New Roman" w:eastAsiaTheme="majorEastAsia" w:hAnsi="Times New Roman" w:cstheme="majorBidi"/>
      <w:b/>
      <w:i/>
      <w:szCs w:val="28"/>
    </w:rPr>
  </w:style>
  <w:style w:type="character" w:customStyle="1" w:styleId="Heading4Char">
    <w:name w:val="Heading 4 Char"/>
    <w:basedOn w:val="DefaultParagraphFont"/>
    <w:link w:val="Heading4"/>
    <w:uiPriority w:val="9"/>
    <w:semiHidden/>
    <w:rsid w:val="00D119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19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19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19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19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19E2"/>
    <w:rPr>
      <w:rFonts w:eastAsiaTheme="majorEastAsia" w:cstheme="majorBidi"/>
      <w:color w:val="272727" w:themeColor="text1" w:themeTint="D8"/>
    </w:rPr>
  </w:style>
  <w:style w:type="paragraph" w:styleId="Title">
    <w:name w:val="Title"/>
    <w:basedOn w:val="Normal"/>
    <w:next w:val="Normal"/>
    <w:link w:val="TitleChar"/>
    <w:uiPriority w:val="10"/>
    <w:qFormat/>
    <w:rsid w:val="00D119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19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19E2"/>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19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19E2"/>
    <w:pPr>
      <w:spacing w:before="160"/>
      <w:jc w:val="center"/>
    </w:pPr>
    <w:rPr>
      <w:i/>
      <w:iCs/>
      <w:color w:val="404040" w:themeColor="text1" w:themeTint="BF"/>
    </w:rPr>
  </w:style>
  <w:style w:type="character" w:customStyle="1" w:styleId="QuoteChar">
    <w:name w:val="Quote Char"/>
    <w:basedOn w:val="DefaultParagraphFont"/>
    <w:link w:val="Quote"/>
    <w:uiPriority w:val="29"/>
    <w:rsid w:val="00D119E2"/>
    <w:rPr>
      <w:rFonts w:ascii="Times New Roman" w:hAnsi="Times New Roman"/>
      <w:i/>
      <w:iCs/>
      <w:color w:val="404040" w:themeColor="text1" w:themeTint="BF"/>
    </w:rPr>
  </w:style>
  <w:style w:type="paragraph" w:styleId="ListParagraph">
    <w:name w:val="List Paragraph"/>
    <w:basedOn w:val="Normal"/>
    <w:uiPriority w:val="34"/>
    <w:qFormat/>
    <w:rsid w:val="00D119E2"/>
    <w:pPr>
      <w:ind w:left="720"/>
      <w:contextualSpacing/>
    </w:pPr>
  </w:style>
  <w:style w:type="character" w:styleId="IntenseEmphasis">
    <w:name w:val="Intense Emphasis"/>
    <w:basedOn w:val="DefaultParagraphFont"/>
    <w:uiPriority w:val="21"/>
    <w:qFormat/>
    <w:rsid w:val="00D119E2"/>
    <w:rPr>
      <w:i/>
      <w:iCs/>
      <w:color w:val="0F4761" w:themeColor="accent1" w:themeShade="BF"/>
    </w:rPr>
  </w:style>
  <w:style w:type="paragraph" w:styleId="IntenseQuote">
    <w:name w:val="Intense Quote"/>
    <w:basedOn w:val="Normal"/>
    <w:next w:val="Normal"/>
    <w:link w:val="IntenseQuoteChar"/>
    <w:uiPriority w:val="30"/>
    <w:qFormat/>
    <w:rsid w:val="00D119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19E2"/>
    <w:rPr>
      <w:rFonts w:ascii="Times New Roman" w:hAnsi="Times New Roman"/>
      <w:i/>
      <w:iCs/>
      <w:color w:val="0F4761" w:themeColor="accent1" w:themeShade="BF"/>
    </w:rPr>
  </w:style>
  <w:style w:type="character" w:styleId="IntenseReference">
    <w:name w:val="Intense Reference"/>
    <w:basedOn w:val="DefaultParagraphFont"/>
    <w:uiPriority w:val="32"/>
    <w:qFormat/>
    <w:rsid w:val="00D119E2"/>
    <w:rPr>
      <w:b/>
      <w:bCs/>
      <w:smallCaps/>
      <w:color w:val="0F4761" w:themeColor="accent1" w:themeShade="BF"/>
      <w:spacing w:val="5"/>
    </w:rPr>
  </w:style>
  <w:style w:type="character" w:styleId="Hyperlink">
    <w:name w:val="Hyperlink"/>
    <w:basedOn w:val="DefaultParagraphFont"/>
    <w:uiPriority w:val="99"/>
    <w:unhideWhenUsed/>
    <w:rsid w:val="006037DF"/>
    <w:rPr>
      <w:color w:val="467886" w:themeColor="hyperlink"/>
      <w:u w:val="single"/>
    </w:rPr>
  </w:style>
  <w:style w:type="character" w:styleId="UnresolvedMention">
    <w:name w:val="Unresolved Mention"/>
    <w:basedOn w:val="DefaultParagraphFont"/>
    <w:uiPriority w:val="99"/>
    <w:semiHidden/>
    <w:unhideWhenUsed/>
    <w:rsid w:val="006037DF"/>
    <w:rPr>
      <w:color w:val="605E5C"/>
      <w:shd w:val="clear" w:color="auto" w:fill="E1DFDD"/>
    </w:rPr>
  </w:style>
  <w:style w:type="paragraph" w:styleId="TOCHeading">
    <w:name w:val="TOC Heading"/>
    <w:basedOn w:val="Heading1"/>
    <w:next w:val="Normal"/>
    <w:uiPriority w:val="39"/>
    <w:unhideWhenUsed/>
    <w:qFormat/>
    <w:rsid w:val="00780E7E"/>
    <w:pPr>
      <w:spacing w:before="240" w:after="0" w:line="259" w:lineRule="auto"/>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780E7E"/>
    <w:pPr>
      <w:spacing w:after="100"/>
    </w:pPr>
  </w:style>
  <w:style w:type="paragraph" w:styleId="Header">
    <w:name w:val="header"/>
    <w:basedOn w:val="Normal"/>
    <w:link w:val="HeaderChar"/>
    <w:uiPriority w:val="99"/>
    <w:unhideWhenUsed/>
    <w:rsid w:val="00A334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3446"/>
    <w:rPr>
      <w:rFonts w:ascii="Times New Roman" w:hAnsi="Times New Roman"/>
    </w:rPr>
  </w:style>
  <w:style w:type="paragraph" w:styleId="Footer">
    <w:name w:val="footer"/>
    <w:basedOn w:val="Normal"/>
    <w:link w:val="FooterChar"/>
    <w:uiPriority w:val="99"/>
    <w:unhideWhenUsed/>
    <w:rsid w:val="00A334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3446"/>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16/j.cities.2016.01.00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ermany.travel/media/en/pdf_5/FB_23_DE_barrierefrei.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1108/978-1-80117-322-320211016" TargetMode="External"/><Relationship Id="rId4" Type="http://schemas.openxmlformats.org/officeDocument/2006/relationships/settings" Target="settings.xml"/><Relationship Id="rId9" Type="http://schemas.openxmlformats.org/officeDocument/2006/relationships/hyperlink" Target="https://doi.org/10.1080/1937156x.2018.1513278"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eventhEdition.xsl" StyleName="APA7" Version="7"/>
</file>

<file path=customXml/itemProps1.xml><?xml version="1.0" encoding="utf-8"?>
<ds:datastoreItem xmlns:ds="http://schemas.openxmlformats.org/officeDocument/2006/customXml" ds:itemID="{40DDB156-2689-441D-8070-812670843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7</Pages>
  <Words>1368</Words>
  <Characters>7798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14</cp:revision>
  <dcterms:created xsi:type="dcterms:W3CDTF">2025-07-30T04:37:00Z</dcterms:created>
  <dcterms:modified xsi:type="dcterms:W3CDTF">2025-07-30T06:55:00Z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2025-07-30T04:59:03Z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c524ef7d-8f13-4eba-9b01-2b4937d6d49a</vt:lpwstr>
  </property>
  <property fmtid="{D5CDD505-2E9C-101B-9397-08002B2CF9AE}" pid="7" name="MSIP_Label_defa4170-0d19-0005-0004-bc88714345d2_ActionId">
    <vt:lpwstr>1709e9f9-3efd-4b36-b5c5-4b7403ca8954</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