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438355" w14:textId="7308764F" w:rsidR="000E68B1" w:rsidRPr="00F564EB" w:rsidRDefault="000E68B1" w:rsidP="000E68B1">
      <w:pPr>
        <w:rPr>
          <w:b/>
          <w:bCs/>
          <w:sz w:val="30"/>
          <w:szCs w:val="30"/>
        </w:rPr>
      </w:pPr>
      <w:r w:rsidRPr="00F564EB">
        <w:rPr>
          <w:noProof/>
          <w:sz w:val="30"/>
          <w:szCs w:val="30"/>
        </w:rPr>
        <w:drawing>
          <wp:anchor distT="0" distB="0" distL="114300" distR="114300" simplePos="0" relativeHeight="251659264" behindDoc="1" locked="0" layoutInCell="1" allowOverlap="1" wp14:anchorId="78545E80" wp14:editId="57BA45A4">
            <wp:simplePos x="0" y="0"/>
            <wp:positionH relativeFrom="column">
              <wp:posOffset>4462145</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r w:rsidRPr="00F564EB">
        <w:rPr>
          <w:b/>
          <w:bCs/>
          <w:sz w:val="30"/>
          <w:szCs w:val="30"/>
        </w:rPr>
        <w:t>Introduction to the Hospitality Industry</w:t>
      </w:r>
    </w:p>
    <w:p w14:paraId="741238E1" w14:textId="77777777" w:rsidR="000E68B1" w:rsidRDefault="000E68B1" w:rsidP="000E68B1">
      <w:r w:rsidRPr="0019504D">
        <w:t>Ass</w:t>
      </w:r>
      <w:r>
        <w:t xml:space="preserve">ignment </w:t>
      </w:r>
      <w:r w:rsidR="00794642">
        <w:t>3</w:t>
      </w:r>
    </w:p>
    <w:p w14:paraId="471EEC20" w14:textId="77777777" w:rsidR="00426865" w:rsidRDefault="00426865"/>
    <w:p w14:paraId="36B0BEAF" w14:textId="77777777" w:rsidR="009172AB" w:rsidRDefault="009172AB" w:rsidP="009172AB">
      <w:r>
        <w:t xml:space="preserve">Student Name: </w:t>
      </w:r>
      <w:r w:rsidRPr="009172AB">
        <w:rPr>
          <w:b/>
          <w:bCs/>
        </w:rPr>
        <w:t>Gourav Kumar</w:t>
      </w:r>
    </w:p>
    <w:p w14:paraId="3A1E3D4F" w14:textId="35901046" w:rsidR="009172AB" w:rsidRDefault="009172AB" w:rsidP="009172AB">
      <w:r>
        <w:t xml:space="preserve">Student ID: </w:t>
      </w:r>
      <w:r w:rsidRPr="009172AB">
        <w:rPr>
          <w:b/>
          <w:bCs/>
        </w:rPr>
        <w:t>DE240423</w:t>
      </w:r>
    </w:p>
    <w:p w14:paraId="08556E5B" w14:textId="77777777" w:rsidR="000E68B1" w:rsidRDefault="000E68B1"/>
    <w:p w14:paraId="50774DA8" w14:textId="77777777" w:rsidR="000E68B1" w:rsidRDefault="000E68B1"/>
    <w:p w14:paraId="0BEB1381" w14:textId="77777777" w:rsidR="000E68B1" w:rsidRDefault="000E68B1"/>
    <w:p w14:paraId="62918814" w14:textId="77777777" w:rsidR="000E68B1" w:rsidRDefault="000E68B1"/>
    <w:p w14:paraId="378209A3" w14:textId="77777777" w:rsidR="00F564EB" w:rsidRPr="00F564EB" w:rsidRDefault="00F564EB" w:rsidP="00F564EB">
      <w:pPr>
        <w:pStyle w:val="Heading1"/>
      </w:pPr>
      <w:r w:rsidRPr="00F564EB">
        <w:t>Hospitality Business Models: Referral Associations and Management Contracts</w:t>
      </w:r>
    </w:p>
    <w:p w14:paraId="207E28EE" w14:textId="77777777" w:rsidR="00F564EB" w:rsidRDefault="00F564EB" w:rsidP="00F564EB">
      <w:pPr>
        <w:rPr>
          <w:b/>
          <w:bCs/>
        </w:rPr>
      </w:pPr>
    </w:p>
    <w:p w14:paraId="12B88191" w14:textId="7246C846" w:rsidR="00F564EB" w:rsidRPr="00F564EB" w:rsidRDefault="00F564EB" w:rsidP="00F564EB">
      <w:pPr>
        <w:rPr>
          <w:b/>
          <w:bCs/>
        </w:rPr>
      </w:pPr>
      <w:r w:rsidRPr="00F564EB">
        <w:rPr>
          <w:b/>
          <w:bCs/>
        </w:rPr>
        <w:t>1. Case-Based Analysis: Joining a Referral Association for a Small Boutique Hotel in Berlin</w:t>
      </w:r>
    </w:p>
    <w:p w14:paraId="4B4F58DD" w14:textId="77777777" w:rsidR="00F564EB" w:rsidRPr="00F564EB" w:rsidRDefault="00F564EB" w:rsidP="00F564EB">
      <w:r w:rsidRPr="00F564EB">
        <w:t>Berlin represents one of Europe's most dynamic and competitive hospitality environments, characterized by a vibrant mix of historical boutique hotels, design-driven independent properties, and massive global chain developments (Bowie et al., 2016). For a small boutique hotel operating independently in Berlin, surviving and thriving against multinational hotel corporations requires balancing unique local character with commercial visibility (Kotler et al., 2017). Entering a referral association, such as Leading Hotels of the World or Design Hotels, offers a compelling strategic solution where the independent property retains complete operational autonomy while gaining the distribution power of a global brand network (Walker, 2021).</w:t>
      </w:r>
    </w:p>
    <w:p w14:paraId="2CA3C621" w14:textId="77777777" w:rsidR="00F564EB" w:rsidRDefault="00F564EB" w:rsidP="00F564EB">
      <w:pPr>
        <w:rPr>
          <w:b/>
          <w:bCs/>
        </w:rPr>
      </w:pPr>
    </w:p>
    <w:p w14:paraId="3E10F12C" w14:textId="22F503E9" w:rsidR="00F564EB" w:rsidRPr="00F564EB" w:rsidRDefault="00F564EB" w:rsidP="00F564EB">
      <w:pPr>
        <w:rPr>
          <w:b/>
          <w:bCs/>
        </w:rPr>
      </w:pPr>
      <w:r w:rsidRPr="00F564EB">
        <w:rPr>
          <w:b/>
          <w:bCs/>
        </w:rPr>
        <w:t>Strategic Justification and Competitive Advantages</w:t>
      </w:r>
    </w:p>
    <w:p w14:paraId="2B010B7D" w14:textId="77777777" w:rsidR="00F564EB" w:rsidRPr="00F564EB" w:rsidRDefault="00F564EB" w:rsidP="00F564EB">
      <w:r w:rsidRPr="00F564EB">
        <w:t>Joining a referral association significantly enhances the hotel's market competitiveness by solving the critical challenge of global distribution and market reach (O'Gorman, 2010). Independent boutique hotels often struggle with high customer acquisition costs because they rely heavily on online travel agencies like Booking.com or Expedia, which charge commission fees ranging between fifteen and twenty-five percent per reservation (Bowie et al., 2016). By connecting directly to a referral association's central reservation system and global distribution system, the Berlin property can drive direct, high-margin bookings while substantially reducing its financial dependency on expensive third-party online intermediaries (Kotler et al., 2017).</w:t>
      </w:r>
    </w:p>
    <w:p w14:paraId="62228077" w14:textId="77777777" w:rsidR="00F564EB" w:rsidRPr="00F564EB" w:rsidRDefault="00F564EB" w:rsidP="00F564EB">
      <w:r w:rsidRPr="00F564EB">
        <w:t>Furthermore, association membership delivers immediate brand credibility and international guest trust (Alon, 1999). International travelers visiting Berlin frequently face information asymmetry when deciding whether to book an unbranded boutique hotel over a recognized corporate hotel chain (Contractor &amp; Kundu, 1998). A referral association badge serves as a trusted seal of quality, assuring discerning travelers that the independent property meets rigorous operational and physical standards (Walker, 2021). This endorsement allows the boutique hotel to command higher average daily rates and achieve superior revenue per available room compared to non-affiliated independent competitors in the local market (Bowie et al., 2016).</w:t>
      </w:r>
    </w:p>
    <w:p w14:paraId="60A74F10" w14:textId="77777777" w:rsidR="00F564EB" w:rsidRPr="00F564EB" w:rsidRDefault="00F564EB" w:rsidP="00F564EB">
      <w:r w:rsidRPr="00F564EB">
        <w:t xml:space="preserve">Crucially, a referral association allows the property owner to preserve full identity, creative freedom, and operational control (Roper, 1995). Unlike a traditional franchise agreement, which mandates strict architectural prototypes, standardized interior decor, and rigid </w:t>
      </w:r>
      <w:r w:rsidRPr="00F564EB">
        <w:lastRenderedPageBreak/>
        <w:t>operating rules, a referral network actively values local individuality (Dev et al., 2002). The Berlin boutique hotel can maintain its distinct historical narrative, customized interior design, and bespoke guest services, which are the exact qualities that attract modern leisure travelers seeking authentic cultural experiences (Kotler et al., 2017).</w:t>
      </w:r>
    </w:p>
    <w:p w14:paraId="0D90FFFE" w14:textId="77777777" w:rsidR="00F564EB" w:rsidRPr="00F564EB" w:rsidRDefault="00F564EB" w:rsidP="00F564EB">
      <w:r w:rsidRPr="00F564EB">
        <w:t>Finally, membership provides collective marketing power and shared competitive intelligence (Abell, 1990). Small independent hotels rarely possess the financial capital to execute global advertising campaigns or invest in advanced revenue management technology (Bowie et al., 2016). A referral association pools membership dues from independent properties worldwide to execute international promotional campaigns, represent member hotels at major travel trade shows, and grant access to sophisticated data analytics tools that optimize pricing strategies across changing demand seasons in Berlin (Walker, 2021).</w:t>
      </w:r>
    </w:p>
    <w:p w14:paraId="61C8E003" w14:textId="77777777" w:rsidR="00F564EB" w:rsidRDefault="00F564EB" w:rsidP="00F564EB">
      <w:pPr>
        <w:rPr>
          <w:b/>
          <w:bCs/>
        </w:rPr>
      </w:pPr>
    </w:p>
    <w:p w14:paraId="0EB96B53" w14:textId="4F99FE98" w:rsidR="00F564EB" w:rsidRPr="00F564EB" w:rsidRDefault="00F564EB" w:rsidP="00F564EB">
      <w:pPr>
        <w:rPr>
          <w:b/>
          <w:bCs/>
        </w:rPr>
      </w:pPr>
      <w:r w:rsidRPr="00F564EB">
        <w:rPr>
          <w:b/>
          <w:bCs/>
        </w:rPr>
        <w:t>Potential Drawbacks and Strategic Considerations</w:t>
      </w:r>
    </w:p>
    <w:p w14:paraId="7A56FD88" w14:textId="77777777" w:rsidR="00F564EB" w:rsidRPr="00F564EB" w:rsidRDefault="00F564EB" w:rsidP="00F564EB">
      <w:r w:rsidRPr="00F564EB">
        <w:t>Despite these substantial benefits, joining a referral association involves notable financial commitments and strict operational expectations (Roper, 1995). Associations charge initial membership application fees, annual dues, and transaction-based booking fees (Dev et al., 2002). For a small boutique hotel with limited room inventory, these fixed and variable costs must be carefully analyzed against projected increases in direct reservation revenue (Bowie et al., 2016).</w:t>
      </w:r>
    </w:p>
    <w:p w14:paraId="764934F4" w14:textId="77777777" w:rsidR="00F564EB" w:rsidRPr="00F564EB" w:rsidRDefault="00F564EB" w:rsidP="00F564EB">
      <w:r w:rsidRPr="00F564EB">
        <w:t>Additionally, meeting the rigorous quality assurance standards required by elite referral networks can necessitate upfront capital investment (Walker, 2021). The association may require physical facility upgrades or technology replacements before approving full membership, placing financial demands on the property owner (Kotler et al., 2017). However, for a boutique hotel aiming to attract premium international business and leisure travelers in Berlin's crowded market, the long-term commercial advantages of global distribution, brand prestige, and retained operational independence far outweigh the associated membership costs (Contractor &amp; Kundu, 1998).</w:t>
      </w:r>
    </w:p>
    <w:p w14:paraId="70BAF6C6" w14:textId="77777777" w:rsidR="00F564EB" w:rsidRDefault="00F564EB" w:rsidP="00F564EB">
      <w:pPr>
        <w:rPr>
          <w:b/>
          <w:bCs/>
        </w:rPr>
      </w:pPr>
    </w:p>
    <w:p w14:paraId="718159DE" w14:textId="5F2D87AE" w:rsidR="00F564EB" w:rsidRPr="00F564EB" w:rsidRDefault="00F564EB" w:rsidP="00F564EB">
      <w:pPr>
        <w:rPr>
          <w:b/>
          <w:bCs/>
        </w:rPr>
      </w:pPr>
      <w:r w:rsidRPr="00F564EB">
        <w:rPr>
          <w:b/>
          <w:bCs/>
        </w:rPr>
        <w:t>2. Advantages and Potential Risks of Management Contracts for Hotel Owners</w:t>
      </w:r>
    </w:p>
    <w:p w14:paraId="0A6182C7" w14:textId="77777777" w:rsidR="00F564EB" w:rsidRPr="00F564EB" w:rsidRDefault="00F564EB" w:rsidP="00F564EB">
      <w:r w:rsidRPr="00F564EB">
        <w:t xml:space="preserve">A hotel management contract is a legal agreement in which a property owner hires a professional hotel management company to operate the hotel on a daily basis in exchange for management fees (Eyster, 1988). Under this operational framework, the real estate owner retains physical ownership of the property, supplies the operating capital, and bears all financial liabilities, while the management company assumes responsibility for day-to-day hotel operations, staffing, marketing, and operational execution (Schlup, 2004). This structure is widely utilized across the global lodging industry, particularly for large, full-service upscale and luxury properties (Turner &amp; </w:t>
      </w:r>
      <w:proofErr w:type="spellStart"/>
      <w:r w:rsidRPr="00F564EB">
        <w:t>Guilding</w:t>
      </w:r>
      <w:proofErr w:type="spellEnd"/>
      <w:r w:rsidRPr="00F564EB">
        <w:t>, 2010).</w:t>
      </w:r>
    </w:p>
    <w:p w14:paraId="0B628FA6" w14:textId="77777777" w:rsidR="00F564EB" w:rsidRDefault="00F564EB" w:rsidP="00F564EB">
      <w:pPr>
        <w:rPr>
          <w:b/>
          <w:bCs/>
        </w:rPr>
      </w:pPr>
    </w:p>
    <w:p w14:paraId="59E2B9C6" w14:textId="6C86D33C" w:rsidR="00F564EB" w:rsidRPr="00F564EB" w:rsidRDefault="00F564EB" w:rsidP="00F564EB">
      <w:pPr>
        <w:rPr>
          <w:b/>
          <w:bCs/>
        </w:rPr>
      </w:pPr>
      <w:r w:rsidRPr="00F564EB">
        <w:rPr>
          <w:b/>
          <w:bCs/>
        </w:rPr>
        <w:t>Advantages for Hotel Owners</w:t>
      </w:r>
    </w:p>
    <w:p w14:paraId="69FDC495" w14:textId="77777777" w:rsidR="00F564EB" w:rsidRPr="00F564EB" w:rsidRDefault="00F564EB" w:rsidP="00F564EB">
      <w:r w:rsidRPr="00F564EB">
        <w:t>For property owners, institutional investors, and real estate investment trusts that lack specialized operational expertise in hospitality, management contracts offer several fundamental strategic advantages (</w:t>
      </w:r>
      <w:proofErr w:type="spellStart"/>
      <w:r w:rsidRPr="00F564EB">
        <w:t>Grosbois</w:t>
      </w:r>
      <w:proofErr w:type="spellEnd"/>
      <w:r w:rsidRPr="00F564EB">
        <w:t>, 2011).</w:t>
      </w:r>
    </w:p>
    <w:p w14:paraId="476B784C" w14:textId="77777777" w:rsidR="00F564EB" w:rsidRPr="00F564EB" w:rsidRDefault="00F564EB" w:rsidP="00F564EB">
      <w:r w:rsidRPr="00F564EB">
        <w:t xml:space="preserve">First, management contracts provide immediate access to world-class professional expertise and operational systems (Eyster, 1988). Hotel operations are inherently complex, requiring specialized knowledge across front office management, revenue optimization, culinary operations, engineering, and human resources (Walker, 2021). By partnering with an </w:t>
      </w:r>
      <w:r w:rsidRPr="00F564EB">
        <w:lastRenderedPageBreak/>
        <w:t xml:space="preserve">established management operator, the property owner gains instant access to proven standard operating procedures, advanced property management technology, and highly trained executive leadership (Turner &amp; </w:t>
      </w:r>
      <w:proofErr w:type="spellStart"/>
      <w:r w:rsidRPr="00F564EB">
        <w:t>Guilding</w:t>
      </w:r>
      <w:proofErr w:type="spellEnd"/>
      <w:r w:rsidRPr="00F564EB">
        <w:t>, 2010).</w:t>
      </w:r>
    </w:p>
    <w:p w14:paraId="00F2D23B" w14:textId="77777777" w:rsidR="00F564EB" w:rsidRPr="00F564EB" w:rsidRDefault="00F564EB" w:rsidP="00F564EB">
      <w:r w:rsidRPr="00F564EB">
        <w:t>Second, hotel owners benefit from immediate brand equity and powerful central reservation channels (Kotler et al., 2017). When a management contract is paired with a major global hotel operator, the property is integrated directly into the operator's central booking engines, corporate sales networks, and international loyalty programs (Bowie et al., 2016). This global distribution reach drives high-volume bookings and enables the property to achieve higher occupancy rates and premium room rates from its opening day (Contractor &amp; Kundu, 1998).</w:t>
      </w:r>
    </w:p>
    <w:p w14:paraId="7E77D402" w14:textId="77777777" w:rsidR="00F564EB" w:rsidRPr="00F564EB" w:rsidRDefault="00F564EB" w:rsidP="00F564EB">
      <w:r w:rsidRPr="00F564EB">
        <w:t>Third, management companies generate significant operational economies of scale (Alon, 1999). Professional operators manage extensive portfolios containing dozens or hundreds of hotels, allowing them to negotiate bulk purchasing discounts with global suppliers for operating equipment, food and beverage inventory, insurance, and technology infrastructure (Walker, 2021). These negotiated bulk savings lower property operating expenses, directly enhancing the owner's net operating income (</w:t>
      </w:r>
      <w:proofErr w:type="spellStart"/>
      <w:r w:rsidRPr="00F564EB">
        <w:t>Grosbois</w:t>
      </w:r>
      <w:proofErr w:type="spellEnd"/>
      <w:r w:rsidRPr="00F564EB">
        <w:t>, 2011).</w:t>
      </w:r>
    </w:p>
    <w:p w14:paraId="560D41DE" w14:textId="77777777" w:rsidR="00F564EB" w:rsidRPr="00F564EB" w:rsidRDefault="00F564EB" w:rsidP="00F564EB">
      <w:r w:rsidRPr="00F564EB">
        <w:t xml:space="preserve">Fourth, the owner retains full real estate equity and long-term asset value appreciation (Schlup, 2004). Unlike a traditional lease agreement where the tenant captures operational upside, a management contract allows the property owner to receive all remaining net operating profits after management fees and operational expenses are paid (Turner &amp; </w:t>
      </w:r>
      <w:proofErr w:type="spellStart"/>
      <w:r w:rsidRPr="00F564EB">
        <w:t>Guilding</w:t>
      </w:r>
      <w:proofErr w:type="spellEnd"/>
      <w:r w:rsidRPr="00F564EB">
        <w:t>, 2010). If the hotel performs exceptionally well in its market, the owner captures the full financial benefit of increased cash flows and rising property valuation (Eyster, 1988).</w:t>
      </w:r>
    </w:p>
    <w:p w14:paraId="5DD91851" w14:textId="77777777" w:rsidR="00F564EB" w:rsidRDefault="00F564EB" w:rsidP="00F564EB">
      <w:pPr>
        <w:rPr>
          <w:b/>
          <w:bCs/>
        </w:rPr>
      </w:pPr>
    </w:p>
    <w:p w14:paraId="55A4D1AA" w14:textId="7DDB36FA" w:rsidR="00F564EB" w:rsidRPr="00F564EB" w:rsidRDefault="00F564EB" w:rsidP="00F564EB">
      <w:pPr>
        <w:rPr>
          <w:b/>
          <w:bCs/>
        </w:rPr>
      </w:pPr>
      <w:r w:rsidRPr="00F564EB">
        <w:rPr>
          <w:b/>
          <w:bCs/>
        </w:rPr>
        <w:t>Potential Risks for Hotel Owners</w:t>
      </w:r>
    </w:p>
    <w:p w14:paraId="2F0C55CE" w14:textId="77777777" w:rsidR="00F564EB" w:rsidRPr="00F564EB" w:rsidRDefault="00F564EB" w:rsidP="00F564EB">
      <w:r w:rsidRPr="00F564EB">
        <w:t>While management contracts offer strategic operational benefits, they also expose hotel owners to significant financial, legal, and managerial risks stemming from the separation of ownership and operational control (Eyster, 1988).</w:t>
      </w:r>
    </w:p>
    <w:p w14:paraId="07447AA9" w14:textId="77777777" w:rsidR="00F564EB" w:rsidRPr="00F564EB" w:rsidRDefault="00F564EB" w:rsidP="00F564EB">
      <w:r w:rsidRPr="00F564EB">
        <w:t xml:space="preserve">First, the owner bears all financial and operational liability (Schlup, 2004). The management company operates the hotel strictly as an agent and does not guarantee profitability or absorb financial losses (Turner &amp; </w:t>
      </w:r>
      <w:proofErr w:type="spellStart"/>
      <w:r w:rsidRPr="00F564EB">
        <w:t>Guilding</w:t>
      </w:r>
      <w:proofErr w:type="spellEnd"/>
      <w:r w:rsidRPr="00F564EB">
        <w:t>, 2010). The owner remains fully responsible for funding working capital, paying real estate taxes, servicing debt obligations, and covering operational deficits during economic downturns or low-demand periods (</w:t>
      </w:r>
      <w:proofErr w:type="spellStart"/>
      <w:r w:rsidRPr="00F564EB">
        <w:t>Grosbois</w:t>
      </w:r>
      <w:proofErr w:type="spellEnd"/>
      <w:r w:rsidRPr="00F564EB">
        <w:t>, 2011).</w:t>
      </w:r>
    </w:p>
    <w:p w14:paraId="6922490F" w14:textId="77777777" w:rsidR="00F564EB" w:rsidRPr="00F564EB" w:rsidRDefault="00F564EB" w:rsidP="00F564EB">
      <w:r w:rsidRPr="00F564EB">
        <w:t xml:space="preserve">Second, management contracts create inherent agency conflicts between owners and operators (Eyster, 1988). Management fees are typically structured in two parts, comprising a base management fee calculated as a percentage of gross total revenue, and an incentive fee based on net operating profit (Schlup, 2004). Because base fees are earned on top-line revenue, operators may focus on driving total sales volume through aggressive room discounting or costly marketing campaigns that increase base fees but shrink the owner's net operating margin (Turner &amp; </w:t>
      </w:r>
      <w:proofErr w:type="spellStart"/>
      <w:r w:rsidRPr="00F564EB">
        <w:t>Guilding</w:t>
      </w:r>
      <w:proofErr w:type="spellEnd"/>
      <w:r w:rsidRPr="00F564EB">
        <w:t>, 2010). Conversely, owners prioritize net profit after debt service, leading to friction over budget approvals and operational spending (</w:t>
      </w:r>
      <w:proofErr w:type="spellStart"/>
      <w:r w:rsidRPr="00F564EB">
        <w:t>Grosbois</w:t>
      </w:r>
      <w:proofErr w:type="spellEnd"/>
      <w:r w:rsidRPr="00F564EB">
        <w:t>, 2011).</w:t>
      </w:r>
    </w:p>
    <w:p w14:paraId="6359AFF8" w14:textId="77777777" w:rsidR="00F564EB" w:rsidRPr="00F564EB" w:rsidRDefault="00F564EB" w:rsidP="00F564EB">
      <w:r w:rsidRPr="00F564EB">
        <w:t xml:space="preserve">Third, owners experience a significant loss of operational control and input (Eyster, 1988). Under standard contract terms, the management company retains exclusive control over day-to-day operations, employee hiring and firing, operating hours, and service standards (Walker, 2021). Owners are generally restricted from interfering in daily management decisions, which can lead to frustration if the owner feels the operator is overstaffing the property or spending excessively on brand compliance initiatives (Turner &amp; </w:t>
      </w:r>
      <w:proofErr w:type="spellStart"/>
      <w:r w:rsidRPr="00F564EB">
        <w:t>Guilding</w:t>
      </w:r>
      <w:proofErr w:type="spellEnd"/>
      <w:r w:rsidRPr="00F564EB">
        <w:t>, 2010).</w:t>
      </w:r>
    </w:p>
    <w:p w14:paraId="02C0B00A" w14:textId="77777777" w:rsidR="00F564EB" w:rsidRPr="00F564EB" w:rsidRDefault="00F564EB" w:rsidP="00F564EB">
      <w:r w:rsidRPr="00F564EB">
        <w:lastRenderedPageBreak/>
        <w:t>Fourth, long-term contracts can create asset illiquidity and high termination costs (Schlup, 2004). Hotel management agreements historically feature long terms, often ranging from ten to thirty years, accompanied by strict termination penalties (Eyster, 1988). If an owner wishes to sell the real estate, an unexpired management contract tied to the property can reduce the pool of prospective buyers, as many investors prefer unencumbered real estate (</w:t>
      </w:r>
      <w:proofErr w:type="spellStart"/>
      <w:r w:rsidRPr="00F564EB">
        <w:t>Grosbois</w:t>
      </w:r>
      <w:proofErr w:type="spellEnd"/>
      <w:r w:rsidRPr="00F564EB">
        <w:t xml:space="preserve">, 2011). Furthermore, terminating an underperforming operator early can lead to costly legal disputes unless the contract contains clear, enforceable performance termination clauses linked to specific performance metrics like market revenue share or gross operating profit targets (Turner &amp; </w:t>
      </w:r>
      <w:proofErr w:type="spellStart"/>
      <w:r w:rsidRPr="00F564EB">
        <w:t>Guilding</w:t>
      </w:r>
      <w:proofErr w:type="spellEnd"/>
      <w:r w:rsidRPr="00F564EB">
        <w:t>, 2010).</w:t>
      </w:r>
    </w:p>
    <w:p w14:paraId="429C3648" w14:textId="77777777" w:rsidR="00F564EB" w:rsidRDefault="00F564EB" w:rsidP="00F564EB">
      <w:pPr>
        <w:rPr>
          <w:b/>
          <w:bCs/>
        </w:rPr>
      </w:pPr>
    </w:p>
    <w:p w14:paraId="352E152C" w14:textId="491841AC" w:rsidR="00F564EB" w:rsidRPr="00F564EB" w:rsidRDefault="00F564EB" w:rsidP="008C70CB">
      <w:pPr>
        <w:pStyle w:val="Heading1"/>
      </w:pPr>
      <w:r w:rsidRPr="00F564EB">
        <w:t>References</w:t>
      </w:r>
    </w:p>
    <w:p w14:paraId="43EF12E7" w14:textId="77777777" w:rsidR="00F564EB" w:rsidRPr="00F564EB" w:rsidRDefault="00F564EB" w:rsidP="00F564EB">
      <w:pPr>
        <w:numPr>
          <w:ilvl w:val="0"/>
          <w:numId w:val="3"/>
        </w:numPr>
      </w:pPr>
      <w:r w:rsidRPr="00F564EB">
        <w:t xml:space="preserve">Abell, D. F. (1990). </w:t>
      </w:r>
      <w:r w:rsidRPr="00F564EB">
        <w:rPr>
          <w:i/>
          <w:iCs/>
        </w:rPr>
        <w:t>Defining the Business: The Starting Point of Strategic Planning</w:t>
      </w:r>
      <w:r w:rsidRPr="00F564EB">
        <w:t>. Prentice Hall.</w:t>
      </w:r>
    </w:p>
    <w:p w14:paraId="45B4F133" w14:textId="77777777" w:rsidR="00F564EB" w:rsidRPr="00F564EB" w:rsidRDefault="00F564EB" w:rsidP="00F564EB">
      <w:pPr>
        <w:numPr>
          <w:ilvl w:val="0"/>
          <w:numId w:val="3"/>
        </w:numPr>
      </w:pPr>
      <w:r w:rsidRPr="00F564EB">
        <w:t xml:space="preserve">Alon, I. (1999). The internationalization of US franchising systems. </w:t>
      </w:r>
      <w:r w:rsidRPr="00F564EB">
        <w:rPr>
          <w:i/>
          <w:iCs/>
        </w:rPr>
        <w:t>Journal of Global Marketing</w:t>
      </w:r>
      <w:r w:rsidRPr="00F564EB">
        <w:t>, 13(2), 115–131.</w:t>
      </w:r>
    </w:p>
    <w:p w14:paraId="4995FDBB" w14:textId="77777777" w:rsidR="00F564EB" w:rsidRPr="00F564EB" w:rsidRDefault="00F564EB" w:rsidP="00F564EB">
      <w:pPr>
        <w:numPr>
          <w:ilvl w:val="0"/>
          <w:numId w:val="3"/>
        </w:numPr>
      </w:pPr>
      <w:r w:rsidRPr="00F564EB">
        <w:t xml:space="preserve">Bowie, D., Buttle, F., Brookes, M., &amp; Zhang, X. (2016). </w:t>
      </w:r>
      <w:r w:rsidRPr="00F564EB">
        <w:rPr>
          <w:i/>
          <w:iCs/>
        </w:rPr>
        <w:t>Hospitality Marketing: Principles and Practice</w:t>
      </w:r>
      <w:r w:rsidRPr="00F564EB">
        <w:t>. Routledge.</w:t>
      </w:r>
    </w:p>
    <w:p w14:paraId="1A33BE5C" w14:textId="77777777" w:rsidR="00F564EB" w:rsidRPr="00F564EB" w:rsidRDefault="00F564EB" w:rsidP="00F564EB">
      <w:pPr>
        <w:numPr>
          <w:ilvl w:val="0"/>
          <w:numId w:val="3"/>
        </w:numPr>
      </w:pPr>
      <w:r w:rsidRPr="00F564EB">
        <w:t xml:space="preserve">Contractor, F. J., &amp; Kundu, S. C. (1998). Modal choice in a world of alliances: Analyzing organizational forms in the international hotel sector. </w:t>
      </w:r>
      <w:r w:rsidRPr="00F564EB">
        <w:rPr>
          <w:i/>
          <w:iCs/>
        </w:rPr>
        <w:t>Journal of International Business Studies</w:t>
      </w:r>
      <w:r w:rsidRPr="00F564EB">
        <w:t>, 29(2), 325–357.</w:t>
      </w:r>
    </w:p>
    <w:p w14:paraId="4E1A9794" w14:textId="77777777" w:rsidR="00F564EB" w:rsidRPr="00F564EB" w:rsidRDefault="00F564EB" w:rsidP="00F564EB">
      <w:pPr>
        <w:numPr>
          <w:ilvl w:val="0"/>
          <w:numId w:val="3"/>
        </w:numPr>
      </w:pPr>
      <w:r w:rsidRPr="00F564EB">
        <w:t xml:space="preserve">Dev, C. S., Buschman, H. L., &amp; Brown, J. R. (2002). Brands across borders: Choosing the right international expansion strategy. </w:t>
      </w:r>
      <w:r w:rsidRPr="00F564EB">
        <w:rPr>
          <w:i/>
          <w:iCs/>
        </w:rPr>
        <w:t>Cornell Hotel and Restaurant Administration Quarterly</w:t>
      </w:r>
      <w:r w:rsidRPr="00F564EB">
        <w:t>, 43(6), 91–104.</w:t>
      </w:r>
    </w:p>
    <w:p w14:paraId="6D35DF88" w14:textId="77777777" w:rsidR="00F564EB" w:rsidRPr="00F564EB" w:rsidRDefault="00F564EB" w:rsidP="00F564EB">
      <w:pPr>
        <w:numPr>
          <w:ilvl w:val="0"/>
          <w:numId w:val="3"/>
        </w:numPr>
      </w:pPr>
      <w:r w:rsidRPr="00F564EB">
        <w:t xml:space="preserve">Eyster, J. J. (1988). </w:t>
      </w:r>
      <w:r w:rsidRPr="00F564EB">
        <w:rPr>
          <w:i/>
          <w:iCs/>
        </w:rPr>
        <w:t>The Negotiation and Administration of Hotel and Restaurant Management Contracts</w:t>
      </w:r>
      <w:r w:rsidRPr="00F564EB">
        <w:t xml:space="preserve"> (3rd ed.). Center for Hospitality Research, Cornell University.</w:t>
      </w:r>
    </w:p>
    <w:p w14:paraId="46CD4B48" w14:textId="77777777" w:rsidR="00F564EB" w:rsidRPr="00F564EB" w:rsidRDefault="00F564EB" w:rsidP="00F564EB">
      <w:pPr>
        <w:numPr>
          <w:ilvl w:val="0"/>
          <w:numId w:val="3"/>
        </w:numPr>
      </w:pPr>
      <w:proofErr w:type="spellStart"/>
      <w:r w:rsidRPr="00F564EB">
        <w:t>Grosbois</w:t>
      </w:r>
      <w:proofErr w:type="spellEnd"/>
      <w:r w:rsidRPr="00F564EB">
        <w:t xml:space="preserve">, D. (2011). Corporate social responsibility reporting by the global hotel industry. </w:t>
      </w:r>
      <w:r w:rsidRPr="00F564EB">
        <w:rPr>
          <w:i/>
          <w:iCs/>
        </w:rPr>
        <w:t>International Journal of Hospitality Management</w:t>
      </w:r>
      <w:r w:rsidRPr="00F564EB">
        <w:t>, 31(1), 196–205.</w:t>
      </w:r>
    </w:p>
    <w:p w14:paraId="4CCDF221" w14:textId="77777777" w:rsidR="00F564EB" w:rsidRPr="00F564EB" w:rsidRDefault="00F564EB" w:rsidP="00F564EB">
      <w:pPr>
        <w:numPr>
          <w:ilvl w:val="0"/>
          <w:numId w:val="3"/>
        </w:numPr>
      </w:pPr>
      <w:r w:rsidRPr="00F564EB">
        <w:rPr>
          <w:lang w:val="de-DE"/>
        </w:rPr>
        <w:t xml:space="preserve">Kotler, P., Bowen, J. T., Makens, J. C., &amp; Baloglu, S. (2017). </w:t>
      </w:r>
      <w:r w:rsidRPr="00F564EB">
        <w:rPr>
          <w:i/>
          <w:iCs/>
        </w:rPr>
        <w:t>Marketing for Hospitality and Tourism</w:t>
      </w:r>
      <w:r w:rsidRPr="00F564EB">
        <w:t xml:space="preserve"> (7th ed.). Pearson.</w:t>
      </w:r>
    </w:p>
    <w:p w14:paraId="13CEC830" w14:textId="77777777" w:rsidR="00F564EB" w:rsidRPr="00F564EB" w:rsidRDefault="00F564EB" w:rsidP="00F564EB">
      <w:pPr>
        <w:numPr>
          <w:ilvl w:val="0"/>
          <w:numId w:val="3"/>
        </w:numPr>
      </w:pPr>
      <w:r w:rsidRPr="00F564EB">
        <w:t xml:space="preserve">O'Gorman, K. D. (2010). </w:t>
      </w:r>
      <w:r w:rsidRPr="00F564EB">
        <w:rPr>
          <w:i/>
          <w:iCs/>
        </w:rPr>
        <w:t>The Origins of Hospitality and Tourism</w:t>
      </w:r>
      <w:r w:rsidRPr="00F564EB">
        <w:t>. Goodfellow Publishers.</w:t>
      </w:r>
    </w:p>
    <w:p w14:paraId="7EE29800" w14:textId="77777777" w:rsidR="00F564EB" w:rsidRPr="00F564EB" w:rsidRDefault="00F564EB" w:rsidP="00F564EB">
      <w:pPr>
        <w:numPr>
          <w:ilvl w:val="0"/>
          <w:numId w:val="3"/>
        </w:numPr>
      </w:pPr>
      <w:r w:rsidRPr="00F564EB">
        <w:t xml:space="preserve">Roper, A. (1995). The rise of the international hotel consortium. </w:t>
      </w:r>
      <w:r w:rsidRPr="00F564EB">
        <w:rPr>
          <w:i/>
          <w:iCs/>
        </w:rPr>
        <w:t>International Journal of Contemporary Hospitality Management</w:t>
      </w:r>
      <w:r w:rsidRPr="00F564EB">
        <w:t>, 7(7), 4–7.</w:t>
      </w:r>
    </w:p>
    <w:p w14:paraId="55EE2B8A" w14:textId="77777777" w:rsidR="00F564EB" w:rsidRPr="00F564EB" w:rsidRDefault="00F564EB" w:rsidP="00F564EB">
      <w:pPr>
        <w:numPr>
          <w:ilvl w:val="0"/>
          <w:numId w:val="3"/>
        </w:numPr>
      </w:pPr>
      <w:r w:rsidRPr="00F564EB">
        <w:t xml:space="preserve">Schlup, R. (2004). Hotel management agreements: Typical terms and negotiating issues. </w:t>
      </w:r>
      <w:r w:rsidRPr="00F564EB">
        <w:rPr>
          <w:i/>
          <w:iCs/>
        </w:rPr>
        <w:t>Journal of Retail and Leisure Property</w:t>
      </w:r>
      <w:r w:rsidRPr="00F564EB">
        <w:t>, 4(1), 80–89.</w:t>
      </w:r>
    </w:p>
    <w:p w14:paraId="2D092A92" w14:textId="77777777" w:rsidR="00F564EB" w:rsidRPr="00F564EB" w:rsidRDefault="00F564EB" w:rsidP="00F564EB">
      <w:pPr>
        <w:numPr>
          <w:ilvl w:val="0"/>
          <w:numId w:val="3"/>
        </w:numPr>
      </w:pPr>
      <w:r w:rsidRPr="00F564EB">
        <w:t xml:space="preserve">Turner, M. J., &amp; </w:t>
      </w:r>
      <w:proofErr w:type="spellStart"/>
      <w:r w:rsidRPr="00F564EB">
        <w:t>Guilding</w:t>
      </w:r>
      <w:proofErr w:type="spellEnd"/>
      <w:r w:rsidRPr="00F564EB">
        <w:t xml:space="preserve">, C. (2010). Hotel management contracts and the principal-agent problem. </w:t>
      </w:r>
      <w:r w:rsidRPr="00F564EB">
        <w:rPr>
          <w:i/>
          <w:iCs/>
        </w:rPr>
        <w:t>International Journal of Hospitality Management</w:t>
      </w:r>
      <w:r w:rsidRPr="00F564EB">
        <w:t>, 29(4), 586–594.</w:t>
      </w:r>
    </w:p>
    <w:p w14:paraId="53B2E9EC" w14:textId="77777777" w:rsidR="00F564EB" w:rsidRPr="00F564EB" w:rsidRDefault="00F564EB" w:rsidP="00F564EB">
      <w:pPr>
        <w:numPr>
          <w:ilvl w:val="0"/>
          <w:numId w:val="3"/>
        </w:numPr>
      </w:pPr>
      <w:r w:rsidRPr="00F564EB">
        <w:t xml:space="preserve">Walker, J. R. (2021). </w:t>
      </w:r>
      <w:r w:rsidRPr="00F564EB">
        <w:rPr>
          <w:i/>
          <w:iCs/>
        </w:rPr>
        <w:t>Introduction to Hospitality</w:t>
      </w:r>
      <w:r w:rsidRPr="00F564EB">
        <w:t xml:space="preserve"> (8th ed.). Pearson.</w:t>
      </w:r>
    </w:p>
    <w:p w14:paraId="08D12C89" w14:textId="46A6B839" w:rsidR="000E68B1" w:rsidRPr="00F564EB" w:rsidRDefault="000E68B1" w:rsidP="00794642"/>
    <w:sectPr w:rsidR="000E68B1" w:rsidRPr="00F564EB" w:rsidSect="009172AB">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9FEB6528-24D3-4661-822D-E3F8BB4B5BE1}"/>
    <w:embedBold r:id="rId2" w:fontKey="{48C6B4EC-4F58-431E-9D9D-DB39A30CC339}"/>
    <w:embedItalic r:id="rId3" w:fontKey="{41A453DE-C072-4384-95E3-2A1382132D39}"/>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C0F2D0B0-29E1-4785-B74F-65A5B75F74CC}"/>
    <w:embedBold r:id="rId5" w:fontKey="{39F60566-85FE-40D7-824D-40426C493A67}"/>
  </w:font>
  <w:font w:name="Calibri Light">
    <w:panose1 w:val="020F0302020204030204"/>
    <w:charset w:val="00"/>
    <w:family w:val="swiss"/>
    <w:pitch w:val="variable"/>
    <w:sig w:usb0="E4002EFF" w:usb1="C200247B" w:usb2="00000009" w:usb3="00000000" w:csb0="000001FF" w:csb1="00000000"/>
    <w:embedRegular r:id="rId6" w:fontKey="{D178DC85-E2EA-480F-819C-FD36B155F4AD}"/>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365987"/>
    <w:multiLevelType w:val="hybridMultilevel"/>
    <w:tmpl w:val="CDC0EA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3A375DD"/>
    <w:multiLevelType w:val="multilevel"/>
    <w:tmpl w:val="C6C28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9DE7208"/>
    <w:multiLevelType w:val="hybridMultilevel"/>
    <w:tmpl w:val="B9C8AE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27483510">
    <w:abstractNumId w:val="2"/>
  </w:num>
  <w:num w:numId="2" w16cid:durableId="1012683535">
    <w:abstractNumId w:val="0"/>
  </w:num>
  <w:num w:numId="3" w16cid:durableId="14266535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8B1"/>
    <w:rsid w:val="0003533E"/>
    <w:rsid w:val="000E68B1"/>
    <w:rsid w:val="001700EC"/>
    <w:rsid w:val="00174BB1"/>
    <w:rsid w:val="00224FD9"/>
    <w:rsid w:val="00281223"/>
    <w:rsid w:val="002F4AE0"/>
    <w:rsid w:val="00384E8A"/>
    <w:rsid w:val="003D1074"/>
    <w:rsid w:val="00426865"/>
    <w:rsid w:val="00477CAA"/>
    <w:rsid w:val="00502E29"/>
    <w:rsid w:val="005E458B"/>
    <w:rsid w:val="006C34F4"/>
    <w:rsid w:val="00703AB2"/>
    <w:rsid w:val="00794642"/>
    <w:rsid w:val="00844EC2"/>
    <w:rsid w:val="008516FE"/>
    <w:rsid w:val="008C70CB"/>
    <w:rsid w:val="009172AB"/>
    <w:rsid w:val="009C1D0A"/>
    <w:rsid w:val="00A044F7"/>
    <w:rsid w:val="00A8150E"/>
    <w:rsid w:val="00B20343"/>
    <w:rsid w:val="00B344E2"/>
    <w:rsid w:val="00B72487"/>
    <w:rsid w:val="00B85EA7"/>
    <w:rsid w:val="00BE65DD"/>
    <w:rsid w:val="00C612A4"/>
    <w:rsid w:val="00CC6AD1"/>
    <w:rsid w:val="00E6778A"/>
    <w:rsid w:val="00F25F5B"/>
    <w:rsid w:val="00F564EB"/>
    <w:rsid w:val="00F837B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6553FF"/>
  <w15:chartTrackingRefBased/>
  <w15:docId w15:val="{8DD5EBF9-C8DE-1A45-B08F-FBFDA3EFC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68B1"/>
  </w:style>
  <w:style w:type="paragraph" w:styleId="Heading1">
    <w:name w:val="heading 1"/>
    <w:basedOn w:val="NoSpacing"/>
    <w:next w:val="Normal"/>
    <w:link w:val="Heading1Char"/>
    <w:autoRedefine/>
    <w:uiPriority w:val="9"/>
    <w:qFormat/>
    <w:rsid w:val="00F564EB"/>
    <w:pPr>
      <w:keepNext/>
      <w:keepLines/>
      <w:spacing w:before="480"/>
      <w:outlineLvl w:val="0"/>
    </w:pPr>
    <w:rPr>
      <w:rFonts w:ascii="Cambria" w:eastAsiaTheme="majorEastAsia" w:hAnsi="Cambria" w:cstheme="majorBidi"/>
      <w:b/>
      <w:sz w:val="28"/>
      <w:szCs w:val="28"/>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64EB"/>
    <w:rPr>
      <w:rFonts w:ascii="Cambria" w:eastAsiaTheme="majorEastAsia" w:hAnsi="Cambria" w:cstheme="majorBidi"/>
      <w:b/>
      <w:sz w:val="28"/>
      <w:szCs w:val="28"/>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rPr>
  </w:style>
  <w:style w:type="paragraph" w:styleId="ListParagraph">
    <w:name w:val="List Paragraph"/>
    <w:basedOn w:val="Normal"/>
    <w:uiPriority w:val="34"/>
    <w:qFormat/>
    <w:rsid w:val="000E68B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4</Pages>
  <Words>1895</Words>
  <Characters>10802</Characters>
  <Application>Microsoft Office Word</Application>
  <DocSecurity>0</DocSecurity>
  <Lines>90</Lines>
  <Paragraphs>25</Paragraphs>
  <ScaleCrop>false</ScaleCrop>
  <Company/>
  <LinksUpToDate>false</LinksUpToDate>
  <CharactersWithSpaces>12672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Anchalika Saxena</cp:lastModifiedBy>
  <cp:revision>8</cp:revision>
  <dcterms:created xsi:type="dcterms:W3CDTF">2026-04-08T12:12:00Z</dcterms:created>
  <dcterms:modified xsi:type="dcterms:W3CDTF">2026-08-03T14:23:00Z</dcterms:modified>
</cp:coreProperties>
</file>