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28EBE" w14:textId="77777777" w:rsidR="00F70472" w:rsidRDefault="00F70472" w:rsidP="00F70472">
      <w:pPr>
        <w:spacing w:line="360" w:lineRule="auto"/>
        <w:jc w:val="center"/>
        <w:rPr>
          <w:rFonts w:ascii="Times New Roman" w:hAnsi="Times New Roman" w:cs="Times New Roman"/>
          <w:b/>
          <w:bCs/>
        </w:rPr>
      </w:pPr>
      <w:r w:rsidRPr="0035563E">
        <w:rPr>
          <w:rFonts w:ascii="Times New Roman" w:hAnsi="Times New Roman" w:cs="Times New Roman"/>
          <w:b/>
          <w:bCs/>
        </w:rPr>
        <w:drawing>
          <wp:inline distT="0" distB="0" distL="0" distR="0" wp14:anchorId="09B64CF2" wp14:editId="31B2939E">
            <wp:extent cx="2524477" cy="543001"/>
            <wp:effectExtent l="0" t="0" r="0" b="9525"/>
            <wp:docPr id="1791240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240331" name=""/>
                    <pic:cNvPicPr/>
                  </pic:nvPicPr>
                  <pic:blipFill>
                    <a:blip r:embed="rId5"/>
                    <a:stretch>
                      <a:fillRect/>
                    </a:stretch>
                  </pic:blipFill>
                  <pic:spPr>
                    <a:xfrm>
                      <a:off x="0" y="0"/>
                      <a:ext cx="2524477" cy="543001"/>
                    </a:xfrm>
                    <a:prstGeom prst="rect">
                      <a:avLst/>
                    </a:prstGeom>
                  </pic:spPr>
                </pic:pic>
              </a:graphicData>
            </a:graphic>
          </wp:inline>
        </w:drawing>
      </w:r>
    </w:p>
    <w:p w14:paraId="55CB0795" w14:textId="77777777" w:rsidR="00F70472" w:rsidRDefault="00F70472" w:rsidP="00F70472">
      <w:pPr>
        <w:spacing w:line="360" w:lineRule="auto"/>
        <w:jc w:val="center"/>
        <w:rPr>
          <w:rFonts w:ascii="Times New Roman" w:hAnsi="Times New Roman" w:cs="Times New Roman"/>
          <w:b/>
          <w:bCs/>
        </w:rPr>
      </w:pPr>
      <w:r w:rsidRPr="0035563E">
        <w:rPr>
          <w:rFonts w:ascii="Times New Roman" w:hAnsi="Times New Roman" w:cs="Times New Roman"/>
          <w:b/>
          <w:bCs/>
        </w:rPr>
        <w:t>M07 – Socioeconomic and Legal Environment</w:t>
      </w:r>
    </w:p>
    <w:p w14:paraId="2ABC0270" w14:textId="012575EF" w:rsidR="00F70472" w:rsidRDefault="00F70472" w:rsidP="00F70472">
      <w:pPr>
        <w:spacing w:line="360" w:lineRule="auto"/>
        <w:jc w:val="center"/>
        <w:rPr>
          <w:rFonts w:ascii="Times New Roman" w:hAnsi="Times New Roman" w:cs="Times New Roman"/>
          <w:b/>
          <w:bCs/>
        </w:rPr>
      </w:pPr>
      <w:r w:rsidRPr="00F70472">
        <w:rPr>
          <w:rFonts w:ascii="Times New Roman" w:hAnsi="Times New Roman" w:cs="Times New Roman"/>
          <w:b/>
          <w:bCs/>
        </w:rPr>
        <w:t>Option 2: Legal and Regulatory Environment in Business Operations</w:t>
      </w:r>
    </w:p>
    <w:p w14:paraId="24035105" w14:textId="77777777" w:rsidR="00F70472" w:rsidRDefault="00F70472" w:rsidP="00F70472">
      <w:pPr>
        <w:spacing w:line="360" w:lineRule="auto"/>
        <w:jc w:val="center"/>
        <w:rPr>
          <w:rFonts w:ascii="Times New Roman" w:hAnsi="Times New Roman" w:cs="Times New Roman"/>
          <w:b/>
          <w:bCs/>
        </w:rPr>
      </w:pPr>
    </w:p>
    <w:p w14:paraId="18C77426" w14:textId="77777777" w:rsidR="00F70472" w:rsidRDefault="00F70472" w:rsidP="00F70472">
      <w:pPr>
        <w:spacing w:line="360" w:lineRule="auto"/>
        <w:jc w:val="center"/>
        <w:rPr>
          <w:rFonts w:ascii="Times New Roman" w:hAnsi="Times New Roman" w:cs="Times New Roman"/>
          <w:b/>
          <w:bCs/>
        </w:rPr>
      </w:pPr>
    </w:p>
    <w:p w14:paraId="71550F09" w14:textId="77777777" w:rsidR="00F70472" w:rsidRDefault="00F70472" w:rsidP="00F70472">
      <w:pPr>
        <w:spacing w:line="360" w:lineRule="auto"/>
        <w:jc w:val="center"/>
        <w:rPr>
          <w:rFonts w:ascii="Times New Roman" w:hAnsi="Times New Roman" w:cs="Times New Roman"/>
          <w:b/>
          <w:bCs/>
        </w:rPr>
      </w:pPr>
    </w:p>
    <w:p w14:paraId="0747C83A" w14:textId="77777777" w:rsidR="00F70472" w:rsidRDefault="00F70472" w:rsidP="00F70472">
      <w:pPr>
        <w:spacing w:line="360" w:lineRule="auto"/>
        <w:jc w:val="center"/>
        <w:rPr>
          <w:rFonts w:ascii="Times New Roman" w:hAnsi="Times New Roman" w:cs="Times New Roman"/>
          <w:b/>
          <w:bCs/>
        </w:rPr>
      </w:pPr>
    </w:p>
    <w:p w14:paraId="0AC65F6D" w14:textId="77777777" w:rsidR="00F70472" w:rsidRDefault="00F70472" w:rsidP="00F70472">
      <w:pPr>
        <w:spacing w:line="360" w:lineRule="auto"/>
        <w:jc w:val="center"/>
        <w:rPr>
          <w:rFonts w:ascii="Times New Roman" w:hAnsi="Times New Roman" w:cs="Times New Roman"/>
          <w:b/>
          <w:bCs/>
        </w:rPr>
      </w:pPr>
    </w:p>
    <w:p w14:paraId="0ED86673" w14:textId="77777777" w:rsidR="00F70472" w:rsidRDefault="00F70472" w:rsidP="00F70472">
      <w:pPr>
        <w:spacing w:line="360" w:lineRule="auto"/>
        <w:jc w:val="center"/>
        <w:rPr>
          <w:rFonts w:ascii="Times New Roman" w:hAnsi="Times New Roman" w:cs="Times New Roman"/>
          <w:b/>
          <w:bCs/>
        </w:rPr>
      </w:pPr>
    </w:p>
    <w:p w14:paraId="6AFA000B" w14:textId="77777777" w:rsidR="00F70472" w:rsidRDefault="00F70472" w:rsidP="00F70472">
      <w:pPr>
        <w:spacing w:line="360" w:lineRule="auto"/>
        <w:jc w:val="center"/>
        <w:rPr>
          <w:rFonts w:ascii="Times New Roman" w:hAnsi="Times New Roman" w:cs="Times New Roman"/>
          <w:b/>
          <w:bCs/>
        </w:rPr>
      </w:pPr>
    </w:p>
    <w:p w14:paraId="291329C8" w14:textId="77777777" w:rsidR="00F70472" w:rsidRDefault="00F70472" w:rsidP="00F70472">
      <w:pPr>
        <w:spacing w:line="360" w:lineRule="auto"/>
        <w:jc w:val="center"/>
        <w:rPr>
          <w:rFonts w:ascii="Times New Roman" w:hAnsi="Times New Roman" w:cs="Times New Roman"/>
          <w:b/>
          <w:bCs/>
        </w:rPr>
      </w:pPr>
    </w:p>
    <w:p w14:paraId="4D44E1AF" w14:textId="77777777" w:rsidR="00F70472" w:rsidRDefault="00F70472" w:rsidP="00F70472">
      <w:pPr>
        <w:spacing w:line="360" w:lineRule="auto"/>
        <w:jc w:val="center"/>
        <w:rPr>
          <w:rFonts w:ascii="Times New Roman" w:hAnsi="Times New Roman" w:cs="Times New Roman"/>
          <w:b/>
          <w:bCs/>
        </w:rPr>
      </w:pPr>
    </w:p>
    <w:p w14:paraId="2AD652B9" w14:textId="77777777" w:rsidR="00F70472" w:rsidRDefault="00F70472" w:rsidP="00F70472">
      <w:pPr>
        <w:spacing w:line="360" w:lineRule="auto"/>
        <w:jc w:val="center"/>
        <w:rPr>
          <w:rFonts w:ascii="Times New Roman" w:hAnsi="Times New Roman" w:cs="Times New Roman"/>
          <w:b/>
          <w:bCs/>
        </w:rPr>
      </w:pPr>
    </w:p>
    <w:p w14:paraId="067A690C" w14:textId="77777777" w:rsidR="00F70472" w:rsidRDefault="00F70472" w:rsidP="00F70472">
      <w:pPr>
        <w:spacing w:line="360" w:lineRule="auto"/>
        <w:jc w:val="center"/>
        <w:rPr>
          <w:rFonts w:ascii="Times New Roman" w:hAnsi="Times New Roman" w:cs="Times New Roman"/>
          <w:b/>
          <w:bCs/>
        </w:rPr>
      </w:pPr>
    </w:p>
    <w:p w14:paraId="6450E760" w14:textId="77777777" w:rsidR="00F70472" w:rsidRDefault="00F70472" w:rsidP="00F70472">
      <w:pPr>
        <w:spacing w:line="360" w:lineRule="auto"/>
        <w:jc w:val="center"/>
        <w:rPr>
          <w:rFonts w:ascii="Times New Roman" w:hAnsi="Times New Roman" w:cs="Times New Roman"/>
          <w:b/>
          <w:bCs/>
        </w:rPr>
      </w:pPr>
    </w:p>
    <w:p w14:paraId="59DC7CEC" w14:textId="77777777" w:rsidR="00F70472" w:rsidRDefault="00F70472" w:rsidP="00F70472">
      <w:pPr>
        <w:spacing w:line="360" w:lineRule="auto"/>
        <w:jc w:val="center"/>
        <w:rPr>
          <w:rFonts w:ascii="Times New Roman" w:hAnsi="Times New Roman" w:cs="Times New Roman"/>
          <w:b/>
          <w:bCs/>
        </w:rPr>
      </w:pPr>
    </w:p>
    <w:p w14:paraId="7EEA1F84" w14:textId="77777777" w:rsidR="00F70472" w:rsidRDefault="00F70472" w:rsidP="00F70472">
      <w:pPr>
        <w:spacing w:line="360" w:lineRule="auto"/>
        <w:jc w:val="center"/>
        <w:rPr>
          <w:rFonts w:ascii="Times New Roman" w:hAnsi="Times New Roman" w:cs="Times New Roman"/>
          <w:b/>
          <w:bCs/>
        </w:rPr>
      </w:pPr>
    </w:p>
    <w:p w14:paraId="74C53F3D" w14:textId="77777777" w:rsidR="00F70472" w:rsidRDefault="00F70472" w:rsidP="00F70472">
      <w:pPr>
        <w:spacing w:line="360" w:lineRule="auto"/>
        <w:jc w:val="center"/>
        <w:rPr>
          <w:rFonts w:ascii="Times New Roman" w:hAnsi="Times New Roman" w:cs="Times New Roman"/>
          <w:b/>
          <w:bCs/>
        </w:rPr>
      </w:pPr>
    </w:p>
    <w:p w14:paraId="0A04D65D" w14:textId="77777777" w:rsidR="00F70472" w:rsidRDefault="00F70472" w:rsidP="00F70472">
      <w:pPr>
        <w:spacing w:line="360" w:lineRule="auto"/>
        <w:jc w:val="center"/>
        <w:rPr>
          <w:rFonts w:ascii="Times New Roman" w:hAnsi="Times New Roman" w:cs="Times New Roman"/>
          <w:b/>
          <w:bCs/>
        </w:rPr>
      </w:pPr>
    </w:p>
    <w:p w14:paraId="03ABA2E7" w14:textId="77777777" w:rsidR="00F70472" w:rsidRDefault="00F70472" w:rsidP="00F70472">
      <w:pPr>
        <w:spacing w:line="360" w:lineRule="auto"/>
        <w:jc w:val="center"/>
        <w:rPr>
          <w:rFonts w:ascii="Times New Roman" w:hAnsi="Times New Roman" w:cs="Times New Roman"/>
          <w:b/>
          <w:bCs/>
        </w:rPr>
      </w:pPr>
    </w:p>
    <w:p w14:paraId="7580EC73" w14:textId="77777777" w:rsidR="00F70472" w:rsidRDefault="00F70472" w:rsidP="00F70472">
      <w:pPr>
        <w:spacing w:line="360" w:lineRule="auto"/>
        <w:jc w:val="center"/>
        <w:rPr>
          <w:rFonts w:ascii="Times New Roman" w:hAnsi="Times New Roman" w:cs="Times New Roman"/>
          <w:b/>
          <w:bCs/>
        </w:rPr>
      </w:pPr>
    </w:p>
    <w:p w14:paraId="7568354F" w14:textId="77777777" w:rsidR="00F70472" w:rsidRDefault="00F70472" w:rsidP="00F70472">
      <w:pPr>
        <w:spacing w:line="360" w:lineRule="auto"/>
        <w:jc w:val="center"/>
        <w:rPr>
          <w:rFonts w:ascii="Times New Roman" w:hAnsi="Times New Roman" w:cs="Times New Roman"/>
          <w:b/>
          <w:bCs/>
        </w:rPr>
      </w:pPr>
    </w:p>
    <w:p w14:paraId="0E038392" w14:textId="24DD17B1" w:rsidR="00F70472" w:rsidRPr="00F70472" w:rsidRDefault="00F70472" w:rsidP="00F70472">
      <w:pPr>
        <w:spacing w:line="360" w:lineRule="auto"/>
        <w:rPr>
          <w:rFonts w:ascii="Times New Roman" w:hAnsi="Times New Roman" w:cs="Times New Roman"/>
          <w:b/>
          <w:bCs/>
        </w:rPr>
      </w:pPr>
      <w:r w:rsidRPr="00F70472">
        <w:rPr>
          <w:rFonts w:ascii="Times New Roman" w:hAnsi="Times New Roman" w:cs="Times New Roman"/>
          <w:b/>
          <w:bCs/>
        </w:rPr>
        <w:lastRenderedPageBreak/>
        <w:t xml:space="preserve">Abstract </w:t>
      </w:r>
    </w:p>
    <w:p w14:paraId="37DB2DEA"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t>The contemporary business environment operates within a complex network of legal frameworks, regulatory obligations and governance expectations that significantly influence organisational strategies and operational decisions. This report critically examines the role of legal and regulatory environments in shaping business operations, with particular focus on corporate law, employment regulations, intellectual property protection, consumer protection, data privacy requirements and competition law. The study explores how compliance obligations function not only as mechanisms for controlling organisational risk but also as drivers of innovation, ethical responsibility and sustainable business practices.</w:t>
      </w:r>
    </w:p>
    <w:p w14:paraId="6E7D347C"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t>Using a qualitative analytical methodology based on secondary research, academic literature and real-world corporate examples, the report evaluates the relationship between regulatory frameworks and organisational performance. The analysis highlights that businesses must integrate legal compliance into strategic decision-making processes rather than treating it as an administrative requirement. Regulatory failures can result in financial penalties, reputational damage and loss of stakeholder trust, whereas effective compliance systems can create competitive advantages and strengthen corporate resilience.</w:t>
      </w:r>
    </w:p>
    <w:p w14:paraId="54536804"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t>The findings demonstrate that corporate governance, ethical leadership and proactive risk management are essential for navigating evolving regulatory landscapes. The report concludes that organisations achieving alignment between legal obligations and strategic objectives are better positioned to maintain sustainability, stakeholder confidence and long-term business success.</w:t>
      </w:r>
    </w:p>
    <w:p w14:paraId="1ECA3BBE" w14:textId="741398F9" w:rsidR="00F70472" w:rsidRDefault="00F70472" w:rsidP="00F70472">
      <w:pPr>
        <w:spacing w:line="360" w:lineRule="auto"/>
        <w:rPr>
          <w:rFonts w:ascii="Times New Roman" w:hAnsi="Times New Roman" w:cs="Times New Roman"/>
        </w:rPr>
      </w:pPr>
    </w:p>
    <w:p w14:paraId="3F9FDB81" w14:textId="77777777" w:rsidR="00F70472" w:rsidRDefault="00F70472" w:rsidP="00F70472">
      <w:pPr>
        <w:spacing w:line="360" w:lineRule="auto"/>
        <w:rPr>
          <w:rFonts w:ascii="Times New Roman" w:hAnsi="Times New Roman" w:cs="Times New Roman"/>
        </w:rPr>
      </w:pPr>
    </w:p>
    <w:p w14:paraId="6EB14C67" w14:textId="77777777" w:rsidR="00CF085C" w:rsidRDefault="00CF085C" w:rsidP="00F70472">
      <w:pPr>
        <w:spacing w:line="360" w:lineRule="auto"/>
        <w:rPr>
          <w:rFonts w:ascii="Times New Roman" w:hAnsi="Times New Roman" w:cs="Times New Roman"/>
        </w:rPr>
      </w:pPr>
    </w:p>
    <w:p w14:paraId="2DFBF341" w14:textId="77777777" w:rsidR="00CF085C" w:rsidRDefault="00CF085C" w:rsidP="00F70472">
      <w:pPr>
        <w:spacing w:line="360" w:lineRule="auto"/>
        <w:rPr>
          <w:rFonts w:ascii="Times New Roman" w:hAnsi="Times New Roman" w:cs="Times New Roman"/>
        </w:rPr>
      </w:pPr>
    </w:p>
    <w:p w14:paraId="339A607B" w14:textId="77777777" w:rsidR="00CF085C" w:rsidRDefault="00CF085C" w:rsidP="00F70472">
      <w:pPr>
        <w:spacing w:line="360" w:lineRule="auto"/>
        <w:rPr>
          <w:rFonts w:ascii="Times New Roman" w:hAnsi="Times New Roman" w:cs="Times New Roman"/>
        </w:rPr>
      </w:pPr>
    </w:p>
    <w:p w14:paraId="37E1873D" w14:textId="77777777" w:rsidR="00CF085C" w:rsidRDefault="00CF085C" w:rsidP="00F70472">
      <w:pPr>
        <w:spacing w:line="360" w:lineRule="auto"/>
        <w:rPr>
          <w:rFonts w:ascii="Times New Roman" w:hAnsi="Times New Roman" w:cs="Times New Roma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56"/>
        <w:gridCol w:w="6439"/>
        <w:gridCol w:w="982"/>
      </w:tblGrid>
      <w:tr w:rsidR="00CF085C" w:rsidRPr="00CF085C" w14:paraId="7B22FC20" w14:textId="77777777">
        <w:trPr>
          <w:tblHeader/>
          <w:tblCellSpacing w:w="15" w:type="dxa"/>
        </w:trPr>
        <w:tc>
          <w:tcPr>
            <w:tcW w:w="0" w:type="auto"/>
            <w:vAlign w:val="center"/>
            <w:hideMark/>
          </w:tcPr>
          <w:p w14:paraId="2D483591"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lastRenderedPageBreak/>
              <w:t>Section</w:t>
            </w:r>
          </w:p>
        </w:tc>
        <w:tc>
          <w:tcPr>
            <w:tcW w:w="0" w:type="auto"/>
            <w:vAlign w:val="center"/>
            <w:hideMark/>
          </w:tcPr>
          <w:p w14:paraId="463BC21C"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Title</w:t>
            </w:r>
          </w:p>
        </w:tc>
        <w:tc>
          <w:tcPr>
            <w:tcW w:w="0" w:type="auto"/>
            <w:vAlign w:val="center"/>
            <w:hideMark/>
          </w:tcPr>
          <w:p w14:paraId="7D92931F"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Page No.</w:t>
            </w:r>
          </w:p>
        </w:tc>
      </w:tr>
      <w:tr w:rsidR="00CF085C" w:rsidRPr="00CF085C" w14:paraId="00F0B082" w14:textId="77777777">
        <w:trPr>
          <w:tblCellSpacing w:w="15" w:type="dxa"/>
        </w:trPr>
        <w:tc>
          <w:tcPr>
            <w:tcW w:w="0" w:type="auto"/>
            <w:vAlign w:val="center"/>
            <w:hideMark/>
          </w:tcPr>
          <w:p w14:paraId="082F5F2D" w14:textId="77777777" w:rsidR="00CF085C" w:rsidRPr="00CF085C" w:rsidRDefault="00CF085C" w:rsidP="00CF085C">
            <w:pPr>
              <w:spacing w:line="360" w:lineRule="auto"/>
              <w:rPr>
                <w:rFonts w:ascii="Times New Roman" w:hAnsi="Times New Roman" w:cs="Times New Roman"/>
                <w:b/>
                <w:bCs/>
              </w:rPr>
            </w:pPr>
          </w:p>
        </w:tc>
        <w:tc>
          <w:tcPr>
            <w:tcW w:w="0" w:type="auto"/>
            <w:vAlign w:val="center"/>
            <w:hideMark/>
          </w:tcPr>
          <w:p w14:paraId="1C62E517"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Title Page</w:t>
            </w:r>
          </w:p>
        </w:tc>
        <w:tc>
          <w:tcPr>
            <w:tcW w:w="0" w:type="auto"/>
            <w:vAlign w:val="center"/>
            <w:hideMark/>
          </w:tcPr>
          <w:p w14:paraId="18FB6F7C" w14:textId="77777777" w:rsidR="00CF085C" w:rsidRPr="00CF085C" w:rsidRDefault="00CF085C" w:rsidP="00CF085C">
            <w:pPr>
              <w:spacing w:line="360" w:lineRule="auto"/>
              <w:rPr>
                <w:rFonts w:ascii="Times New Roman" w:hAnsi="Times New Roman" w:cs="Times New Roman"/>
              </w:rPr>
            </w:pPr>
            <w:proofErr w:type="spellStart"/>
            <w:r w:rsidRPr="00CF085C">
              <w:rPr>
                <w:rFonts w:ascii="Times New Roman" w:hAnsi="Times New Roman" w:cs="Times New Roman"/>
              </w:rPr>
              <w:t>i</w:t>
            </w:r>
            <w:proofErr w:type="spellEnd"/>
          </w:p>
        </w:tc>
      </w:tr>
      <w:tr w:rsidR="00CF085C" w:rsidRPr="00CF085C" w14:paraId="38BAFC9A" w14:textId="77777777">
        <w:trPr>
          <w:tblCellSpacing w:w="15" w:type="dxa"/>
        </w:trPr>
        <w:tc>
          <w:tcPr>
            <w:tcW w:w="0" w:type="auto"/>
            <w:vAlign w:val="center"/>
            <w:hideMark/>
          </w:tcPr>
          <w:p w14:paraId="2CB01124" w14:textId="77777777" w:rsidR="00CF085C" w:rsidRPr="00CF085C" w:rsidRDefault="00CF085C" w:rsidP="00CF085C">
            <w:pPr>
              <w:spacing w:line="360" w:lineRule="auto"/>
              <w:rPr>
                <w:rFonts w:ascii="Times New Roman" w:hAnsi="Times New Roman" w:cs="Times New Roman"/>
              </w:rPr>
            </w:pPr>
          </w:p>
        </w:tc>
        <w:tc>
          <w:tcPr>
            <w:tcW w:w="0" w:type="auto"/>
            <w:vAlign w:val="center"/>
            <w:hideMark/>
          </w:tcPr>
          <w:p w14:paraId="798E6878"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Abstract</w:t>
            </w:r>
          </w:p>
        </w:tc>
        <w:tc>
          <w:tcPr>
            <w:tcW w:w="0" w:type="auto"/>
            <w:vAlign w:val="center"/>
            <w:hideMark/>
          </w:tcPr>
          <w:p w14:paraId="674AB97E"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ii</w:t>
            </w:r>
          </w:p>
        </w:tc>
      </w:tr>
      <w:tr w:rsidR="00CF085C" w:rsidRPr="00CF085C" w14:paraId="666B64C8" w14:textId="77777777">
        <w:trPr>
          <w:tblCellSpacing w:w="15" w:type="dxa"/>
        </w:trPr>
        <w:tc>
          <w:tcPr>
            <w:tcW w:w="0" w:type="auto"/>
            <w:vAlign w:val="center"/>
            <w:hideMark/>
          </w:tcPr>
          <w:p w14:paraId="78797403" w14:textId="77777777" w:rsidR="00CF085C" w:rsidRPr="00CF085C" w:rsidRDefault="00CF085C" w:rsidP="00CF085C">
            <w:pPr>
              <w:spacing w:line="360" w:lineRule="auto"/>
              <w:rPr>
                <w:rFonts w:ascii="Times New Roman" w:hAnsi="Times New Roman" w:cs="Times New Roman"/>
              </w:rPr>
            </w:pPr>
          </w:p>
        </w:tc>
        <w:tc>
          <w:tcPr>
            <w:tcW w:w="0" w:type="auto"/>
            <w:vAlign w:val="center"/>
            <w:hideMark/>
          </w:tcPr>
          <w:p w14:paraId="66648FA6"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Table of Contents</w:t>
            </w:r>
          </w:p>
        </w:tc>
        <w:tc>
          <w:tcPr>
            <w:tcW w:w="0" w:type="auto"/>
            <w:vAlign w:val="center"/>
            <w:hideMark/>
          </w:tcPr>
          <w:p w14:paraId="3AE7B72F"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iii</w:t>
            </w:r>
          </w:p>
        </w:tc>
      </w:tr>
      <w:tr w:rsidR="00CF085C" w:rsidRPr="00CF085C" w14:paraId="02AB71BA" w14:textId="77777777">
        <w:trPr>
          <w:tblCellSpacing w:w="15" w:type="dxa"/>
        </w:trPr>
        <w:tc>
          <w:tcPr>
            <w:tcW w:w="0" w:type="auto"/>
            <w:vAlign w:val="center"/>
            <w:hideMark/>
          </w:tcPr>
          <w:p w14:paraId="41063D46"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1.0</w:t>
            </w:r>
          </w:p>
        </w:tc>
        <w:tc>
          <w:tcPr>
            <w:tcW w:w="0" w:type="auto"/>
            <w:vAlign w:val="center"/>
            <w:hideMark/>
          </w:tcPr>
          <w:p w14:paraId="2769807F"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Introduction</w:t>
            </w:r>
          </w:p>
        </w:tc>
        <w:tc>
          <w:tcPr>
            <w:tcW w:w="0" w:type="auto"/>
            <w:vAlign w:val="center"/>
            <w:hideMark/>
          </w:tcPr>
          <w:p w14:paraId="1573485A"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1</w:t>
            </w:r>
          </w:p>
        </w:tc>
      </w:tr>
      <w:tr w:rsidR="00CF085C" w:rsidRPr="00CF085C" w14:paraId="51E1FBE2" w14:textId="77777777">
        <w:trPr>
          <w:tblCellSpacing w:w="15" w:type="dxa"/>
        </w:trPr>
        <w:tc>
          <w:tcPr>
            <w:tcW w:w="0" w:type="auto"/>
            <w:vAlign w:val="center"/>
            <w:hideMark/>
          </w:tcPr>
          <w:p w14:paraId="0636958F"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2.0</w:t>
            </w:r>
          </w:p>
        </w:tc>
        <w:tc>
          <w:tcPr>
            <w:tcW w:w="0" w:type="auto"/>
            <w:vAlign w:val="center"/>
            <w:hideMark/>
          </w:tcPr>
          <w:p w14:paraId="77145023"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Literature Review</w:t>
            </w:r>
          </w:p>
        </w:tc>
        <w:tc>
          <w:tcPr>
            <w:tcW w:w="0" w:type="auto"/>
            <w:vAlign w:val="center"/>
            <w:hideMark/>
          </w:tcPr>
          <w:p w14:paraId="61534098"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2</w:t>
            </w:r>
          </w:p>
        </w:tc>
      </w:tr>
      <w:tr w:rsidR="00CF085C" w:rsidRPr="00CF085C" w14:paraId="3197430C" w14:textId="77777777">
        <w:trPr>
          <w:tblCellSpacing w:w="15" w:type="dxa"/>
        </w:trPr>
        <w:tc>
          <w:tcPr>
            <w:tcW w:w="0" w:type="auto"/>
            <w:vAlign w:val="center"/>
            <w:hideMark/>
          </w:tcPr>
          <w:p w14:paraId="6588DFD2"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2.1</w:t>
            </w:r>
          </w:p>
        </w:tc>
        <w:tc>
          <w:tcPr>
            <w:tcW w:w="0" w:type="auto"/>
            <w:vAlign w:val="center"/>
            <w:hideMark/>
          </w:tcPr>
          <w:p w14:paraId="4EFF6982"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Understanding the Legal and Regulatory Environment in Business</w:t>
            </w:r>
          </w:p>
        </w:tc>
        <w:tc>
          <w:tcPr>
            <w:tcW w:w="0" w:type="auto"/>
            <w:vAlign w:val="center"/>
            <w:hideMark/>
          </w:tcPr>
          <w:p w14:paraId="377F817C"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2</w:t>
            </w:r>
          </w:p>
        </w:tc>
      </w:tr>
      <w:tr w:rsidR="00CF085C" w:rsidRPr="00CF085C" w14:paraId="241E527C" w14:textId="77777777">
        <w:trPr>
          <w:tblCellSpacing w:w="15" w:type="dxa"/>
        </w:trPr>
        <w:tc>
          <w:tcPr>
            <w:tcW w:w="0" w:type="auto"/>
            <w:vAlign w:val="center"/>
            <w:hideMark/>
          </w:tcPr>
          <w:p w14:paraId="12F3E466"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2.2</w:t>
            </w:r>
          </w:p>
        </w:tc>
        <w:tc>
          <w:tcPr>
            <w:tcW w:w="0" w:type="auto"/>
            <w:vAlign w:val="center"/>
            <w:hideMark/>
          </w:tcPr>
          <w:p w14:paraId="318DEA02"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Corporate Law and Organisational Decision-Making</w:t>
            </w:r>
          </w:p>
        </w:tc>
        <w:tc>
          <w:tcPr>
            <w:tcW w:w="0" w:type="auto"/>
            <w:vAlign w:val="center"/>
            <w:hideMark/>
          </w:tcPr>
          <w:p w14:paraId="2C57171C"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3</w:t>
            </w:r>
          </w:p>
        </w:tc>
      </w:tr>
      <w:tr w:rsidR="00CF085C" w:rsidRPr="00CF085C" w14:paraId="6A521A0A" w14:textId="77777777">
        <w:trPr>
          <w:tblCellSpacing w:w="15" w:type="dxa"/>
        </w:trPr>
        <w:tc>
          <w:tcPr>
            <w:tcW w:w="0" w:type="auto"/>
            <w:vAlign w:val="center"/>
            <w:hideMark/>
          </w:tcPr>
          <w:p w14:paraId="3A4F1333"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2.3</w:t>
            </w:r>
          </w:p>
        </w:tc>
        <w:tc>
          <w:tcPr>
            <w:tcW w:w="0" w:type="auto"/>
            <w:vAlign w:val="center"/>
            <w:hideMark/>
          </w:tcPr>
          <w:p w14:paraId="06A04F31"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Employment Law and Workforce Management</w:t>
            </w:r>
          </w:p>
        </w:tc>
        <w:tc>
          <w:tcPr>
            <w:tcW w:w="0" w:type="auto"/>
            <w:vAlign w:val="center"/>
            <w:hideMark/>
          </w:tcPr>
          <w:p w14:paraId="4F0ABF1A"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4</w:t>
            </w:r>
          </w:p>
        </w:tc>
      </w:tr>
      <w:tr w:rsidR="00CF085C" w:rsidRPr="00CF085C" w14:paraId="65B120B4" w14:textId="77777777">
        <w:trPr>
          <w:tblCellSpacing w:w="15" w:type="dxa"/>
        </w:trPr>
        <w:tc>
          <w:tcPr>
            <w:tcW w:w="0" w:type="auto"/>
            <w:vAlign w:val="center"/>
            <w:hideMark/>
          </w:tcPr>
          <w:p w14:paraId="6ABDEA6A"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2.4</w:t>
            </w:r>
          </w:p>
        </w:tc>
        <w:tc>
          <w:tcPr>
            <w:tcW w:w="0" w:type="auto"/>
            <w:vAlign w:val="center"/>
            <w:hideMark/>
          </w:tcPr>
          <w:p w14:paraId="12D6DD38"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Intellectual Property Law and Innovation</w:t>
            </w:r>
          </w:p>
        </w:tc>
        <w:tc>
          <w:tcPr>
            <w:tcW w:w="0" w:type="auto"/>
            <w:vAlign w:val="center"/>
            <w:hideMark/>
          </w:tcPr>
          <w:p w14:paraId="57F178B8"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5</w:t>
            </w:r>
          </w:p>
        </w:tc>
      </w:tr>
      <w:tr w:rsidR="00CF085C" w:rsidRPr="00CF085C" w14:paraId="63162E92" w14:textId="77777777">
        <w:trPr>
          <w:tblCellSpacing w:w="15" w:type="dxa"/>
        </w:trPr>
        <w:tc>
          <w:tcPr>
            <w:tcW w:w="0" w:type="auto"/>
            <w:vAlign w:val="center"/>
            <w:hideMark/>
          </w:tcPr>
          <w:p w14:paraId="57408EE1"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2.5</w:t>
            </w:r>
          </w:p>
        </w:tc>
        <w:tc>
          <w:tcPr>
            <w:tcW w:w="0" w:type="auto"/>
            <w:vAlign w:val="center"/>
            <w:hideMark/>
          </w:tcPr>
          <w:p w14:paraId="62B62062"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Consumer Protection and Ethical Business Practices</w:t>
            </w:r>
          </w:p>
        </w:tc>
        <w:tc>
          <w:tcPr>
            <w:tcW w:w="0" w:type="auto"/>
            <w:vAlign w:val="center"/>
            <w:hideMark/>
          </w:tcPr>
          <w:p w14:paraId="000536DB"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6</w:t>
            </w:r>
          </w:p>
        </w:tc>
      </w:tr>
      <w:tr w:rsidR="00CF085C" w:rsidRPr="00CF085C" w14:paraId="58C39CA4" w14:textId="77777777">
        <w:trPr>
          <w:tblCellSpacing w:w="15" w:type="dxa"/>
        </w:trPr>
        <w:tc>
          <w:tcPr>
            <w:tcW w:w="0" w:type="auto"/>
            <w:vAlign w:val="center"/>
            <w:hideMark/>
          </w:tcPr>
          <w:p w14:paraId="65058E06"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2.6</w:t>
            </w:r>
          </w:p>
        </w:tc>
        <w:tc>
          <w:tcPr>
            <w:tcW w:w="0" w:type="auto"/>
            <w:vAlign w:val="center"/>
            <w:hideMark/>
          </w:tcPr>
          <w:p w14:paraId="212674F7"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Data Protection Regulations and Digital Business Operations</w:t>
            </w:r>
          </w:p>
        </w:tc>
        <w:tc>
          <w:tcPr>
            <w:tcW w:w="0" w:type="auto"/>
            <w:vAlign w:val="center"/>
            <w:hideMark/>
          </w:tcPr>
          <w:p w14:paraId="5B61FA13"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7</w:t>
            </w:r>
          </w:p>
        </w:tc>
      </w:tr>
      <w:tr w:rsidR="00CF085C" w:rsidRPr="00CF085C" w14:paraId="4B887E86" w14:textId="77777777">
        <w:trPr>
          <w:tblCellSpacing w:w="15" w:type="dxa"/>
        </w:trPr>
        <w:tc>
          <w:tcPr>
            <w:tcW w:w="0" w:type="auto"/>
            <w:vAlign w:val="center"/>
            <w:hideMark/>
          </w:tcPr>
          <w:p w14:paraId="635D3570"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2.7</w:t>
            </w:r>
          </w:p>
        </w:tc>
        <w:tc>
          <w:tcPr>
            <w:tcW w:w="0" w:type="auto"/>
            <w:vAlign w:val="center"/>
            <w:hideMark/>
          </w:tcPr>
          <w:p w14:paraId="09D7FF2E"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Regulation as Both Constraint and Business Opportunity</w:t>
            </w:r>
          </w:p>
        </w:tc>
        <w:tc>
          <w:tcPr>
            <w:tcW w:w="0" w:type="auto"/>
            <w:vAlign w:val="center"/>
            <w:hideMark/>
          </w:tcPr>
          <w:p w14:paraId="3E6533FE"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8</w:t>
            </w:r>
          </w:p>
        </w:tc>
      </w:tr>
      <w:tr w:rsidR="00CF085C" w:rsidRPr="00CF085C" w14:paraId="3CD1E980" w14:textId="77777777">
        <w:trPr>
          <w:tblCellSpacing w:w="15" w:type="dxa"/>
        </w:trPr>
        <w:tc>
          <w:tcPr>
            <w:tcW w:w="0" w:type="auto"/>
            <w:vAlign w:val="center"/>
            <w:hideMark/>
          </w:tcPr>
          <w:p w14:paraId="4E6AC00F"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2.8</w:t>
            </w:r>
          </w:p>
        </w:tc>
        <w:tc>
          <w:tcPr>
            <w:tcW w:w="0" w:type="auto"/>
            <w:vAlign w:val="center"/>
            <w:hideMark/>
          </w:tcPr>
          <w:p w14:paraId="7056D012"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Research Gap</w:t>
            </w:r>
          </w:p>
        </w:tc>
        <w:tc>
          <w:tcPr>
            <w:tcW w:w="0" w:type="auto"/>
            <w:vAlign w:val="center"/>
            <w:hideMark/>
          </w:tcPr>
          <w:p w14:paraId="4D792D76"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9</w:t>
            </w:r>
          </w:p>
        </w:tc>
      </w:tr>
      <w:tr w:rsidR="00CF085C" w:rsidRPr="00CF085C" w14:paraId="73F4E4D7" w14:textId="77777777">
        <w:trPr>
          <w:tblCellSpacing w:w="15" w:type="dxa"/>
        </w:trPr>
        <w:tc>
          <w:tcPr>
            <w:tcW w:w="0" w:type="auto"/>
            <w:vAlign w:val="center"/>
            <w:hideMark/>
          </w:tcPr>
          <w:p w14:paraId="5BF7A0F9"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3.0</w:t>
            </w:r>
          </w:p>
        </w:tc>
        <w:tc>
          <w:tcPr>
            <w:tcW w:w="0" w:type="auto"/>
            <w:vAlign w:val="center"/>
            <w:hideMark/>
          </w:tcPr>
          <w:p w14:paraId="45E7699E"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Strategic Analysis / Methodology</w:t>
            </w:r>
          </w:p>
        </w:tc>
        <w:tc>
          <w:tcPr>
            <w:tcW w:w="0" w:type="auto"/>
            <w:vAlign w:val="center"/>
            <w:hideMark/>
          </w:tcPr>
          <w:p w14:paraId="59CBA139"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10</w:t>
            </w:r>
          </w:p>
        </w:tc>
      </w:tr>
      <w:tr w:rsidR="00CF085C" w:rsidRPr="00CF085C" w14:paraId="69B19E02" w14:textId="77777777">
        <w:trPr>
          <w:tblCellSpacing w:w="15" w:type="dxa"/>
        </w:trPr>
        <w:tc>
          <w:tcPr>
            <w:tcW w:w="0" w:type="auto"/>
            <w:vAlign w:val="center"/>
            <w:hideMark/>
          </w:tcPr>
          <w:p w14:paraId="14FC03D8"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3.1</w:t>
            </w:r>
          </w:p>
        </w:tc>
        <w:tc>
          <w:tcPr>
            <w:tcW w:w="0" w:type="auto"/>
            <w:vAlign w:val="center"/>
            <w:hideMark/>
          </w:tcPr>
          <w:p w14:paraId="232C3323"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Research Approach</w:t>
            </w:r>
          </w:p>
        </w:tc>
        <w:tc>
          <w:tcPr>
            <w:tcW w:w="0" w:type="auto"/>
            <w:vAlign w:val="center"/>
            <w:hideMark/>
          </w:tcPr>
          <w:p w14:paraId="71B28BFF"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10</w:t>
            </w:r>
          </w:p>
        </w:tc>
      </w:tr>
      <w:tr w:rsidR="00CF085C" w:rsidRPr="00CF085C" w14:paraId="00740D17" w14:textId="77777777">
        <w:trPr>
          <w:tblCellSpacing w:w="15" w:type="dxa"/>
        </w:trPr>
        <w:tc>
          <w:tcPr>
            <w:tcW w:w="0" w:type="auto"/>
            <w:vAlign w:val="center"/>
            <w:hideMark/>
          </w:tcPr>
          <w:p w14:paraId="5E07B3FA"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3.2</w:t>
            </w:r>
          </w:p>
        </w:tc>
        <w:tc>
          <w:tcPr>
            <w:tcW w:w="0" w:type="auto"/>
            <w:vAlign w:val="center"/>
            <w:hideMark/>
          </w:tcPr>
          <w:p w14:paraId="68906452"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Analytical Framework</w:t>
            </w:r>
          </w:p>
        </w:tc>
        <w:tc>
          <w:tcPr>
            <w:tcW w:w="0" w:type="auto"/>
            <w:vAlign w:val="center"/>
            <w:hideMark/>
          </w:tcPr>
          <w:p w14:paraId="06658A37"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11</w:t>
            </w:r>
          </w:p>
        </w:tc>
      </w:tr>
      <w:tr w:rsidR="00CF085C" w:rsidRPr="00CF085C" w14:paraId="225F6DF0" w14:textId="77777777">
        <w:trPr>
          <w:tblCellSpacing w:w="15" w:type="dxa"/>
        </w:trPr>
        <w:tc>
          <w:tcPr>
            <w:tcW w:w="0" w:type="auto"/>
            <w:vAlign w:val="center"/>
            <w:hideMark/>
          </w:tcPr>
          <w:p w14:paraId="7F26EC2A"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3.2.1</w:t>
            </w:r>
          </w:p>
        </w:tc>
        <w:tc>
          <w:tcPr>
            <w:tcW w:w="0" w:type="auto"/>
            <w:vAlign w:val="center"/>
            <w:hideMark/>
          </w:tcPr>
          <w:p w14:paraId="133F0C09"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Institutional Theory</w:t>
            </w:r>
          </w:p>
        </w:tc>
        <w:tc>
          <w:tcPr>
            <w:tcW w:w="0" w:type="auto"/>
            <w:vAlign w:val="center"/>
            <w:hideMark/>
          </w:tcPr>
          <w:p w14:paraId="74BD6F30"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11</w:t>
            </w:r>
          </w:p>
        </w:tc>
      </w:tr>
      <w:tr w:rsidR="00CF085C" w:rsidRPr="00CF085C" w14:paraId="0CCEABDC" w14:textId="77777777">
        <w:trPr>
          <w:tblCellSpacing w:w="15" w:type="dxa"/>
        </w:trPr>
        <w:tc>
          <w:tcPr>
            <w:tcW w:w="0" w:type="auto"/>
            <w:vAlign w:val="center"/>
            <w:hideMark/>
          </w:tcPr>
          <w:p w14:paraId="42096070"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3.2.2</w:t>
            </w:r>
          </w:p>
        </w:tc>
        <w:tc>
          <w:tcPr>
            <w:tcW w:w="0" w:type="auto"/>
            <w:vAlign w:val="center"/>
            <w:hideMark/>
          </w:tcPr>
          <w:p w14:paraId="7CC570C4"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Stakeholder Theory</w:t>
            </w:r>
          </w:p>
        </w:tc>
        <w:tc>
          <w:tcPr>
            <w:tcW w:w="0" w:type="auto"/>
            <w:vAlign w:val="center"/>
            <w:hideMark/>
          </w:tcPr>
          <w:p w14:paraId="3D84055E"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12</w:t>
            </w:r>
          </w:p>
        </w:tc>
      </w:tr>
      <w:tr w:rsidR="00CF085C" w:rsidRPr="00CF085C" w14:paraId="4DBB4A23" w14:textId="77777777">
        <w:trPr>
          <w:tblCellSpacing w:w="15" w:type="dxa"/>
        </w:trPr>
        <w:tc>
          <w:tcPr>
            <w:tcW w:w="0" w:type="auto"/>
            <w:vAlign w:val="center"/>
            <w:hideMark/>
          </w:tcPr>
          <w:p w14:paraId="6FA3E00D"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3.2.3</w:t>
            </w:r>
          </w:p>
        </w:tc>
        <w:tc>
          <w:tcPr>
            <w:tcW w:w="0" w:type="auto"/>
            <w:vAlign w:val="center"/>
            <w:hideMark/>
          </w:tcPr>
          <w:p w14:paraId="7CD73759"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Corporate Governance Framework</w:t>
            </w:r>
          </w:p>
        </w:tc>
        <w:tc>
          <w:tcPr>
            <w:tcW w:w="0" w:type="auto"/>
            <w:vAlign w:val="center"/>
            <w:hideMark/>
          </w:tcPr>
          <w:p w14:paraId="67734F6F"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12</w:t>
            </w:r>
          </w:p>
        </w:tc>
      </w:tr>
      <w:tr w:rsidR="00CF085C" w:rsidRPr="00CF085C" w14:paraId="228E92D4" w14:textId="77777777">
        <w:trPr>
          <w:tblCellSpacing w:w="15" w:type="dxa"/>
        </w:trPr>
        <w:tc>
          <w:tcPr>
            <w:tcW w:w="0" w:type="auto"/>
            <w:vAlign w:val="center"/>
            <w:hideMark/>
          </w:tcPr>
          <w:p w14:paraId="25180160"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lastRenderedPageBreak/>
              <w:t>3.3</w:t>
            </w:r>
          </w:p>
        </w:tc>
        <w:tc>
          <w:tcPr>
            <w:tcW w:w="0" w:type="auto"/>
            <w:vAlign w:val="center"/>
            <w:hideMark/>
          </w:tcPr>
          <w:p w14:paraId="24F97F7E"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Case Study Analysis Approach</w:t>
            </w:r>
          </w:p>
        </w:tc>
        <w:tc>
          <w:tcPr>
            <w:tcW w:w="0" w:type="auto"/>
            <w:vAlign w:val="center"/>
            <w:hideMark/>
          </w:tcPr>
          <w:p w14:paraId="129CC06B"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13</w:t>
            </w:r>
          </w:p>
        </w:tc>
      </w:tr>
      <w:tr w:rsidR="00CF085C" w:rsidRPr="00CF085C" w14:paraId="7ECC050E" w14:textId="77777777">
        <w:trPr>
          <w:tblCellSpacing w:w="15" w:type="dxa"/>
        </w:trPr>
        <w:tc>
          <w:tcPr>
            <w:tcW w:w="0" w:type="auto"/>
            <w:vAlign w:val="center"/>
            <w:hideMark/>
          </w:tcPr>
          <w:p w14:paraId="52A38D35"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3.4</w:t>
            </w:r>
          </w:p>
        </w:tc>
        <w:tc>
          <w:tcPr>
            <w:tcW w:w="0" w:type="auto"/>
            <w:vAlign w:val="center"/>
            <w:hideMark/>
          </w:tcPr>
          <w:p w14:paraId="676CFAF3"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Data Analysis Method</w:t>
            </w:r>
          </w:p>
        </w:tc>
        <w:tc>
          <w:tcPr>
            <w:tcW w:w="0" w:type="auto"/>
            <w:vAlign w:val="center"/>
            <w:hideMark/>
          </w:tcPr>
          <w:p w14:paraId="5AE42E2B"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14</w:t>
            </w:r>
          </w:p>
        </w:tc>
      </w:tr>
      <w:tr w:rsidR="00CF085C" w:rsidRPr="00CF085C" w14:paraId="4DF00F66" w14:textId="77777777">
        <w:trPr>
          <w:tblCellSpacing w:w="15" w:type="dxa"/>
        </w:trPr>
        <w:tc>
          <w:tcPr>
            <w:tcW w:w="0" w:type="auto"/>
            <w:vAlign w:val="center"/>
            <w:hideMark/>
          </w:tcPr>
          <w:p w14:paraId="73EAD754"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3.5</w:t>
            </w:r>
          </w:p>
        </w:tc>
        <w:tc>
          <w:tcPr>
            <w:tcW w:w="0" w:type="auto"/>
            <w:vAlign w:val="center"/>
            <w:hideMark/>
          </w:tcPr>
          <w:p w14:paraId="1353AB6D"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Limitations of Methodology</w:t>
            </w:r>
          </w:p>
        </w:tc>
        <w:tc>
          <w:tcPr>
            <w:tcW w:w="0" w:type="auto"/>
            <w:vAlign w:val="center"/>
            <w:hideMark/>
          </w:tcPr>
          <w:p w14:paraId="0BE43C75"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14</w:t>
            </w:r>
          </w:p>
        </w:tc>
      </w:tr>
      <w:tr w:rsidR="00CF085C" w:rsidRPr="00CF085C" w14:paraId="69941925" w14:textId="77777777">
        <w:trPr>
          <w:tblCellSpacing w:w="15" w:type="dxa"/>
        </w:trPr>
        <w:tc>
          <w:tcPr>
            <w:tcW w:w="0" w:type="auto"/>
            <w:vAlign w:val="center"/>
            <w:hideMark/>
          </w:tcPr>
          <w:p w14:paraId="0D8B8D0E"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4.0</w:t>
            </w:r>
          </w:p>
        </w:tc>
        <w:tc>
          <w:tcPr>
            <w:tcW w:w="0" w:type="auto"/>
            <w:vAlign w:val="center"/>
            <w:hideMark/>
          </w:tcPr>
          <w:p w14:paraId="3DAF1320"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Findings and Analysis</w:t>
            </w:r>
          </w:p>
        </w:tc>
        <w:tc>
          <w:tcPr>
            <w:tcW w:w="0" w:type="auto"/>
            <w:vAlign w:val="center"/>
            <w:hideMark/>
          </w:tcPr>
          <w:p w14:paraId="007D7F95"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15</w:t>
            </w:r>
          </w:p>
        </w:tc>
      </w:tr>
      <w:tr w:rsidR="00CF085C" w:rsidRPr="00CF085C" w14:paraId="78039867" w14:textId="77777777">
        <w:trPr>
          <w:tblCellSpacing w:w="15" w:type="dxa"/>
        </w:trPr>
        <w:tc>
          <w:tcPr>
            <w:tcW w:w="0" w:type="auto"/>
            <w:vAlign w:val="center"/>
            <w:hideMark/>
          </w:tcPr>
          <w:p w14:paraId="71958C1D"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4.1</w:t>
            </w:r>
          </w:p>
        </w:tc>
        <w:tc>
          <w:tcPr>
            <w:tcW w:w="0" w:type="auto"/>
            <w:vAlign w:val="center"/>
            <w:hideMark/>
          </w:tcPr>
          <w:p w14:paraId="112D1A84"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Impact of Legal Compliance on Business Operations</w:t>
            </w:r>
          </w:p>
        </w:tc>
        <w:tc>
          <w:tcPr>
            <w:tcW w:w="0" w:type="auto"/>
            <w:vAlign w:val="center"/>
            <w:hideMark/>
          </w:tcPr>
          <w:p w14:paraId="0A5EF5AD"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15</w:t>
            </w:r>
          </w:p>
        </w:tc>
      </w:tr>
      <w:tr w:rsidR="00CF085C" w:rsidRPr="00CF085C" w14:paraId="0695B598" w14:textId="77777777">
        <w:trPr>
          <w:tblCellSpacing w:w="15" w:type="dxa"/>
        </w:trPr>
        <w:tc>
          <w:tcPr>
            <w:tcW w:w="0" w:type="auto"/>
            <w:vAlign w:val="center"/>
            <w:hideMark/>
          </w:tcPr>
          <w:p w14:paraId="3CFAAE37"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4.2</w:t>
            </w:r>
          </w:p>
        </w:tc>
        <w:tc>
          <w:tcPr>
            <w:tcW w:w="0" w:type="auto"/>
            <w:vAlign w:val="center"/>
            <w:hideMark/>
          </w:tcPr>
          <w:p w14:paraId="77FA4520"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Influence of Corporate Law and Governance on Decision-Making</w:t>
            </w:r>
          </w:p>
        </w:tc>
        <w:tc>
          <w:tcPr>
            <w:tcW w:w="0" w:type="auto"/>
            <w:vAlign w:val="center"/>
            <w:hideMark/>
          </w:tcPr>
          <w:p w14:paraId="573AD1F6"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16</w:t>
            </w:r>
          </w:p>
        </w:tc>
      </w:tr>
      <w:tr w:rsidR="00CF085C" w:rsidRPr="00CF085C" w14:paraId="5073DE93" w14:textId="77777777">
        <w:trPr>
          <w:tblCellSpacing w:w="15" w:type="dxa"/>
        </w:trPr>
        <w:tc>
          <w:tcPr>
            <w:tcW w:w="0" w:type="auto"/>
            <w:vAlign w:val="center"/>
            <w:hideMark/>
          </w:tcPr>
          <w:p w14:paraId="386438EC"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4.3</w:t>
            </w:r>
          </w:p>
        </w:tc>
        <w:tc>
          <w:tcPr>
            <w:tcW w:w="0" w:type="auto"/>
            <w:vAlign w:val="center"/>
            <w:hideMark/>
          </w:tcPr>
          <w:p w14:paraId="77E8921E"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Employment Regulations and Human Resource Management</w:t>
            </w:r>
          </w:p>
        </w:tc>
        <w:tc>
          <w:tcPr>
            <w:tcW w:w="0" w:type="auto"/>
            <w:vAlign w:val="center"/>
            <w:hideMark/>
          </w:tcPr>
          <w:p w14:paraId="303A87AE"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17</w:t>
            </w:r>
          </w:p>
        </w:tc>
      </w:tr>
      <w:tr w:rsidR="00CF085C" w:rsidRPr="00CF085C" w14:paraId="6A5102DA" w14:textId="77777777">
        <w:trPr>
          <w:tblCellSpacing w:w="15" w:type="dxa"/>
        </w:trPr>
        <w:tc>
          <w:tcPr>
            <w:tcW w:w="0" w:type="auto"/>
            <w:vAlign w:val="center"/>
            <w:hideMark/>
          </w:tcPr>
          <w:p w14:paraId="082E885E"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4.4</w:t>
            </w:r>
          </w:p>
        </w:tc>
        <w:tc>
          <w:tcPr>
            <w:tcW w:w="0" w:type="auto"/>
            <w:vAlign w:val="center"/>
            <w:hideMark/>
          </w:tcPr>
          <w:p w14:paraId="7C324541"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Intellectual Property Regulation and Business Innovation</w:t>
            </w:r>
          </w:p>
        </w:tc>
        <w:tc>
          <w:tcPr>
            <w:tcW w:w="0" w:type="auto"/>
            <w:vAlign w:val="center"/>
            <w:hideMark/>
          </w:tcPr>
          <w:p w14:paraId="2F97B6EA"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18</w:t>
            </w:r>
          </w:p>
        </w:tc>
      </w:tr>
      <w:tr w:rsidR="00CF085C" w:rsidRPr="00CF085C" w14:paraId="54688956" w14:textId="77777777">
        <w:trPr>
          <w:tblCellSpacing w:w="15" w:type="dxa"/>
        </w:trPr>
        <w:tc>
          <w:tcPr>
            <w:tcW w:w="0" w:type="auto"/>
            <w:vAlign w:val="center"/>
            <w:hideMark/>
          </w:tcPr>
          <w:p w14:paraId="40E748DA"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4.5</w:t>
            </w:r>
          </w:p>
        </w:tc>
        <w:tc>
          <w:tcPr>
            <w:tcW w:w="0" w:type="auto"/>
            <w:vAlign w:val="center"/>
            <w:hideMark/>
          </w:tcPr>
          <w:p w14:paraId="03E29D01"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Data Protection and Digital Regulatory Challenges</w:t>
            </w:r>
          </w:p>
        </w:tc>
        <w:tc>
          <w:tcPr>
            <w:tcW w:w="0" w:type="auto"/>
            <w:vAlign w:val="center"/>
            <w:hideMark/>
          </w:tcPr>
          <w:p w14:paraId="27ADDF9E"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19</w:t>
            </w:r>
          </w:p>
        </w:tc>
      </w:tr>
      <w:tr w:rsidR="00CF085C" w:rsidRPr="00CF085C" w14:paraId="67E19D12" w14:textId="77777777">
        <w:trPr>
          <w:tblCellSpacing w:w="15" w:type="dxa"/>
        </w:trPr>
        <w:tc>
          <w:tcPr>
            <w:tcW w:w="0" w:type="auto"/>
            <w:vAlign w:val="center"/>
            <w:hideMark/>
          </w:tcPr>
          <w:p w14:paraId="49699962"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4.6</w:t>
            </w:r>
          </w:p>
        </w:tc>
        <w:tc>
          <w:tcPr>
            <w:tcW w:w="0" w:type="auto"/>
            <w:vAlign w:val="center"/>
            <w:hideMark/>
          </w:tcPr>
          <w:p w14:paraId="732E2914"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Regulations as Drivers of Business Opportunities</w:t>
            </w:r>
          </w:p>
        </w:tc>
        <w:tc>
          <w:tcPr>
            <w:tcW w:w="0" w:type="auto"/>
            <w:vAlign w:val="center"/>
            <w:hideMark/>
          </w:tcPr>
          <w:p w14:paraId="4CEAD45C"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20</w:t>
            </w:r>
          </w:p>
        </w:tc>
      </w:tr>
      <w:tr w:rsidR="00CF085C" w:rsidRPr="00CF085C" w14:paraId="06476738" w14:textId="77777777">
        <w:trPr>
          <w:tblCellSpacing w:w="15" w:type="dxa"/>
        </w:trPr>
        <w:tc>
          <w:tcPr>
            <w:tcW w:w="0" w:type="auto"/>
            <w:vAlign w:val="center"/>
            <w:hideMark/>
          </w:tcPr>
          <w:p w14:paraId="55539899"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5.0</w:t>
            </w:r>
          </w:p>
        </w:tc>
        <w:tc>
          <w:tcPr>
            <w:tcW w:w="0" w:type="auto"/>
            <w:vAlign w:val="center"/>
            <w:hideMark/>
          </w:tcPr>
          <w:p w14:paraId="0312165A"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Discussion</w:t>
            </w:r>
          </w:p>
        </w:tc>
        <w:tc>
          <w:tcPr>
            <w:tcW w:w="0" w:type="auto"/>
            <w:vAlign w:val="center"/>
            <w:hideMark/>
          </w:tcPr>
          <w:p w14:paraId="67F03C55"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21</w:t>
            </w:r>
          </w:p>
        </w:tc>
      </w:tr>
      <w:tr w:rsidR="00CF085C" w:rsidRPr="00CF085C" w14:paraId="6E8A974E" w14:textId="77777777">
        <w:trPr>
          <w:tblCellSpacing w:w="15" w:type="dxa"/>
        </w:trPr>
        <w:tc>
          <w:tcPr>
            <w:tcW w:w="0" w:type="auto"/>
            <w:vAlign w:val="center"/>
            <w:hideMark/>
          </w:tcPr>
          <w:p w14:paraId="7C4F8DC1"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6.0</w:t>
            </w:r>
          </w:p>
        </w:tc>
        <w:tc>
          <w:tcPr>
            <w:tcW w:w="0" w:type="auto"/>
            <w:vAlign w:val="center"/>
            <w:hideMark/>
          </w:tcPr>
          <w:p w14:paraId="12FE3115"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Recommendations</w:t>
            </w:r>
          </w:p>
        </w:tc>
        <w:tc>
          <w:tcPr>
            <w:tcW w:w="0" w:type="auto"/>
            <w:vAlign w:val="center"/>
            <w:hideMark/>
          </w:tcPr>
          <w:p w14:paraId="3CADB1CB"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23</w:t>
            </w:r>
          </w:p>
        </w:tc>
      </w:tr>
      <w:tr w:rsidR="00CF085C" w:rsidRPr="00CF085C" w14:paraId="5E0BBF4B" w14:textId="77777777">
        <w:trPr>
          <w:tblCellSpacing w:w="15" w:type="dxa"/>
        </w:trPr>
        <w:tc>
          <w:tcPr>
            <w:tcW w:w="0" w:type="auto"/>
            <w:vAlign w:val="center"/>
            <w:hideMark/>
          </w:tcPr>
          <w:p w14:paraId="55DB6E04"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6.1</w:t>
            </w:r>
          </w:p>
        </w:tc>
        <w:tc>
          <w:tcPr>
            <w:tcW w:w="0" w:type="auto"/>
            <w:vAlign w:val="center"/>
            <w:hideMark/>
          </w:tcPr>
          <w:p w14:paraId="5E1871D5"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Establish Integrated Compliance Management Systems</w:t>
            </w:r>
          </w:p>
        </w:tc>
        <w:tc>
          <w:tcPr>
            <w:tcW w:w="0" w:type="auto"/>
            <w:vAlign w:val="center"/>
            <w:hideMark/>
          </w:tcPr>
          <w:p w14:paraId="6AD3E52C"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23</w:t>
            </w:r>
          </w:p>
        </w:tc>
      </w:tr>
      <w:tr w:rsidR="00CF085C" w:rsidRPr="00CF085C" w14:paraId="7C432261" w14:textId="77777777">
        <w:trPr>
          <w:tblCellSpacing w:w="15" w:type="dxa"/>
        </w:trPr>
        <w:tc>
          <w:tcPr>
            <w:tcW w:w="0" w:type="auto"/>
            <w:vAlign w:val="center"/>
            <w:hideMark/>
          </w:tcPr>
          <w:p w14:paraId="03B69942"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6.2</w:t>
            </w:r>
          </w:p>
        </w:tc>
        <w:tc>
          <w:tcPr>
            <w:tcW w:w="0" w:type="auto"/>
            <w:vAlign w:val="center"/>
            <w:hideMark/>
          </w:tcPr>
          <w:p w14:paraId="0F2239DE"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Strengthen Corporate Governance and Ethical Leadership</w:t>
            </w:r>
          </w:p>
        </w:tc>
        <w:tc>
          <w:tcPr>
            <w:tcW w:w="0" w:type="auto"/>
            <w:vAlign w:val="center"/>
            <w:hideMark/>
          </w:tcPr>
          <w:p w14:paraId="2F12B8AA"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24</w:t>
            </w:r>
          </w:p>
        </w:tc>
      </w:tr>
      <w:tr w:rsidR="00CF085C" w:rsidRPr="00CF085C" w14:paraId="7054651C" w14:textId="77777777">
        <w:trPr>
          <w:tblCellSpacing w:w="15" w:type="dxa"/>
        </w:trPr>
        <w:tc>
          <w:tcPr>
            <w:tcW w:w="0" w:type="auto"/>
            <w:vAlign w:val="center"/>
            <w:hideMark/>
          </w:tcPr>
          <w:p w14:paraId="368ACE29"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6.3</w:t>
            </w:r>
          </w:p>
        </w:tc>
        <w:tc>
          <w:tcPr>
            <w:tcW w:w="0" w:type="auto"/>
            <w:vAlign w:val="center"/>
            <w:hideMark/>
          </w:tcPr>
          <w:p w14:paraId="0613DC88"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Invest in Employee Compliance Training</w:t>
            </w:r>
          </w:p>
        </w:tc>
        <w:tc>
          <w:tcPr>
            <w:tcW w:w="0" w:type="auto"/>
            <w:vAlign w:val="center"/>
            <w:hideMark/>
          </w:tcPr>
          <w:p w14:paraId="42FFF485"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24</w:t>
            </w:r>
          </w:p>
        </w:tc>
      </w:tr>
      <w:tr w:rsidR="00CF085C" w:rsidRPr="00CF085C" w14:paraId="36B87E8A" w14:textId="77777777">
        <w:trPr>
          <w:tblCellSpacing w:w="15" w:type="dxa"/>
        </w:trPr>
        <w:tc>
          <w:tcPr>
            <w:tcW w:w="0" w:type="auto"/>
            <w:vAlign w:val="center"/>
            <w:hideMark/>
          </w:tcPr>
          <w:p w14:paraId="70B7D85B"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6.4</w:t>
            </w:r>
          </w:p>
        </w:tc>
        <w:tc>
          <w:tcPr>
            <w:tcW w:w="0" w:type="auto"/>
            <w:vAlign w:val="center"/>
            <w:hideMark/>
          </w:tcPr>
          <w:p w14:paraId="57F41E8E"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Adopt a Strategic Approach to Regulatory Change</w:t>
            </w:r>
          </w:p>
        </w:tc>
        <w:tc>
          <w:tcPr>
            <w:tcW w:w="0" w:type="auto"/>
            <w:vAlign w:val="center"/>
            <w:hideMark/>
          </w:tcPr>
          <w:p w14:paraId="4B452565"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25</w:t>
            </w:r>
          </w:p>
        </w:tc>
      </w:tr>
      <w:tr w:rsidR="00CF085C" w:rsidRPr="00CF085C" w14:paraId="16966B7E" w14:textId="77777777">
        <w:trPr>
          <w:tblCellSpacing w:w="15" w:type="dxa"/>
        </w:trPr>
        <w:tc>
          <w:tcPr>
            <w:tcW w:w="0" w:type="auto"/>
            <w:vAlign w:val="center"/>
            <w:hideMark/>
          </w:tcPr>
          <w:p w14:paraId="5EDB4EB8"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6.5</w:t>
            </w:r>
          </w:p>
        </w:tc>
        <w:tc>
          <w:tcPr>
            <w:tcW w:w="0" w:type="auto"/>
            <w:vAlign w:val="center"/>
            <w:hideMark/>
          </w:tcPr>
          <w:p w14:paraId="1E67D9D7"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Improve Stakeholder Engagement</w:t>
            </w:r>
          </w:p>
        </w:tc>
        <w:tc>
          <w:tcPr>
            <w:tcW w:w="0" w:type="auto"/>
            <w:vAlign w:val="center"/>
            <w:hideMark/>
          </w:tcPr>
          <w:p w14:paraId="111CBD4A"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25</w:t>
            </w:r>
          </w:p>
        </w:tc>
      </w:tr>
      <w:tr w:rsidR="00CF085C" w:rsidRPr="00CF085C" w14:paraId="1B1A2B11" w14:textId="77777777">
        <w:trPr>
          <w:tblCellSpacing w:w="15" w:type="dxa"/>
        </w:trPr>
        <w:tc>
          <w:tcPr>
            <w:tcW w:w="0" w:type="auto"/>
            <w:vAlign w:val="center"/>
            <w:hideMark/>
          </w:tcPr>
          <w:p w14:paraId="23A68FAD"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7.0</w:t>
            </w:r>
          </w:p>
        </w:tc>
        <w:tc>
          <w:tcPr>
            <w:tcW w:w="0" w:type="auto"/>
            <w:vAlign w:val="center"/>
            <w:hideMark/>
          </w:tcPr>
          <w:p w14:paraId="47E29D97"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Conclusion</w:t>
            </w:r>
          </w:p>
        </w:tc>
        <w:tc>
          <w:tcPr>
            <w:tcW w:w="0" w:type="auto"/>
            <w:vAlign w:val="center"/>
            <w:hideMark/>
          </w:tcPr>
          <w:p w14:paraId="5BC4771B"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26</w:t>
            </w:r>
          </w:p>
        </w:tc>
      </w:tr>
      <w:tr w:rsidR="00CF085C" w:rsidRPr="00CF085C" w14:paraId="54E0B083" w14:textId="77777777">
        <w:trPr>
          <w:tblCellSpacing w:w="15" w:type="dxa"/>
        </w:trPr>
        <w:tc>
          <w:tcPr>
            <w:tcW w:w="0" w:type="auto"/>
            <w:vAlign w:val="center"/>
            <w:hideMark/>
          </w:tcPr>
          <w:p w14:paraId="55F2E000"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8.0</w:t>
            </w:r>
          </w:p>
        </w:tc>
        <w:tc>
          <w:tcPr>
            <w:tcW w:w="0" w:type="auto"/>
            <w:vAlign w:val="center"/>
            <w:hideMark/>
          </w:tcPr>
          <w:p w14:paraId="61883C03"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References</w:t>
            </w:r>
          </w:p>
        </w:tc>
        <w:tc>
          <w:tcPr>
            <w:tcW w:w="0" w:type="auto"/>
            <w:vAlign w:val="center"/>
            <w:hideMark/>
          </w:tcPr>
          <w:p w14:paraId="42731B07"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27</w:t>
            </w:r>
          </w:p>
        </w:tc>
      </w:tr>
      <w:tr w:rsidR="00CF085C" w:rsidRPr="00CF085C" w14:paraId="332C22B9" w14:textId="77777777">
        <w:trPr>
          <w:tblCellSpacing w:w="15" w:type="dxa"/>
        </w:trPr>
        <w:tc>
          <w:tcPr>
            <w:tcW w:w="0" w:type="auto"/>
            <w:vAlign w:val="center"/>
            <w:hideMark/>
          </w:tcPr>
          <w:p w14:paraId="4AE06AAE"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lastRenderedPageBreak/>
              <w:t>9.0</w:t>
            </w:r>
          </w:p>
        </w:tc>
        <w:tc>
          <w:tcPr>
            <w:tcW w:w="0" w:type="auto"/>
            <w:vAlign w:val="center"/>
            <w:hideMark/>
          </w:tcPr>
          <w:p w14:paraId="1E696DEE"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Appendices</w:t>
            </w:r>
          </w:p>
        </w:tc>
        <w:tc>
          <w:tcPr>
            <w:tcW w:w="0" w:type="auto"/>
            <w:vAlign w:val="center"/>
            <w:hideMark/>
          </w:tcPr>
          <w:p w14:paraId="4DAAF955"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29</w:t>
            </w:r>
          </w:p>
        </w:tc>
      </w:tr>
      <w:tr w:rsidR="00CF085C" w:rsidRPr="00CF085C" w14:paraId="25E32E33" w14:textId="77777777">
        <w:trPr>
          <w:tblCellSpacing w:w="15" w:type="dxa"/>
        </w:trPr>
        <w:tc>
          <w:tcPr>
            <w:tcW w:w="0" w:type="auto"/>
            <w:vAlign w:val="center"/>
            <w:hideMark/>
          </w:tcPr>
          <w:p w14:paraId="3F3CDBD0"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Appendix 1</w:t>
            </w:r>
          </w:p>
        </w:tc>
        <w:tc>
          <w:tcPr>
            <w:tcW w:w="0" w:type="auto"/>
            <w:vAlign w:val="center"/>
            <w:hideMark/>
          </w:tcPr>
          <w:p w14:paraId="1CC994C7"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Key Legal Frameworks Affecting Business Operations</w:t>
            </w:r>
          </w:p>
        </w:tc>
        <w:tc>
          <w:tcPr>
            <w:tcW w:w="0" w:type="auto"/>
            <w:vAlign w:val="center"/>
            <w:hideMark/>
          </w:tcPr>
          <w:p w14:paraId="7C5D6471"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29</w:t>
            </w:r>
          </w:p>
        </w:tc>
      </w:tr>
      <w:tr w:rsidR="00CF085C" w:rsidRPr="00CF085C" w14:paraId="5F99977B" w14:textId="77777777">
        <w:trPr>
          <w:tblCellSpacing w:w="15" w:type="dxa"/>
        </w:trPr>
        <w:tc>
          <w:tcPr>
            <w:tcW w:w="0" w:type="auto"/>
            <w:vAlign w:val="center"/>
            <w:hideMark/>
          </w:tcPr>
          <w:p w14:paraId="17702AC7"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Appendix 2</w:t>
            </w:r>
          </w:p>
        </w:tc>
        <w:tc>
          <w:tcPr>
            <w:tcW w:w="0" w:type="auto"/>
            <w:vAlign w:val="center"/>
            <w:hideMark/>
          </w:tcPr>
          <w:p w14:paraId="4525DC60"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Case Study Summary</w:t>
            </w:r>
          </w:p>
        </w:tc>
        <w:tc>
          <w:tcPr>
            <w:tcW w:w="0" w:type="auto"/>
            <w:vAlign w:val="center"/>
            <w:hideMark/>
          </w:tcPr>
          <w:p w14:paraId="58841EAC"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30</w:t>
            </w:r>
          </w:p>
        </w:tc>
      </w:tr>
    </w:tbl>
    <w:p w14:paraId="4FF1F15E" w14:textId="77777777" w:rsidR="00CF085C" w:rsidRDefault="00CF085C" w:rsidP="00F70472">
      <w:pPr>
        <w:spacing w:line="360" w:lineRule="auto"/>
        <w:rPr>
          <w:rFonts w:ascii="Times New Roman" w:hAnsi="Times New Roman" w:cs="Times New Roman"/>
        </w:rPr>
      </w:pPr>
    </w:p>
    <w:p w14:paraId="6445A684" w14:textId="77777777" w:rsidR="00CF085C" w:rsidRDefault="00CF085C" w:rsidP="00F70472">
      <w:pPr>
        <w:spacing w:line="360" w:lineRule="auto"/>
        <w:rPr>
          <w:rFonts w:ascii="Times New Roman" w:hAnsi="Times New Roman" w:cs="Times New Roman"/>
        </w:rPr>
      </w:pPr>
    </w:p>
    <w:p w14:paraId="50E670DD" w14:textId="77777777" w:rsidR="00CF085C" w:rsidRDefault="00CF085C" w:rsidP="00F70472">
      <w:pPr>
        <w:spacing w:line="360" w:lineRule="auto"/>
        <w:rPr>
          <w:rFonts w:ascii="Times New Roman" w:hAnsi="Times New Roman" w:cs="Times New Roman"/>
        </w:rPr>
      </w:pPr>
    </w:p>
    <w:p w14:paraId="01EAF40B" w14:textId="77777777" w:rsidR="00CF085C" w:rsidRDefault="00CF085C" w:rsidP="00F70472">
      <w:pPr>
        <w:spacing w:line="360" w:lineRule="auto"/>
        <w:rPr>
          <w:rFonts w:ascii="Times New Roman" w:hAnsi="Times New Roman" w:cs="Times New Roman"/>
        </w:rPr>
      </w:pPr>
    </w:p>
    <w:p w14:paraId="1581CD1D" w14:textId="77777777" w:rsidR="00CF085C" w:rsidRDefault="00CF085C" w:rsidP="00F70472">
      <w:pPr>
        <w:spacing w:line="360" w:lineRule="auto"/>
        <w:rPr>
          <w:rFonts w:ascii="Times New Roman" w:hAnsi="Times New Roman" w:cs="Times New Roman"/>
        </w:rPr>
      </w:pPr>
    </w:p>
    <w:p w14:paraId="264BC798" w14:textId="77777777" w:rsidR="00CF085C" w:rsidRDefault="00CF085C" w:rsidP="00F70472">
      <w:pPr>
        <w:spacing w:line="360" w:lineRule="auto"/>
        <w:rPr>
          <w:rFonts w:ascii="Times New Roman" w:hAnsi="Times New Roman" w:cs="Times New Roman"/>
        </w:rPr>
      </w:pPr>
    </w:p>
    <w:p w14:paraId="3B3D050C" w14:textId="77777777" w:rsidR="00CF085C" w:rsidRDefault="00CF085C" w:rsidP="00F70472">
      <w:pPr>
        <w:spacing w:line="360" w:lineRule="auto"/>
        <w:rPr>
          <w:rFonts w:ascii="Times New Roman" w:hAnsi="Times New Roman" w:cs="Times New Roman"/>
        </w:rPr>
      </w:pPr>
    </w:p>
    <w:p w14:paraId="65D89A61" w14:textId="77777777" w:rsidR="00CF085C" w:rsidRDefault="00CF085C" w:rsidP="00F70472">
      <w:pPr>
        <w:spacing w:line="360" w:lineRule="auto"/>
        <w:rPr>
          <w:rFonts w:ascii="Times New Roman" w:hAnsi="Times New Roman" w:cs="Times New Roman"/>
        </w:rPr>
      </w:pPr>
    </w:p>
    <w:p w14:paraId="4F012933" w14:textId="77777777" w:rsidR="00CF085C" w:rsidRDefault="00CF085C" w:rsidP="00F70472">
      <w:pPr>
        <w:spacing w:line="360" w:lineRule="auto"/>
        <w:rPr>
          <w:rFonts w:ascii="Times New Roman" w:hAnsi="Times New Roman" w:cs="Times New Roman"/>
        </w:rPr>
      </w:pPr>
    </w:p>
    <w:p w14:paraId="774C34DC" w14:textId="77777777" w:rsidR="00CF085C" w:rsidRDefault="00CF085C" w:rsidP="00F70472">
      <w:pPr>
        <w:spacing w:line="360" w:lineRule="auto"/>
        <w:rPr>
          <w:rFonts w:ascii="Times New Roman" w:hAnsi="Times New Roman" w:cs="Times New Roman"/>
        </w:rPr>
      </w:pPr>
    </w:p>
    <w:p w14:paraId="052F9C00" w14:textId="77777777" w:rsidR="00CF085C" w:rsidRDefault="00CF085C" w:rsidP="00F70472">
      <w:pPr>
        <w:spacing w:line="360" w:lineRule="auto"/>
        <w:rPr>
          <w:rFonts w:ascii="Times New Roman" w:hAnsi="Times New Roman" w:cs="Times New Roman"/>
        </w:rPr>
      </w:pPr>
    </w:p>
    <w:p w14:paraId="6BC7D4EA" w14:textId="77777777" w:rsidR="00CF085C" w:rsidRDefault="00CF085C" w:rsidP="00F70472">
      <w:pPr>
        <w:spacing w:line="360" w:lineRule="auto"/>
        <w:rPr>
          <w:rFonts w:ascii="Times New Roman" w:hAnsi="Times New Roman" w:cs="Times New Roman"/>
        </w:rPr>
      </w:pPr>
    </w:p>
    <w:p w14:paraId="70AE7378" w14:textId="77777777" w:rsidR="00CF085C" w:rsidRDefault="00CF085C" w:rsidP="00F70472">
      <w:pPr>
        <w:spacing w:line="360" w:lineRule="auto"/>
        <w:rPr>
          <w:rFonts w:ascii="Times New Roman" w:hAnsi="Times New Roman" w:cs="Times New Roman"/>
        </w:rPr>
      </w:pPr>
    </w:p>
    <w:p w14:paraId="1D5A7735" w14:textId="77777777" w:rsidR="00CF085C" w:rsidRDefault="00CF085C" w:rsidP="00F70472">
      <w:pPr>
        <w:spacing w:line="360" w:lineRule="auto"/>
        <w:rPr>
          <w:rFonts w:ascii="Times New Roman" w:hAnsi="Times New Roman" w:cs="Times New Roman"/>
        </w:rPr>
      </w:pPr>
    </w:p>
    <w:p w14:paraId="18661084" w14:textId="77777777" w:rsidR="00F70472" w:rsidRDefault="00F70472" w:rsidP="00F70472">
      <w:pPr>
        <w:spacing w:line="360" w:lineRule="auto"/>
        <w:rPr>
          <w:rFonts w:ascii="Times New Roman" w:hAnsi="Times New Roman" w:cs="Times New Roman"/>
        </w:rPr>
      </w:pPr>
    </w:p>
    <w:p w14:paraId="3DB66340" w14:textId="77777777" w:rsidR="00F70472" w:rsidRDefault="00F70472" w:rsidP="00F70472">
      <w:pPr>
        <w:spacing w:line="360" w:lineRule="auto"/>
        <w:rPr>
          <w:rFonts w:ascii="Times New Roman" w:hAnsi="Times New Roman" w:cs="Times New Roman"/>
        </w:rPr>
      </w:pPr>
    </w:p>
    <w:p w14:paraId="3D0EE5A2" w14:textId="77777777" w:rsidR="00F70472" w:rsidRDefault="00F70472" w:rsidP="00F70472">
      <w:pPr>
        <w:spacing w:line="360" w:lineRule="auto"/>
        <w:rPr>
          <w:rFonts w:ascii="Times New Roman" w:hAnsi="Times New Roman" w:cs="Times New Roman"/>
        </w:rPr>
      </w:pPr>
    </w:p>
    <w:p w14:paraId="47FF3690" w14:textId="77777777" w:rsidR="00F70472" w:rsidRPr="00F70472" w:rsidRDefault="00F70472" w:rsidP="00F70472">
      <w:pPr>
        <w:spacing w:line="360" w:lineRule="auto"/>
        <w:rPr>
          <w:rFonts w:ascii="Times New Roman" w:hAnsi="Times New Roman" w:cs="Times New Roman"/>
        </w:rPr>
      </w:pPr>
    </w:p>
    <w:p w14:paraId="4F62BD24" w14:textId="2EE09027" w:rsidR="00F70472" w:rsidRPr="00F70472" w:rsidRDefault="00F70472" w:rsidP="00F70472">
      <w:pPr>
        <w:spacing w:line="360" w:lineRule="auto"/>
        <w:rPr>
          <w:rFonts w:ascii="Times New Roman" w:hAnsi="Times New Roman" w:cs="Times New Roman"/>
          <w:b/>
          <w:bCs/>
        </w:rPr>
      </w:pPr>
      <w:r w:rsidRPr="00F70472">
        <w:rPr>
          <w:rFonts w:ascii="Times New Roman" w:hAnsi="Times New Roman" w:cs="Times New Roman"/>
          <w:b/>
          <w:bCs/>
        </w:rPr>
        <w:lastRenderedPageBreak/>
        <w:t xml:space="preserve">1. Introduction </w:t>
      </w:r>
    </w:p>
    <w:p w14:paraId="19FEF51B"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t>Businesses operate within an increasingly regulated global environment where legal systems influence almost every aspect of organisational activity, including market entry, employment practices, financial reporting, consumer relationships, technological development and corporate governance. Legal and regulatory frameworks establish the boundaries within which organisations compete while also creating obligations regarding ethical conduct, transparency and accountability. In modern economies, compliance with laws is no longer viewed only as a mechanism for avoiding penalties but has become an essential component of strategic management and organisational sustainability.</w:t>
      </w:r>
    </w:p>
    <w:p w14:paraId="650DDD48"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t>The legal environment affects business operations through multiple dimensions, including company law, employment legislation, intellectual property rights, consumer protection regulations, competition policies and data protection requirements. Organisations must continuously adapt to regulatory changes arising from technological advancements, globalisation, environmental concerns and changing societal expectations. Failure to comply with these requirements may expose companies to litigation, financial losses, reputational damage and operational disruption.</w:t>
      </w:r>
    </w:p>
    <w:p w14:paraId="5FEEF024"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t>This report aims to critically analyse how legal frameworks and regulatory requirements influence business decision-making and organisational performance. It examines the impact of compliance obligations on corporate strategy, risk management and ethical responsibility while evaluating how regulations can create both challenges and opportunities for businesses.</w:t>
      </w:r>
    </w:p>
    <w:p w14:paraId="6C7F7EE0"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t>The report applies relevant socioeconomic and legal theories alongside real-world business examples to understand the relationship between regulation and organisational behaviour. Through a critical analysis of corporate governance, compliance systems and regulatory adaptation strategies, the study demonstrates the importance of integrating legal considerations into business planning. The overall objective is to highlight how effective legal management contributes to sustainable operations, stakeholder trust and long-term competitive advantage.</w:t>
      </w:r>
    </w:p>
    <w:p w14:paraId="7C30D746" w14:textId="77777777" w:rsidR="00F70472" w:rsidRDefault="00F70472" w:rsidP="00F70472">
      <w:pPr>
        <w:spacing w:line="360" w:lineRule="auto"/>
        <w:rPr>
          <w:rFonts w:ascii="Times New Roman" w:hAnsi="Times New Roman" w:cs="Times New Roman"/>
        </w:rPr>
      </w:pPr>
    </w:p>
    <w:p w14:paraId="6B351AAA" w14:textId="77777777" w:rsidR="00F70472" w:rsidRPr="00F70472" w:rsidRDefault="00F70472" w:rsidP="00F70472">
      <w:pPr>
        <w:spacing w:line="360" w:lineRule="auto"/>
        <w:rPr>
          <w:rFonts w:ascii="Times New Roman" w:hAnsi="Times New Roman" w:cs="Times New Roman"/>
        </w:rPr>
      </w:pPr>
    </w:p>
    <w:p w14:paraId="33B13D2C" w14:textId="6F4CE5AA" w:rsidR="00F70472" w:rsidRPr="00F70472" w:rsidRDefault="00F70472" w:rsidP="00F70472">
      <w:pPr>
        <w:spacing w:line="360" w:lineRule="auto"/>
        <w:rPr>
          <w:rFonts w:ascii="Times New Roman" w:hAnsi="Times New Roman" w:cs="Times New Roman"/>
          <w:b/>
          <w:bCs/>
        </w:rPr>
      </w:pPr>
      <w:r w:rsidRPr="00F70472">
        <w:rPr>
          <w:rFonts w:ascii="Times New Roman" w:hAnsi="Times New Roman" w:cs="Times New Roman"/>
          <w:b/>
          <w:bCs/>
        </w:rPr>
        <w:lastRenderedPageBreak/>
        <w:t xml:space="preserve">2. Literature Review </w:t>
      </w:r>
    </w:p>
    <w:p w14:paraId="31849953" w14:textId="77777777" w:rsidR="00F70472" w:rsidRPr="00F70472" w:rsidRDefault="00F70472" w:rsidP="00F70472">
      <w:pPr>
        <w:spacing w:line="360" w:lineRule="auto"/>
        <w:rPr>
          <w:rFonts w:ascii="Times New Roman" w:hAnsi="Times New Roman" w:cs="Times New Roman"/>
          <w:b/>
          <w:bCs/>
        </w:rPr>
      </w:pPr>
      <w:r w:rsidRPr="00F70472">
        <w:rPr>
          <w:rFonts w:ascii="Times New Roman" w:hAnsi="Times New Roman" w:cs="Times New Roman"/>
          <w:b/>
          <w:bCs/>
        </w:rPr>
        <w:t>2.1 Understanding the Legal and Regulatory Environment in Business</w:t>
      </w:r>
    </w:p>
    <w:p w14:paraId="46FAE4E9"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t>The legal environment represents the collection of laws, regulations and institutional frameworks that govern business activities within a particular jurisdiction. According to North (1990), institutions provide the formal rules and constraints that shape economic interactions and influence organisational behaviour. These institutions reduce uncertainty by establishing predictable operating conditions, enabling businesses to make strategic decisions with greater confidence. However, changing regulatory expectations require organisations to continuously adapt their practices and governance structures.</w:t>
      </w:r>
    </w:p>
    <w:p w14:paraId="222C9DBB"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t>Modern businesses operate under multiple layers of regulation, including corporate governance laws, employment standards, taxation requirements, environmental regulations and consumer protection rules. These legal frameworks influence not only operational activities but also organisational culture, ethical standards and stakeholder relationships. Freeman’s (1984) stakeholder theory suggests that businesses have responsibilities beyond shareholders and must consider the interests of employees, customers, communities and regulators. Legal compliance therefore becomes an important mechanism for balancing competing stakeholder expectations.</w:t>
      </w:r>
    </w:p>
    <w:p w14:paraId="24ABD5AB" w14:textId="624D4702" w:rsidR="00F70472" w:rsidRPr="00F70472" w:rsidRDefault="00F70472" w:rsidP="00F70472">
      <w:pPr>
        <w:spacing w:line="360" w:lineRule="auto"/>
        <w:rPr>
          <w:rFonts w:ascii="Times New Roman" w:hAnsi="Times New Roman" w:cs="Times New Roman"/>
        </w:rPr>
      </w:pPr>
    </w:p>
    <w:p w14:paraId="6F30C694" w14:textId="77777777" w:rsidR="00F70472" w:rsidRPr="00F70472" w:rsidRDefault="00F70472" w:rsidP="00F70472">
      <w:pPr>
        <w:spacing w:line="360" w:lineRule="auto"/>
        <w:rPr>
          <w:rFonts w:ascii="Times New Roman" w:hAnsi="Times New Roman" w:cs="Times New Roman"/>
          <w:b/>
          <w:bCs/>
        </w:rPr>
      </w:pPr>
      <w:r w:rsidRPr="00F70472">
        <w:rPr>
          <w:rFonts w:ascii="Times New Roman" w:hAnsi="Times New Roman" w:cs="Times New Roman"/>
          <w:b/>
          <w:bCs/>
        </w:rPr>
        <w:t>2.2 Corporate Law and Organisational Decision-Making</w:t>
      </w:r>
    </w:p>
    <w:p w14:paraId="3D3F0437"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t>Corporate law establishes the legal foundation for business formation, ownership structures, director responsibilities and accountability mechanisms. The principles of corporate governance require organisations to maintain transparency, responsible decision-making and protection of stakeholder interests. According to Tricker (2019), effective corporate governance ensures that managerial decisions align with organisational objectives while maintaining accountability to shareholders and society.</w:t>
      </w:r>
    </w:p>
    <w:p w14:paraId="359193EA"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t xml:space="preserve">Company legislation influences strategic decisions by defining directors’ duties, reporting requirements and disclosure obligations. Directors are expected to act with due care, avoid conflicts of interest and make decisions that support organisational sustainability. Weak governance structures may contribute to unethical practices and corporate failures, as </w:t>
      </w:r>
      <w:r w:rsidRPr="00F70472">
        <w:rPr>
          <w:rFonts w:ascii="Times New Roman" w:hAnsi="Times New Roman" w:cs="Times New Roman"/>
        </w:rPr>
        <w:lastRenderedPageBreak/>
        <w:t>demonstrated by cases such as Enron, where inadequate oversight and misleading financial reporting resulted in significant organisational collapse.</w:t>
      </w:r>
    </w:p>
    <w:p w14:paraId="2CE43AFF"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t>Corporate governance frameworks therefore encourage businesses to develop internal controls, audit mechanisms and ethical decision-making processes. These systems reduce legal risks while improving investor confidence and organisational credibility.</w:t>
      </w:r>
    </w:p>
    <w:p w14:paraId="23D095A9" w14:textId="77777777" w:rsidR="00F70472" w:rsidRPr="00F70472" w:rsidRDefault="00F70472" w:rsidP="00F70472">
      <w:pPr>
        <w:spacing w:line="360" w:lineRule="auto"/>
        <w:rPr>
          <w:rFonts w:ascii="Times New Roman" w:hAnsi="Times New Roman" w:cs="Times New Roman"/>
        </w:rPr>
      </w:pPr>
    </w:p>
    <w:p w14:paraId="1188DC9B" w14:textId="77777777" w:rsidR="00F70472" w:rsidRPr="00F70472" w:rsidRDefault="00F70472" w:rsidP="00F70472">
      <w:pPr>
        <w:spacing w:line="360" w:lineRule="auto"/>
        <w:rPr>
          <w:rFonts w:ascii="Times New Roman" w:hAnsi="Times New Roman" w:cs="Times New Roman"/>
          <w:b/>
          <w:bCs/>
        </w:rPr>
      </w:pPr>
      <w:r w:rsidRPr="00F70472">
        <w:rPr>
          <w:rFonts w:ascii="Times New Roman" w:hAnsi="Times New Roman" w:cs="Times New Roman"/>
          <w:b/>
          <w:bCs/>
        </w:rPr>
        <w:t>2.3 Employment Law and Workforce Management</w:t>
      </w:r>
    </w:p>
    <w:p w14:paraId="4A83CEFF"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t>Employment regulations represent another significant component of the legal business environment. Labour laws establish minimum standards relating to wages, workplace safety, discrimination, employee rights and termination procedures. According to Kaufman (2015), employment regulation plays an important role in balancing organisational flexibility with employee protection.</w:t>
      </w:r>
    </w:p>
    <w:p w14:paraId="3DA8D851"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t>Businesses must ensure compliance with workplace legislation because employee-related disputes can result in financial penalties and reputational harm. Regulations concerning equality, diversity and workplace safety increasingly influence organisational policies and human resource strategies. For example, multinational companies operating across different jurisdictions must adapt their employment practices according to local labour requirements.</w:t>
      </w:r>
    </w:p>
    <w:p w14:paraId="117F6070"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t>Furthermore, employment regulations influence organisational culture by encouraging fair treatment, inclusion and ethical leadership. Companies that integrate legal compliance with employee wellbeing strategies may strengthen employee engagement and reduce workforce-related risks.</w:t>
      </w:r>
    </w:p>
    <w:p w14:paraId="5EA36753" w14:textId="377EAA08" w:rsidR="00F70472" w:rsidRPr="00F70472" w:rsidRDefault="00F70472" w:rsidP="00F70472">
      <w:pPr>
        <w:spacing w:line="360" w:lineRule="auto"/>
        <w:rPr>
          <w:rFonts w:ascii="Times New Roman" w:hAnsi="Times New Roman" w:cs="Times New Roman"/>
        </w:rPr>
      </w:pPr>
    </w:p>
    <w:p w14:paraId="3DBFD5A9" w14:textId="77777777" w:rsidR="00F70472" w:rsidRPr="00F70472" w:rsidRDefault="00F70472" w:rsidP="00F70472">
      <w:pPr>
        <w:spacing w:line="360" w:lineRule="auto"/>
        <w:rPr>
          <w:rFonts w:ascii="Times New Roman" w:hAnsi="Times New Roman" w:cs="Times New Roman"/>
          <w:b/>
          <w:bCs/>
        </w:rPr>
      </w:pPr>
      <w:r w:rsidRPr="00F70472">
        <w:rPr>
          <w:rFonts w:ascii="Times New Roman" w:hAnsi="Times New Roman" w:cs="Times New Roman"/>
          <w:b/>
          <w:bCs/>
        </w:rPr>
        <w:t>2.4 Intellectual Property Law and Innovation</w:t>
      </w:r>
    </w:p>
    <w:p w14:paraId="03748D90"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t>Intellectual property (IP) regulations protect organisational knowledge, inventions, brands and creative assets. Intellectual property rights enable businesses to gain economic value from innovation by preventing unauthorised use of proprietary information. According to Teece (1986), protection of intellectual assets is essential for organisations seeking sustainable competitive advantages.</w:t>
      </w:r>
    </w:p>
    <w:p w14:paraId="296786A2"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lastRenderedPageBreak/>
        <w:t>Patents, trademarks and copyrights allow companies to differentiate themselves within competitive markets. However, businesses must also manage risks associated with intellectual property disputes, technology transfers and digital piracy. The increasing importance of artificial intelligence, software development and digital platforms has further increased the need for effective intellectual property governance.</w:t>
      </w:r>
    </w:p>
    <w:p w14:paraId="03A4CCF9"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t>Legal protection of innovation therefore acts both as a compliance requirement and a strategic opportunity. Organisations that effectively manage intellectual property assets can strengthen market positioning and encourage continuous innovation.</w:t>
      </w:r>
    </w:p>
    <w:p w14:paraId="645810F2" w14:textId="5A9C4136" w:rsidR="00F70472" w:rsidRPr="00F70472" w:rsidRDefault="00F70472" w:rsidP="00F70472">
      <w:pPr>
        <w:spacing w:line="360" w:lineRule="auto"/>
        <w:rPr>
          <w:rFonts w:ascii="Times New Roman" w:hAnsi="Times New Roman" w:cs="Times New Roman"/>
        </w:rPr>
      </w:pPr>
    </w:p>
    <w:p w14:paraId="218EFF5D" w14:textId="77777777" w:rsidR="00F70472" w:rsidRPr="00F70472" w:rsidRDefault="00F70472" w:rsidP="00F70472">
      <w:pPr>
        <w:spacing w:line="360" w:lineRule="auto"/>
        <w:rPr>
          <w:rFonts w:ascii="Times New Roman" w:hAnsi="Times New Roman" w:cs="Times New Roman"/>
          <w:b/>
          <w:bCs/>
        </w:rPr>
      </w:pPr>
      <w:r w:rsidRPr="00F70472">
        <w:rPr>
          <w:rFonts w:ascii="Times New Roman" w:hAnsi="Times New Roman" w:cs="Times New Roman"/>
          <w:b/>
          <w:bCs/>
        </w:rPr>
        <w:t>2.5 Consumer Protection and Ethical Business Practices</w:t>
      </w:r>
    </w:p>
    <w:p w14:paraId="05E75866"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t>Consumer protection regulations ensure that businesses provide safe products, accurate information and fair commercial practices. These regulations are based on the principle that consumers require protection from misleading advertising, unsafe products and unfair contractual terms.</w:t>
      </w:r>
    </w:p>
    <w:p w14:paraId="1736EAB8"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t>According to Carroll’s (1991) corporate social responsibility framework, businesses have economic, legal, ethical and philanthropic responsibilities. Legal responsibility forms the foundation of responsible business behaviour because organisations are expected to operate within established societal rules.</w:t>
      </w:r>
    </w:p>
    <w:p w14:paraId="30D74805"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t>Consumer protection failures can significantly damage corporate reputation. For example, Volkswagen’s emissions scandal demonstrated how regulatory violations and unethical corporate decisions can create long-term consequences for stakeholder trust and brand value. Therefore, businesses must integrate consumer compliance into product development, marketing strategies and quality management systems.</w:t>
      </w:r>
    </w:p>
    <w:p w14:paraId="4DF2C3FA" w14:textId="4D1FDE34" w:rsidR="00F70472" w:rsidRPr="00F70472" w:rsidRDefault="00F70472" w:rsidP="00F70472">
      <w:pPr>
        <w:spacing w:line="360" w:lineRule="auto"/>
        <w:rPr>
          <w:rFonts w:ascii="Times New Roman" w:hAnsi="Times New Roman" w:cs="Times New Roman"/>
        </w:rPr>
      </w:pPr>
    </w:p>
    <w:p w14:paraId="755537B1" w14:textId="77777777" w:rsidR="00F70472" w:rsidRPr="00F70472" w:rsidRDefault="00F70472" w:rsidP="00F70472">
      <w:pPr>
        <w:spacing w:line="360" w:lineRule="auto"/>
        <w:rPr>
          <w:rFonts w:ascii="Times New Roman" w:hAnsi="Times New Roman" w:cs="Times New Roman"/>
          <w:b/>
          <w:bCs/>
        </w:rPr>
      </w:pPr>
      <w:r w:rsidRPr="00F70472">
        <w:rPr>
          <w:rFonts w:ascii="Times New Roman" w:hAnsi="Times New Roman" w:cs="Times New Roman"/>
          <w:b/>
          <w:bCs/>
        </w:rPr>
        <w:t>2.6 Data Protection Regulations and Digital Business Operations</w:t>
      </w:r>
    </w:p>
    <w:p w14:paraId="61467464"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t>The rapid growth of digital technologies has transformed the importance of data protection regulations. Organisations increasingly collect and process consumer information, creating responsibilities regarding privacy, cybersecurity and responsible data management.</w:t>
      </w:r>
    </w:p>
    <w:p w14:paraId="66EBFA2A"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lastRenderedPageBreak/>
        <w:t>Regulations such as the General Data Protection Regulation (GDPR) establish strict requirements regarding consent, transparency and security of personal information. According to Solove (2021), privacy regulations are becoming increasingly important as businesses expand digital operations and rely on consumer data for strategic decision-making.</w:t>
      </w:r>
    </w:p>
    <w:p w14:paraId="05E9154C"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t>Non-compliance with data protection requirements can result in financial penalties, cyber risks and loss of customer confidence. Therefore, organisations must develop effective cybersecurity systems, employee training programmes and governance frameworks to manage digital risks.</w:t>
      </w:r>
    </w:p>
    <w:p w14:paraId="59E2B7A2" w14:textId="5AC18533" w:rsidR="00F70472" w:rsidRPr="00F70472" w:rsidRDefault="00F70472" w:rsidP="00F70472">
      <w:pPr>
        <w:spacing w:line="360" w:lineRule="auto"/>
        <w:rPr>
          <w:rFonts w:ascii="Times New Roman" w:hAnsi="Times New Roman" w:cs="Times New Roman"/>
        </w:rPr>
      </w:pPr>
    </w:p>
    <w:p w14:paraId="69ABB670" w14:textId="77777777" w:rsidR="00F70472" w:rsidRPr="00F70472" w:rsidRDefault="00F70472" w:rsidP="00F70472">
      <w:pPr>
        <w:spacing w:line="360" w:lineRule="auto"/>
        <w:rPr>
          <w:rFonts w:ascii="Times New Roman" w:hAnsi="Times New Roman" w:cs="Times New Roman"/>
          <w:b/>
          <w:bCs/>
        </w:rPr>
      </w:pPr>
      <w:r w:rsidRPr="00F70472">
        <w:rPr>
          <w:rFonts w:ascii="Times New Roman" w:hAnsi="Times New Roman" w:cs="Times New Roman"/>
          <w:b/>
          <w:bCs/>
        </w:rPr>
        <w:t>2.7 Regulation as Both Constraint and Business Opportunity</w:t>
      </w:r>
    </w:p>
    <w:p w14:paraId="7B82D8CD"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t>Although regulations are often viewed as operational constraints, academic research highlights that regulatory requirements can also create opportunities for innovation and competitive differentiation. Porter and van der Linde (1995) argue that appropriately designed environmental regulations can encourage companies to develop innovative solutions that improve efficiency and competitiveness.</w:t>
      </w:r>
    </w:p>
    <w:p w14:paraId="65C422D0"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t>Businesses that proactively respond to regulatory changes may gain advantages through improved reputation, stronger stakeholder relationships and enhanced market credibility. Sustainability regulations, for example, have encouraged organisations to develop environmentally responsible products and operational models.</w:t>
      </w:r>
    </w:p>
    <w:p w14:paraId="30786699" w14:textId="77777777" w:rsidR="00F70472" w:rsidRPr="00F70472" w:rsidRDefault="00F70472" w:rsidP="00F70472">
      <w:pPr>
        <w:spacing w:line="360" w:lineRule="auto"/>
        <w:rPr>
          <w:rFonts w:ascii="Times New Roman" w:hAnsi="Times New Roman" w:cs="Times New Roman"/>
        </w:rPr>
      </w:pPr>
      <w:r w:rsidRPr="00F70472">
        <w:rPr>
          <w:rFonts w:ascii="Times New Roman" w:hAnsi="Times New Roman" w:cs="Times New Roman"/>
        </w:rPr>
        <w:t>Therefore, legal compliance should not be considered merely a cost of doing business. Instead, it represents a strategic capability that enables organisations to manage uncertainty, build resilience and achieve sustainable growth.</w:t>
      </w:r>
    </w:p>
    <w:p w14:paraId="1604B7AD" w14:textId="0AFE59A3" w:rsidR="00F70472" w:rsidRPr="00F70472" w:rsidRDefault="00F70472" w:rsidP="00F70472">
      <w:pPr>
        <w:spacing w:line="360" w:lineRule="auto"/>
        <w:rPr>
          <w:rFonts w:ascii="Times New Roman" w:hAnsi="Times New Roman" w:cs="Times New Roman"/>
        </w:rPr>
      </w:pPr>
    </w:p>
    <w:p w14:paraId="4E073540" w14:textId="77777777" w:rsidR="00F70472" w:rsidRPr="00F70472" w:rsidRDefault="00F70472" w:rsidP="00F70472">
      <w:pPr>
        <w:spacing w:line="360" w:lineRule="auto"/>
        <w:rPr>
          <w:rFonts w:ascii="Times New Roman" w:hAnsi="Times New Roman" w:cs="Times New Roman"/>
          <w:b/>
          <w:bCs/>
        </w:rPr>
      </w:pPr>
      <w:r w:rsidRPr="00F70472">
        <w:rPr>
          <w:rFonts w:ascii="Times New Roman" w:hAnsi="Times New Roman" w:cs="Times New Roman"/>
          <w:b/>
          <w:bCs/>
        </w:rPr>
        <w:t>2.8 Research Gap</w:t>
      </w:r>
    </w:p>
    <w:p w14:paraId="0592A415" w14:textId="77777777" w:rsidR="00F70472" w:rsidRDefault="00F70472" w:rsidP="00F70472">
      <w:pPr>
        <w:spacing w:line="360" w:lineRule="auto"/>
        <w:rPr>
          <w:rFonts w:ascii="Times New Roman" w:hAnsi="Times New Roman" w:cs="Times New Roman"/>
        </w:rPr>
      </w:pPr>
      <w:r w:rsidRPr="00F70472">
        <w:rPr>
          <w:rFonts w:ascii="Times New Roman" w:hAnsi="Times New Roman" w:cs="Times New Roman"/>
        </w:rPr>
        <w:t xml:space="preserve">Existing literature extensively examines individual areas of business regulation, including corporate governance, employment law and data protection. However, there remains a need for integrated analysis explaining how multiple legal frameworks collectively influence strategic decision-making and organisational sustainability. This report addresses this gap by examining </w:t>
      </w:r>
      <w:r w:rsidRPr="00F70472">
        <w:rPr>
          <w:rFonts w:ascii="Times New Roman" w:hAnsi="Times New Roman" w:cs="Times New Roman"/>
        </w:rPr>
        <w:lastRenderedPageBreak/>
        <w:t>legal regulation as a comprehensive business environment factor affecting governance, risk management and competitive performance.</w:t>
      </w:r>
    </w:p>
    <w:p w14:paraId="202E6712" w14:textId="046547F9"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 xml:space="preserve">3. Strategic Analysis / Methodology </w:t>
      </w:r>
    </w:p>
    <w:p w14:paraId="2F34E074"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3.1 Research Approach</w:t>
      </w:r>
    </w:p>
    <w:p w14:paraId="1A937D7D"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This report adopts a qualitative research methodology to critically examine the influence of legal and regulatory environments on business operations and organisational decision-making. A qualitative approach is appropriate because the study focuses on understanding complex relationships between regulatory frameworks, corporate strategies, governance practices and organisational responses. Rather than measuring numerical relationships, the research evaluates how legal requirements shape managerial behaviour, risk management approaches and long-term business sustainability.</w:t>
      </w:r>
    </w:p>
    <w:p w14:paraId="2741D27E"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The study is based on secondary research involving academic journal articles, books, regulatory reports, corporate disclosures and documented business case studies. Secondary research enables analysis of established theoretical perspectives and practical examples of organisations affected by legal and regulatory developments.</w:t>
      </w:r>
    </w:p>
    <w:p w14:paraId="2334FA73" w14:textId="04B73B29" w:rsidR="00CF085C" w:rsidRPr="00CF085C" w:rsidRDefault="00CF085C" w:rsidP="00CF085C">
      <w:pPr>
        <w:spacing w:line="360" w:lineRule="auto"/>
        <w:rPr>
          <w:rFonts w:ascii="Times New Roman" w:hAnsi="Times New Roman" w:cs="Times New Roman"/>
        </w:rPr>
      </w:pPr>
    </w:p>
    <w:p w14:paraId="4278DCFA"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3.2 Analytical Framework</w:t>
      </w:r>
    </w:p>
    <w:p w14:paraId="31C23C70"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The analysis applies multiple theoretical frameworks to evaluate the relationship between legal systems and business operations.</w:t>
      </w:r>
    </w:p>
    <w:p w14:paraId="03955175"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Institutional Theory</w:t>
      </w:r>
    </w:p>
    <w:p w14:paraId="1262B4E5"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Institutional Theory developed by North (1990) explains how formal institutions, including laws and regulations, influence organisational behaviour. This framework is used to examine how businesses adapt their strategies according to legal expectations and regulatory pressures. Organisations are required to maintain legitimacy by complying with institutional requirements established by governments, regulators and society.</w:t>
      </w:r>
    </w:p>
    <w:p w14:paraId="6FC2824A"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lastRenderedPageBreak/>
        <w:t>Through this perspective, regulatory compliance is analysed not only as a legal obligation but also as a mechanism through which companies maintain stakeholder confidence and organisational legitimacy.</w:t>
      </w:r>
    </w:p>
    <w:p w14:paraId="140D4D91" w14:textId="70443BCE" w:rsidR="00CF085C" w:rsidRPr="00CF085C" w:rsidRDefault="00CF085C" w:rsidP="00CF085C">
      <w:pPr>
        <w:spacing w:line="360" w:lineRule="auto"/>
        <w:rPr>
          <w:rFonts w:ascii="Times New Roman" w:hAnsi="Times New Roman" w:cs="Times New Roman"/>
        </w:rPr>
      </w:pPr>
    </w:p>
    <w:p w14:paraId="5D6570BE"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Stakeholder Theory</w:t>
      </w:r>
    </w:p>
    <w:p w14:paraId="17A3044A"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Freeman’s (1984) Stakeholder Theory is applied to analyse how legal requirements influence relationships between organisations and different stakeholder groups. Businesses are accountable not only to shareholders but also to employees, customers, communities, suppliers and regulatory authorities.</w:t>
      </w:r>
    </w:p>
    <w:p w14:paraId="63E8477F"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The framework helps evaluate how regulations related to consumer protection, employment rights and corporate governance encourage businesses to consider broader social responsibilities. Organisations that ignore stakeholder interests may experience regulatory disputes, reputational damage and declining trust.</w:t>
      </w:r>
    </w:p>
    <w:p w14:paraId="610BD150" w14:textId="12D44E3E" w:rsidR="00CF085C" w:rsidRPr="00CF085C" w:rsidRDefault="00CF085C" w:rsidP="00CF085C">
      <w:pPr>
        <w:spacing w:line="360" w:lineRule="auto"/>
        <w:rPr>
          <w:rFonts w:ascii="Times New Roman" w:hAnsi="Times New Roman" w:cs="Times New Roman"/>
        </w:rPr>
      </w:pPr>
    </w:p>
    <w:p w14:paraId="1D69E5C6"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Corporate Governance Framework</w:t>
      </w:r>
    </w:p>
    <w:p w14:paraId="02A08C23"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Corporate governance principles are used to assess how legal requirements influence organisational accountability and decision-making structures. Governance mechanisms such as board oversight, auditing systems, transparency requirements and director responsibilities are examined as tools for reducing corporate risks.</w:t>
      </w:r>
    </w:p>
    <w:p w14:paraId="642CDED3"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The framework evaluates whether organisations integrate compliance responsibilities into strategic management processes rather than treating legal obligations as separate administrative activities.</w:t>
      </w:r>
    </w:p>
    <w:p w14:paraId="286D22C4" w14:textId="75CA62FB" w:rsidR="00CF085C" w:rsidRPr="00CF085C" w:rsidRDefault="00CF085C" w:rsidP="00CF085C">
      <w:pPr>
        <w:spacing w:line="360" w:lineRule="auto"/>
        <w:rPr>
          <w:rFonts w:ascii="Times New Roman" w:hAnsi="Times New Roman" w:cs="Times New Roman"/>
        </w:rPr>
      </w:pPr>
    </w:p>
    <w:p w14:paraId="7DDB8913"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3.3 Case Study Analysis Approach</w:t>
      </w:r>
    </w:p>
    <w:p w14:paraId="6A268FDE"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To connect theoretical concepts with real business situations, the research incorporates examples of organisations affected by legal and regulatory issues. Selected cases include:</w:t>
      </w:r>
    </w:p>
    <w:p w14:paraId="646A1C20"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lastRenderedPageBreak/>
        <w:t>Volkswagen Emissions Scandal:</w:t>
      </w:r>
      <w:r w:rsidRPr="00CF085C">
        <w:rPr>
          <w:rFonts w:ascii="Times New Roman" w:hAnsi="Times New Roman" w:cs="Times New Roman"/>
        </w:rPr>
        <w:br/>
        <w:t>This case demonstrates how regulatory violations related to environmental standards can create financial, reputational and operational consequences. It highlights the importance of ethical governance and compliance monitoring.</w:t>
      </w:r>
    </w:p>
    <w:p w14:paraId="55C5E7B7"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Google and Data Protection Regulations:</w:t>
      </w:r>
      <w:r w:rsidRPr="00CF085C">
        <w:rPr>
          <w:rFonts w:ascii="Times New Roman" w:hAnsi="Times New Roman" w:cs="Times New Roman"/>
        </w:rPr>
        <w:br/>
        <w:t>Digital businesses such as Google operate within complex privacy regulations, including GDPR requirements. This case illustrates how data protection laws influence technology strategies, consumer relationships and information management systems.</w:t>
      </w:r>
    </w:p>
    <w:p w14:paraId="24574D7F"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b/>
          <w:bCs/>
        </w:rPr>
        <w:t>Enron Corporate Governance Failure:</w:t>
      </w:r>
      <w:r w:rsidRPr="00CF085C">
        <w:rPr>
          <w:rFonts w:ascii="Times New Roman" w:hAnsi="Times New Roman" w:cs="Times New Roman"/>
        </w:rPr>
        <w:br/>
        <w:t>The Enron case demonstrates the consequences of weak governance structures, inadequate regulatory oversight and unethical financial reporting practices.</w:t>
      </w:r>
    </w:p>
    <w:p w14:paraId="4444B7D6"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These cases provide practical evidence of how regulatory environments influence corporate decisions and risk management strategies.</w:t>
      </w:r>
    </w:p>
    <w:p w14:paraId="1B4D5726" w14:textId="7F7A5322" w:rsidR="00CF085C" w:rsidRPr="00CF085C" w:rsidRDefault="00CF085C" w:rsidP="00CF085C">
      <w:pPr>
        <w:spacing w:line="360" w:lineRule="auto"/>
        <w:rPr>
          <w:rFonts w:ascii="Times New Roman" w:hAnsi="Times New Roman" w:cs="Times New Roman"/>
        </w:rPr>
      </w:pPr>
    </w:p>
    <w:p w14:paraId="01150E72"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3.4 Data Analysis Method</w:t>
      </w:r>
    </w:p>
    <w:p w14:paraId="1FD7E363"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The collected information is analysed through thematic analysis. Key themes are identified, including:</w:t>
      </w:r>
    </w:p>
    <w:p w14:paraId="383B1ABE" w14:textId="77777777" w:rsidR="00CF085C" w:rsidRPr="00CF085C" w:rsidRDefault="00CF085C" w:rsidP="00CF085C">
      <w:pPr>
        <w:numPr>
          <w:ilvl w:val="0"/>
          <w:numId w:val="1"/>
        </w:numPr>
        <w:spacing w:line="360" w:lineRule="auto"/>
        <w:rPr>
          <w:rFonts w:ascii="Times New Roman" w:hAnsi="Times New Roman" w:cs="Times New Roman"/>
        </w:rPr>
      </w:pPr>
      <w:r w:rsidRPr="00CF085C">
        <w:rPr>
          <w:rFonts w:ascii="Times New Roman" w:hAnsi="Times New Roman" w:cs="Times New Roman"/>
        </w:rPr>
        <w:t>Legal compliance and organisational sustainability</w:t>
      </w:r>
    </w:p>
    <w:p w14:paraId="4E7DBED5" w14:textId="77777777" w:rsidR="00CF085C" w:rsidRPr="00CF085C" w:rsidRDefault="00CF085C" w:rsidP="00CF085C">
      <w:pPr>
        <w:numPr>
          <w:ilvl w:val="0"/>
          <w:numId w:val="1"/>
        </w:numPr>
        <w:spacing w:line="360" w:lineRule="auto"/>
        <w:rPr>
          <w:rFonts w:ascii="Times New Roman" w:hAnsi="Times New Roman" w:cs="Times New Roman"/>
        </w:rPr>
      </w:pPr>
      <w:r w:rsidRPr="00CF085C">
        <w:rPr>
          <w:rFonts w:ascii="Times New Roman" w:hAnsi="Times New Roman" w:cs="Times New Roman"/>
        </w:rPr>
        <w:t>Regulatory risks and business performance</w:t>
      </w:r>
    </w:p>
    <w:p w14:paraId="490EBE68" w14:textId="77777777" w:rsidR="00CF085C" w:rsidRPr="00CF085C" w:rsidRDefault="00CF085C" w:rsidP="00CF085C">
      <w:pPr>
        <w:numPr>
          <w:ilvl w:val="0"/>
          <w:numId w:val="1"/>
        </w:numPr>
        <w:spacing w:line="360" w:lineRule="auto"/>
        <w:rPr>
          <w:rFonts w:ascii="Times New Roman" w:hAnsi="Times New Roman" w:cs="Times New Roman"/>
        </w:rPr>
      </w:pPr>
      <w:r w:rsidRPr="00CF085C">
        <w:rPr>
          <w:rFonts w:ascii="Times New Roman" w:hAnsi="Times New Roman" w:cs="Times New Roman"/>
        </w:rPr>
        <w:t>Corporate governance and accountability</w:t>
      </w:r>
    </w:p>
    <w:p w14:paraId="55AB6B21" w14:textId="77777777" w:rsidR="00CF085C" w:rsidRPr="00CF085C" w:rsidRDefault="00CF085C" w:rsidP="00CF085C">
      <w:pPr>
        <w:numPr>
          <w:ilvl w:val="0"/>
          <w:numId w:val="1"/>
        </w:numPr>
        <w:spacing w:line="360" w:lineRule="auto"/>
        <w:rPr>
          <w:rFonts w:ascii="Times New Roman" w:hAnsi="Times New Roman" w:cs="Times New Roman"/>
        </w:rPr>
      </w:pPr>
      <w:r w:rsidRPr="00CF085C">
        <w:rPr>
          <w:rFonts w:ascii="Times New Roman" w:hAnsi="Times New Roman" w:cs="Times New Roman"/>
        </w:rPr>
        <w:t>Ethical responsibilities and stakeholder protection</w:t>
      </w:r>
    </w:p>
    <w:p w14:paraId="2C39B88A" w14:textId="77777777" w:rsidR="00CF085C" w:rsidRPr="00CF085C" w:rsidRDefault="00CF085C" w:rsidP="00CF085C">
      <w:pPr>
        <w:numPr>
          <w:ilvl w:val="0"/>
          <w:numId w:val="1"/>
        </w:numPr>
        <w:spacing w:line="360" w:lineRule="auto"/>
        <w:rPr>
          <w:rFonts w:ascii="Times New Roman" w:hAnsi="Times New Roman" w:cs="Times New Roman"/>
        </w:rPr>
      </w:pPr>
      <w:r w:rsidRPr="00CF085C">
        <w:rPr>
          <w:rFonts w:ascii="Times New Roman" w:hAnsi="Times New Roman" w:cs="Times New Roman"/>
        </w:rPr>
        <w:t>Regulation as a driver of innovation</w:t>
      </w:r>
    </w:p>
    <w:p w14:paraId="3D696105"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Thematic analysis allows comparison between theoretical concepts and practical business outcomes. Patterns across different industries are examined to identify how organisations respond to regulatory pressures.</w:t>
      </w:r>
    </w:p>
    <w:p w14:paraId="0EBBE352"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pict w14:anchorId="4258EFB8">
          <v:rect id="_x0000_i1291" style="width:0;height:1.5pt" o:hralign="center" o:hrstd="t" o:hr="t" fillcolor="#a0a0a0" stroked="f"/>
        </w:pict>
      </w:r>
    </w:p>
    <w:p w14:paraId="590C86D9"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lastRenderedPageBreak/>
        <w:t>3.5 Limitations of Methodology</w:t>
      </w:r>
    </w:p>
    <w:p w14:paraId="509E064D"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Although secondary research provides valuable insights, it has certain limitations. The research depends on existing academic and corporate sources, which may reflect specific perspectives or reporting limitations. Additionally, legal frameworks differ between countries, meaning findings may not apply equally across all business environments.</w:t>
      </w:r>
    </w:p>
    <w:p w14:paraId="59649F26"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However, using multiple sources and analysing different industries improves reliability and provides a broader understanding of how legal and regulatory systems influence modern business operations.</w:t>
      </w:r>
    </w:p>
    <w:p w14:paraId="043A5338" w14:textId="2A6D6EC8" w:rsidR="00CF085C" w:rsidRPr="00CF085C" w:rsidRDefault="00CF085C" w:rsidP="00CF085C">
      <w:pPr>
        <w:spacing w:line="360" w:lineRule="auto"/>
        <w:rPr>
          <w:rFonts w:ascii="Times New Roman" w:hAnsi="Times New Roman" w:cs="Times New Roman"/>
        </w:rPr>
      </w:pPr>
    </w:p>
    <w:p w14:paraId="4C9739B9" w14:textId="433FBE74"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 xml:space="preserve">4. Findings and Analysis </w:t>
      </w:r>
    </w:p>
    <w:p w14:paraId="608E58C1"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4.1 Impact of Legal Compliance on Business Operations</w:t>
      </w:r>
    </w:p>
    <w:p w14:paraId="4FEFC931"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The findings indicate that legal compliance has become an essential strategic function rather than merely a regulatory obligation. Businesses operating in contemporary markets must comply with multiple legal requirements relating to corporate governance, employment practices, consumer protection, environmental responsibilities and digital operations.</w:t>
      </w:r>
    </w:p>
    <w:p w14:paraId="3D0637EA"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Legal compliance directly influences operational processes because organisations must establish internal policies, monitoring systems and employee training programmes. Companies that fail to implement effective compliance mechanisms may face financial penalties, legal disputes and disruption of business activities.</w:t>
      </w:r>
    </w:p>
    <w:p w14:paraId="329BE10D"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For example, the Volkswagen emissions case demonstrates how failure to comply with environmental regulations can create significant organisational consequences. The company’s use of software designed to manipulate emissions testing resulted in regulatory investigations, financial penalties and substantial reputational damage. This case highlights that compliance failures can affect not only legal standing but also customer confidence and competitive position.</w:t>
      </w:r>
    </w:p>
    <w:p w14:paraId="21158FC8"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Therefore, organisations increasingly integrate compliance management systems into strategic planning. Legal departments, risk managers and senior executives collaborate to identify regulatory risks before they negatively affect business performance.</w:t>
      </w:r>
    </w:p>
    <w:p w14:paraId="5339C040" w14:textId="33BB104F" w:rsidR="00CF085C" w:rsidRPr="00CF085C" w:rsidRDefault="00CF085C" w:rsidP="00CF085C">
      <w:pPr>
        <w:spacing w:line="360" w:lineRule="auto"/>
        <w:rPr>
          <w:rFonts w:ascii="Times New Roman" w:hAnsi="Times New Roman" w:cs="Times New Roman"/>
        </w:rPr>
      </w:pPr>
    </w:p>
    <w:p w14:paraId="699133DC"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4.2 Influence of Corporate Law and Governance on Decision-Making</w:t>
      </w:r>
    </w:p>
    <w:p w14:paraId="027F6C3F"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The analysis demonstrates that corporate law strongly influences organisational decision-making by establishing responsibilities for directors, executives and boards of management. Governance regulations require companies to maintain transparency, accountability and responsible financial practices.</w:t>
      </w:r>
    </w:p>
    <w:p w14:paraId="6D6860E2"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Strong corporate governance frameworks support effective decision-making by ensuring that managerial actions are reviewed through independent oversight mechanisms. Boards of directors play an important role in monitoring organisational risks, approving strategic decisions and ensuring compliance with legal requirements.</w:t>
      </w:r>
    </w:p>
    <w:p w14:paraId="5859C08E"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The Enron corporate failure illustrates the importance of governance structures. The organisation experienced collapse due to accounting manipulation, ineffective board oversight and failures in ethical responsibility. This case demonstrates that legal requirements alone are insufficient unless supported by strong organisational culture and accountability systems.</w:t>
      </w:r>
    </w:p>
    <w:p w14:paraId="063CDB23"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Modern organisations therefore focus on governance practices such as independent directors, audit committees and compliance reporting systems. These mechanisms help reduce agency problems between managers and shareholders while improving stakeholder confidence.</w:t>
      </w:r>
    </w:p>
    <w:p w14:paraId="67AF6F21" w14:textId="363F415B" w:rsidR="00CF085C" w:rsidRPr="00CF085C" w:rsidRDefault="00CF085C" w:rsidP="00CF085C">
      <w:pPr>
        <w:spacing w:line="360" w:lineRule="auto"/>
        <w:rPr>
          <w:rFonts w:ascii="Times New Roman" w:hAnsi="Times New Roman" w:cs="Times New Roman"/>
        </w:rPr>
      </w:pPr>
    </w:p>
    <w:p w14:paraId="504745A4"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4.3 Employment Regulations and Human Resource Management</w:t>
      </w:r>
    </w:p>
    <w:p w14:paraId="594779B2"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Employment laws significantly influence organisational workforce strategies. Regulations relating to minimum wages, workplace safety, discrimination, employee rights and termination procedures require businesses to develop fair and legally compliant employment practices.</w:t>
      </w:r>
    </w:p>
    <w:p w14:paraId="261488B1"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The findings show that employment regulations can influence both organisational costs and workplace sustainability. While compliance may require investment in employee benefits, safety systems and training, it can also improve employee satisfaction and reduce workplace disputes.</w:t>
      </w:r>
    </w:p>
    <w:p w14:paraId="7CCCBEC5"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lastRenderedPageBreak/>
        <w:t>For multinational organisations, employment law creates additional complexity because companies must operate according to different national labour standards. Businesses must balance global consistency with local legal requirements.</w:t>
      </w:r>
    </w:p>
    <w:p w14:paraId="55BF8EEA"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Furthermore, increasing attention towards diversity, equality and workplace inclusion demonstrates that legal obligations increasingly overlap with social expectations. Organisations that proactively address these issues may strengthen employer reputation and attract skilled employees.</w:t>
      </w:r>
    </w:p>
    <w:p w14:paraId="30DA90E2" w14:textId="6F2D41B9" w:rsidR="00CF085C" w:rsidRPr="00CF085C" w:rsidRDefault="00CF085C" w:rsidP="00CF085C">
      <w:pPr>
        <w:spacing w:line="360" w:lineRule="auto"/>
        <w:rPr>
          <w:rFonts w:ascii="Times New Roman" w:hAnsi="Times New Roman" w:cs="Times New Roman"/>
        </w:rPr>
      </w:pPr>
    </w:p>
    <w:p w14:paraId="4BF4FAD4"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4.4 Intellectual Property Regulation and Business Innovation</w:t>
      </w:r>
    </w:p>
    <w:p w14:paraId="104770DC"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The research identifies intellectual property law as an important factor influencing innovation strategies. Companies invest significant resources in developing technologies, brands and creative products; therefore, legal protection of intellectual assets is essential.</w:t>
      </w:r>
    </w:p>
    <w:p w14:paraId="1FC1533C"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Patent protection enables organisations to recover investment costs associated with research and development, while trademarks help businesses establish brand identity. However, intellectual property disputes can create significant financial and operational risks.</w:t>
      </w:r>
    </w:p>
    <w:p w14:paraId="56A2D7D2"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Technology companies particularly depend on effective intellectual property management because innovation is central to competitive advantage. Businesses must establish legal protection strategies while ensuring that their own activities do not violate existing intellectual property rights.</w:t>
      </w:r>
    </w:p>
    <w:p w14:paraId="403E87E1"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The findings suggest that intellectual property regulations create both restrictions and opportunities. While businesses must comply with legal requirements, effective intellectual property management can support market differentiation and long-term growth.</w:t>
      </w:r>
    </w:p>
    <w:p w14:paraId="39EF8E7E" w14:textId="3FF683DB" w:rsidR="00CF085C" w:rsidRPr="00CF085C" w:rsidRDefault="00CF085C" w:rsidP="00CF085C">
      <w:pPr>
        <w:spacing w:line="360" w:lineRule="auto"/>
        <w:rPr>
          <w:rFonts w:ascii="Times New Roman" w:hAnsi="Times New Roman" w:cs="Times New Roman"/>
        </w:rPr>
      </w:pPr>
    </w:p>
    <w:p w14:paraId="363A43C0"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4.5 Data Protection and Digital Regulatory Challenges</w:t>
      </w:r>
    </w:p>
    <w:p w14:paraId="7445FDA1"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Digital transformation has significantly increased the importance of data protection regulations. Organisations increasingly depend on customer information, analytics and digital platforms, creating new legal responsibilities regarding privacy and cybersecurity.</w:t>
      </w:r>
    </w:p>
    <w:p w14:paraId="3C20045F"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lastRenderedPageBreak/>
        <w:t>Regulations such as GDPR require businesses to obtain appropriate consent, maintain data security and provide transparency regarding information processing. These requirements influence technology investment decisions and operational processes.</w:t>
      </w:r>
    </w:p>
    <w:p w14:paraId="33548628"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The analysis shows that data protection failures can have severe consequences. Data breaches may result in regulatory penalties, customer distrust and damage to corporate reputation. Consequently, businesses are investing in cybersecurity infrastructure, data governance frameworks and compliance training.</w:t>
      </w:r>
    </w:p>
    <w:p w14:paraId="4CAB779C"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However, privacy regulations also create opportunities by encouraging organisations to develop trustworthy digital services. Companies demonstrating responsible data management may strengthen customer relationships and competitive positioning.</w:t>
      </w:r>
    </w:p>
    <w:p w14:paraId="691875A9" w14:textId="014B472F" w:rsidR="00CF085C" w:rsidRPr="00CF085C" w:rsidRDefault="00CF085C" w:rsidP="00CF085C">
      <w:pPr>
        <w:spacing w:line="360" w:lineRule="auto"/>
        <w:rPr>
          <w:rFonts w:ascii="Times New Roman" w:hAnsi="Times New Roman" w:cs="Times New Roman"/>
        </w:rPr>
      </w:pPr>
    </w:p>
    <w:p w14:paraId="6A66B400"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4.6 Regulations as Drivers of Business Opportunities</w:t>
      </w:r>
    </w:p>
    <w:p w14:paraId="01145B84"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The findings indicate that regulations are not always restrictive; they can also encourage innovation and create new business opportunities. Environmental regulations, sustainability requirements and consumer expectations have encouraged organisations to develop cleaner technologies, responsible supply chains and ethical business models.</w:t>
      </w:r>
    </w:p>
    <w:p w14:paraId="05077F91"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Porter and van der Linde’s (1995) regulatory innovation perspective suggests that appropriate regulations can encourage businesses to improve efficiency and develop innovative solutions.</w:t>
      </w:r>
    </w:p>
    <w:p w14:paraId="0BB5A264"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For example, environmental regulations have encouraged companies to invest in renewable energy, sustainable packaging and circular economy practices. These initiatives may reduce environmental impact while creating new market opportunities.</w:t>
      </w:r>
    </w:p>
    <w:p w14:paraId="52238497" w14:textId="77777777" w:rsidR="00CF085C" w:rsidRDefault="00CF085C" w:rsidP="00CF085C">
      <w:pPr>
        <w:spacing w:line="360" w:lineRule="auto"/>
        <w:rPr>
          <w:rFonts w:ascii="Times New Roman" w:hAnsi="Times New Roman" w:cs="Times New Roman"/>
        </w:rPr>
      </w:pPr>
      <w:r w:rsidRPr="00CF085C">
        <w:rPr>
          <w:rFonts w:ascii="Times New Roman" w:hAnsi="Times New Roman" w:cs="Times New Roman"/>
        </w:rPr>
        <w:t>Therefore, organisations that view regulation strategically rather than reactively are more likely to develop resilience and maintain competitive advantages.</w:t>
      </w:r>
    </w:p>
    <w:p w14:paraId="1C1F0897" w14:textId="77777777" w:rsidR="00CF085C" w:rsidRDefault="00CF085C" w:rsidP="00CF085C">
      <w:pPr>
        <w:spacing w:line="360" w:lineRule="auto"/>
        <w:rPr>
          <w:rFonts w:ascii="Times New Roman" w:hAnsi="Times New Roman" w:cs="Times New Roman"/>
        </w:rPr>
      </w:pPr>
    </w:p>
    <w:p w14:paraId="2F218736" w14:textId="77777777" w:rsidR="00CF085C" w:rsidRDefault="00CF085C" w:rsidP="00CF085C">
      <w:pPr>
        <w:spacing w:line="360" w:lineRule="auto"/>
        <w:rPr>
          <w:rFonts w:ascii="Times New Roman" w:hAnsi="Times New Roman" w:cs="Times New Roman"/>
        </w:rPr>
      </w:pPr>
    </w:p>
    <w:p w14:paraId="04B811A2" w14:textId="77777777" w:rsidR="00CF085C" w:rsidRDefault="00CF085C" w:rsidP="00CF085C">
      <w:pPr>
        <w:spacing w:line="360" w:lineRule="auto"/>
        <w:rPr>
          <w:rFonts w:ascii="Times New Roman" w:hAnsi="Times New Roman" w:cs="Times New Roman"/>
        </w:rPr>
      </w:pPr>
    </w:p>
    <w:p w14:paraId="3D2F4DC2" w14:textId="77777777" w:rsidR="00CF085C" w:rsidRDefault="00CF085C" w:rsidP="00CF085C">
      <w:pPr>
        <w:spacing w:line="360" w:lineRule="auto"/>
        <w:rPr>
          <w:rFonts w:ascii="Times New Roman" w:hAnsi="Times New Roman" w:cs="Times New Roman"/>
        </w:rPr>
      </w:pPr>
    </w:p>
    <w:p w14:paraId="084AF55A" w14:textId="54A98F3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lastRenderedPageBreak/>
        <w:t xml:space="preserve">5. Discussion </w:t>
      </w:r>
    </w:p>
    <w:p w14:paraId="3EB32D0D"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The findings demonstrate that the legal and regulatory environment has become a fundamental strategic factor influencing how organisations operate, compete and sustain long-term performance. Traditionally, businesses viewed legal compliance primarily as a mechanism for avoiding penalties and litigation. However, contemporary business environments show that regulatory frameworks increasingly influence strategic choices, corporate reputation, stakeholder relationships and innovation capabilities.</w:t>
      </w:r>
    </w:p>
    <w:p w14:paraId="7AD41DC4"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The analysis confirms the importance of Institutional Theory in explaining organisational responses to regulatory pressures. North (1990) argues that institutions establish formal rules that reduce uncertainty and guide economic behaviour. In the business context, laws and regulations create expectations regarding responsible conduct, transparency and accountability. Organisations that align their strategies with institutional requirements can maintain legitimacy and strengthen stakeholder confidence. Conversely, businesses that ignore regulatory obligations may experience operational disruption, financial losses and reputational decline.</w:t>
      </w:r>
    </w:p>
    <w:p w14:paraId="3686E46F"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Corporate governance emerges as a critical connection between legal compliance and organisational performance. The findings indicate that effective governance systems enable organisations to integrate legal responsibilities into strategic decision-making. Regulatory requirements relating to board responsibilities, financial disclosure and accountability mechanisms encourage companies to establish stronger monitoring systems. The Enron failure illustrates that the absence of effective governance structures can allow unethical practices to develop despite the existence of regulatory frameworks. Therefore, compliance effectiveness depends not only on external laws but also on internal organisational culture and leadership commitment.</w:t>
      </w:r>
    </w:p>
    <w:p w14:paraId="6FF65674"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The discussion also highlights the relationship between legal compliance and stakeholder management. Freeman’s (1984) Stakeholder Theory explains that businesses must consider the interests of multiple groups affected by organisational decisions. Regulations relating to employees, customers, communities and environmental protection reflect broader stakeholder expectations. Companies that actively manage these responsibilities can improve trust and develop stronger relationships with stakeholders.</w:t>
      </w:r>
    </w:p>
    <w:p w14:paraId="585FA211"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lastRenderedPageBreak/>
        <w:t>Employment regulations demonstrate this relationship clearly. Although labour laws may increase operational responsibilities and costs, they also contribute to workforce stability, employee protection and organisational reputation. Businesses that prioritise fair employment practices may experience improved employee engagement and reduced workforce-related risks. Therefore, employment regulation should not be considered only as a limitation on managerial flexibility but also as a framework supporting sustainable organisational practices.</w:t>
      </w:r>
    </w:p>
    <w:p w14:paraId="67D93ED0"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The analysis of intellectual property and data protection regulations further demonstrates how legal frameworks influence innovation. In technology-driven markets, businesses rely heavily on knowledge assets and customer data. Intellectual property laws encourage innovation by protecting organisational investments, while data protection regulations promote responsible digital practices. Although compliance with these regulations requires financial and technological investment, organisations can gain competitive advantages by developing trustworthy and secure products and services.</w:t>
      </w:r>
    </w:p>
    <w:p w14:paraId="144BAD32"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However, the findings also reveal that regulatory environments create challenges for businesses. Rapid technological development, globalisation and changing social expectations have increased regulatory complexity. Multinational companies must navigate different legal systems, creating challenges in maintaining consistent global strategies. Small and medium-sized enterprises may experience additional difficulties because they often have limited resources for compliance management.</w:t>
      </w:r>
    </w:p>
    <w:p w14:paraId="364025C4"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Despite these challenges, regulation can act as a driver of organisational improvement. Porter and van der Linde (1995) suggest that well-designed regulations can encourage innovation and efficiency. Sustainability regulations provide an example where businesses are encouraged to develop environmentally responsible products, improve resource efficiency and adopt circular business models.</w:t>
      </w:r>
    </w:p>
    <w:p w14:paraId="55F5986F"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Overall, the discussion indicates that legal and regulatory frameworks should be integrated into strategic management rather than treated as separate compliance functions. Effective organisations develop proactive approaches through legal monitoring, ethical leadership, governance mechanisms and risk management systems. Such approaches allow businesses to transform regulatory requirements into opportunities for innovation, trust-building and sustainable growth.</w:t>
      </w:r>
    </w:p>
    <w:p w14:paraId="49E5B80F" w14:textId="31D5CA67" w:rsidR="00CF085C" w:rsidRPr="00CF085C" w:rsidRDefault="00CF085C" w:rsidP="00CF085C">
      <w:pPr>
        <w:spacing w:line="360" w:lineRule="auto"/>
        <w:rPr>
          <w:rFonts w:ascii="Times New Roman" w:hAnsi="Times New Roman" w:cs="Times New Roman"/>
        </w:rPr>
      </w:pPr>
    </w:p>
    <w:p w14:paraId="0CD2FA35" w14:textId="71C2AE6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 xml:space="preserve">6. Recommendations </w:t>
      </w:r>
    </w:p>
    <w:p w14:paraId="14D5862B"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6.1 Establish Integrated Compliance Management Systems</w:t>
      </w:r>
    </w:p>
    <w:p w14:paraId="5E88DAF6"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Organisations should develop comprehensive compliance management systems that connect legal requirements with strategic decision-making processes. Compliance should not remain the responsibility of legal departments alone; instead, senior managers, operational teams and employees should participate in identifying and managing regulatory risks.</w:t>
      </w:r>
    </w:p>
    <w:p w14:paraId="43450A2D"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Businesses should conduct regular compliance audits, maintain updated regulatory databases and implement monitoring systems to identify potential legal issues before they affect operations. This proactive approach can reduce penalties, operational disruptions and reputational risks.</w:t>
      </w:r>
    </w:p>
    <w:p w14:paraId="4AA42F06" w14:textId="2247A6C6" w:rsidR="00CF085C" w:rsidRPr="00CF085C" w:rsidRDefault="00CF085C" w:rsidP="00CF085C">
      <w:pPr>
        <w:spacing w:line="360" w:lineRule="auto"/>
        <w:rPr>
          <w:rFonts w:ascii="Times New Roman" w:hAnsi="Times New Roman" w:cs="Times New Roman"/>
        </w:rPr>
      </w:pPr>
    </w:p>
    <w:p w14:paraId="17ACC862"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6.2 Strengthen Corporate Governance and Ethical Leadership</w:t>
      </w:r>
    </w:p>
    <w:p w14:paraId="5A900ADA"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Companies should enhance governance structures by improving board oversight, transparency mechanisms and accountability systems. Independent review processes, internal audits and ethical reporting channels can help identify misconduct and prevent governance failures.</w:t>
      </w:r>
    </w:p>
    <w:p w14:paraId="62FD3053"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Leadership commitment is essential because compliance culture develops through organisational values and managerial behaviour. Executives should promote ethical decision-making and ensure that business objectives do not compromise legal responsibilities.</w:t>
      </w:r>
    </w:p>
    <w:p w14:paraId="2633C5E8" w14:textId="16A064CC" w:rsidR="00CF085C" w:rsidRPr="00CF085C" w:rsidRDefault="00CF085C" w:rsidP="00CF085C">
      <w:pPr>
        <w:spacing w:line="360" w:lineRule="auto"/>
        <w:rPr>
          <w:rFonts w:ascii="Times New Roman" w:hAnsi="Times New Roman" w:cs="Times New Roman"/>
        </w:rPr>
      </w:pPr>
    </w:p>
    <w:p w14:paraId="2B3C2262"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6.3 Invest in Employee Compliance Training</w:t>
      </w:r>
    </w:p>
    <w:p w14:paraId="3CFFDFEB"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Organisations should provide continuous training programmes to ensure employees understand relevant legal obligations. Training should cover areas such as workplace regulations, data protection, intellectual property rights and ethical business practices.</w:t>
      </w:r>
    </w:p>
    <w:p w14:paraId="3F3E1DCD"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Employees are often directly involved in operational decisions; therefore, increasing their legal awareness can reduce accidental violations and improve organisational compliance performance.</w:t>
      </w:r>
    </w:p>
    <w:p w14:paraId="4D0A1CBC" w14:textId="054DD992" w:rsidR="00CF085C" w:rsidRPr="00CF085C" w:rsidRDefault="00CF085C" w:rsidP="00CF085C">
      <w:pPr>
        <w:spacing w:line="360" w:lineRule="auto"/>
        <w:rPr>
          <w:rFonts w:ascii="Times New Roman" w:hAnsi="Times New Roman" w:cs="Times New Roman"/>
        </w:rPr>
      </w:pPr>
    </w:p>
    <w:p w14:paraId="17FD3B48"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lastRenderedPageBreak/>
        <w:t>6.4 Adopt a Strategic Approach to Regulatory Change</w:t>
      </w:r>
    </w:p>
    <w:p w14:paraId="68D7EA9B"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Businesses should monitor regulatory developments and evaluate how changes may influence future opportunities and risks. Instead of reacting after regulations are introduced, organisations should engage in scenario planning and strategic adaptation.</w:t>
      </w:r>
    </w:p>
    <w:p w14:paraId="3E503804"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For example, environmental regulations can encourage companies to develop sustainable products, while privacy regulations can create opportunities for trusted digital services. Organisations that anticipate regulatory changes may achieve stronger competitive positions.</w:t>
      </w:r>
    </w:p>
    <w:p w14:paraId="2681C706" w14:textId="2EFB99F3" w:rsidR="00CF085C" w:rsidRPr="00CF085C" w:rsidRDefault="00CF085C" w:rsidP="00CF085C">
      <w:pPr>
        <w:spacing w:line="360" w:lineRule="auto"/>
        <w:rPr>
          <w:rFonts w:ascii="Times New Roman" w:hAnsi="Times New Roman" w:cs="Times New Roman"/>
        </w:rPr>
      </w:pPr>
    </w:p>
    <w:p w14:paraId="5BBCF54A"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6.5 Improve Stakeholder Engagement</w:t>
      </w:r>
    </w:p>
    <w:p w14:paraId="7B1AF5FD"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Businesses should strengthen communication with stakeholders including employees, customers, regulators and communities. Regular engagement can help organisations understand changing expectations and improve decision-making.</w:t>
      </w:r>
    </w:p>
    <w:p w14:paraId="545BF082"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Stakeholder feedback mechanisms, sustainability reporting and transparent communication can increase trust and demonstrate organisational responsibility.</w:t>
      </w:r>
    </w:p>
    <w:p w14:paraId="66267FF8" w14:textId="67C94226" w:rsidR="00CF085C" w:rsidRPr="00CF085C" w:rsidRDefault="00CF085C" w:rsidP="00CF085C">
      <w:pPr>
        <w:spacing w:line="360" w:lineRule="auto"/>
        <w:rPr>
          <w:rFonts w:ascii="Times New Roman" w:hAnsi="Times New Roman" w:cs="Times New Roman"/>
        </w:rPr>
      </w:pPr>
    </w:p>
    <w:p w14:paraId="6E0837A4"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7. Conclusion (150 words)</w:t>
      </w:r>
    </w:p>
    <w:p w14:paraId="4C4B73A8"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The legal and regulatory environment significantly influences modern business operations by shaping organisational strategies, governance practices and risk management approaches. This report demonstrates that regulations relating to corporate governance, employment, intellectual property, consumer protection and data privacy create both challenges and opportunities for businesses.</w:t>
      </w:r>
    </w:p>
    <w:p w14:paraId="05A0CF39"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The analysis highlights that effective compliance is not limited to avoiding legal penalties but represents a strategic capability that supports sustainability, innovation and stakeholder confidence. Corporate failures such as Enron and Volkswagen demonstrate the consequences of weak compliance cultures, while responsible regulatory adaptation can strengthen organisational resilience.</w:t>
      </w:r>
    </w:p>
    <w:p w14:paraId="053A735C"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lastRenderedPageBreak/>
        <w:t>Businesses must therefore integrate legal considerations into strategic planning through effective governance systems, ethical leadership and proactive risk management. Organisations that successfully align regulatory obligations with business objectives are better positioned to achieve long-term competitiveness and sustainable growth in an increasingly complex global environment.</w:t>
      </w:r>
    </w:p>
    <w:p w14:paraId="2E6845FF" w14:textId="130CA958" w:rsidR="00CF085C" w:rsidRPr="00CF085C" w:rsidRDefault="00CF085C" w:rsidP="00CF085C">
      <w:pPr>
        <w:spacing w:line="360" w:lineRule="auto"/>
        <w:rPr>
          <w:rFonts w:ascii="Times New Roman" w:hAnsi="Times New Roman" w:cs="Times New Roman"/>
        </w:rPr>
      </w:pPr>
    </w:p>
    <w:p w14:paraId="71521C9A"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References (APA 7th Edition)</w:t>
      </w:r>
    </w:p>
    <w:p w14:paraId="76203F65"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 xml:space="preserve">Carroll, A. B. (1991). The pyramid of corporate social responsibility: Toward the moral management of organisational stakeholders. </w:t>
      </w:r>
      <w:r w:rsidRPr="00CF085C">
        <w:rPr>
          <w:rFonts w:ascii="Times New Roman" w:hAnsi="Times New Roman" w:cs="Times New Roman"/>
          <w:i/>
          <w:iCs/>
        </w:rPr>
        <w:t>Business Horizons, 34</w:t>
      </w:r>
      <w:r w:rsidRPr="00CF085C">
        <w:rPr>
          <w:rFonts w:ascii="Times New Roman" w:hAnsi="Times New Roman" w:cs="Times New Roman"/>
        </w:rPr>
        <w:t>(4), 39–48.</w:t>
      </w:r>
    </w:p>
    <w:p w14:paraId="4E2D04D8"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 xml:space="preserve">Freeman, R. E. (1984). </w:t>
      </w:r>
      <w:r w:rsidRPr="00CF085C">
        <w:rPr>
          <w:rFonts w:ascii="Times New Roman" w:hAnsi="Times New Roman" w:cs="Times New Roman"/>
          <w:i/>
          <w:iCs/>
        </w:rPr>
        <w:t>Strategic Management: A Stakeholder Approach</w:t>
      </w:r>
      <w:r w:rsidRPr="00CF085C">
        <w:rPr>
          <w:rFonts w:ascii="Times New Roman" w:hAnsi="Times New Roman" w:cs="Times New Roman"/>
        </w:rPr>
        <w:t>. Pitman.</w:t>
      </w:r>
    </w:p>
    <w:p w14:paraId="301FB5C0"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 xml:space="preserve">Kaufman, B. E. (2015). Evolution of strategic HRM as seen through two founding books. </w:t>
      </w:r>
      <w:r w:rsidRPr="00CF085C">
        <w:rPr>
          <w:rFonts w:ascii="Times New Roman" w:hAnsi="Times New Roman" w:cs="Times New Roman"/>
          <w:i/>
          <w:iCs/>
        </w:rPr>
        <w:t>Human Resource Management Review, 25</w:t>
      </w:r>
      <w:r w:rsidRPr="00CF085C">
        <w:rPr>
          <w:rFonts w:ascii="Times New Roman" w:hAnsi="Times New Roman" w:cs="Times New Roman"/>
        </w:rPr>
        <w:t>(3), 203–218.</w:t>
      </w:r>
    </w:p>
    <w:p w14:paraId="4B8C5413"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 xml:space="preserve">North, D. C. (1990). </w:t>
      </w:r>
      <w:r w:rsidRPr="00CF085C">
        <w:rPr>
          <w:rFonts w:ascii="Times New Roman" w:hAnsi="Times New Roman" w:cs="Times New Roman"/>
          <w:i/>
          <w:iCs/>
        </w:rPr>
        <w:t>Institutions, Institutional Change and Economic Performance</w:t>
      </w:r>
      <w:r w:rsidRPr="00CF085C">
        <w:rPr>
          <w:rFonts w:ascii="Times New Roman" w:hAnsi="Times New Roman" w:cs="Times New Roman"/>
        </w:rPr>
        <w:t>. Cambridge University Press.</w:t>
      </w:r>
    </w:p>
    <w:p w14:paraId="6182481F"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 xml:space="preserve">Porter, M. E., &amp; van der Linde, C. (1995). Toward a new conception of the environment-competitiveness relationship. </w:t>
      </w:r>
      <w:r w:rsidRPr="00CF085C">
        <w:rPr>
          <w:rFonts w:ascii="Times New Roman" w:hAnsi="Times New Roman" w:cs="Times New Roman"/>
          <w:i/>
          <w:iCs/>
        </w:rPr>
        <w:t>Journal of Economic Perspectives, 9</w:t>
      </w:r>
      <w:r w:rsidRPr="00CF085C">
        <w:rPr>
          <w:rFonts w:ascii="Times New Roman" w:hAnsi="Times New Roman" w:cs="Times New Roman"/>
        </w:rPr>
        <w:t>(4), 97–118.</w:t>
      </w:r>
    </w:p>
    <w:p w14:paraId="5E15CAB1"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 xml:space="preserve">Solove, D. J. (2021). </w:t>
      </w:r>
      <w:r w:rsidRPr="00CF085C">
        <w:rPr>
          <w:rFonts w:ascii="Times New Roman" w:hAnsi="Times New Roman" w:cs="Times New Roman"/>
          <w:i/>
          <w:iCs/>
        </w:rPr>
        <w:t>Understanding Privacy</w:t>
      </w:r>
      <w:r w:rsidRPr="00CF085C">
        <w:rPr>
          <w:rFonts w:ascii="Times New Roman" w:hAnsi="Times New Roman" w:cs="Times New Roman"/>
        </w:rPr>
        <w:t>. Harvard University Press.</w:t>
      </w:r>
    </w:p>
    <w:p w14:paraId="050DC4B1"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 xml:space="preserve">Teece, D. J. (1986). Profiting from technological innovation: Implications for integration, collaboration, licensing and public policy. </w:t>
      </w:r>
      <w:r w:rsidRPr="00CF085C">
        <w:rPr>
          <w:rFonts w:ascii="Times New Roman" w:hAnsi="Times New Roman" w:cs="Times New Roman"/>
          <w:i/>
          <w:iCs/>
        </w:rPr>
        <w:t>Research Policy, 15</w:t>
      </w:r>
      <w:r w:rsidRPr="00CF085C">
        <w:rPr>
          <w:rFonts w:ascii="Times New Roman" w:hAnsi="Times New Roman" w:cs="Times New Roman"/>
        </w:rPr>
        <w:t>(6), 285–305.</w:t>
      </w:r>
    </w:p>
    <w:p w14:paraId="7C3F6C59"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 xml:space="preserve">Tricker, B. (2019). </w:t>
      </w:r>
      <w:r w:rsidRPr="00CF085C">
        <w:rPr>
          <w:rFonts w:ascii="Times New Roman" w:hAnsi="Times New Roman" w:cs="Times New Roman"/>
          <w:i/>
          <w:iCs/>
        </w:rPr>
        <w:t>Corporate Governance: Principles, Policies, and Practices</w:t>
      </w:r>
      <w:r w:rsidRPr="00CF085C">
        <w:rPr>
          <w:rFonts w:ascii="Times New Roman" w:hAnsi="Times New Roman" w:cs="Times New Roman"/>
        </w:rPr>
        <w:t>. Oxford University Press.</w:t>
      </w:r>
    </w:p>
    <w:p w14:paraId="282C9F6C" w14:textId="77777777" w:rsidR="00CF085C" w:rsidRPr="00CF085C" w:rsidRDefault="00CF085C" w:rsidP="00CF085C">
      <w:pPr>
        <w:spacing w:line="360" w:lineRule="auto"/>
        <w:rPr>
          <w:rFonts w:ascii="Times New Roman" w:hAnsi="Times New Roman" w:cs="Times New Roman"/>
        </w:rPr>
      </w:pPr>
      <w:r w:rsidRPr="00CF085C">
        <w:rPr>
          <w:rFonts w:ascii="Times New Roman" w:hAnsi="Times New Roman" w:cs="Times New Roman"/>
        </w:rPr>
        <w:t xml:space="preserve">Treviño, L. K., &amp; Nelson, K. A. (2021). </w:t>
      </w:r>
      <w:r w:rsidRPr="00CF085C">
        <w:rPr>
          <w:rFonts w:ascii="Times New Roman" w:hAnsi="Times New Roman" w:cs="Times New Roman"/>
          <w:i/>
          <w:iCs/>
        </w:rPr>
        <w:t>Managing Business Ethics: Straight Talk About How to Do It Right</w:t>
      </w:r>
      <w:r w:rsidRPr="00CF085C">
        <w:rPr>
          <w:rFonts w:ascii="Times New Roman" w:hAnsi="Times New Roman" w:cs="Times New Roman"/>
        </w:rPr>
        <w:t>. Wiley.</w:t>
      </w:r>
    </w:p>
    <w:p w14:paraId="52ECCD45" w14:textId="0942BB9E" w:rsidR="00CF085C" w:rsidRDefault="00CF085C" w:rsidP="00CF085C">
      <w:pPr>
        <w:spacing w:line="360" w:lineRule="auto"/>
        <w:rPr>
          <w:rFonts w:ascii="Times New Roman" w:hAnsi="Times New Roman" w:cs="Times New Roman"/>
        </w:rPr>
      </w:pPr>
    </w:p>
    <w:p w14:paraId="6C63D2AF" w14:textId="77777777" w:rsidR="00CF085C" w:rsidRDefault="00CF085C" w:rsidP="00CF085C">
      <w:pPr>
        <w:spacing w:line="360" w:lineRule="auto"/>
        <w:rPr>
          <w:rFonts w:ascii="Times New Roman" w:hAnsi="Times New Roman" w:cs="Times New Roman"/>
        </w:rPr>
      </w:pPr>
    </w:p>
    <w:p w14:paraId="7C8B9CD6" w14:textId="77777777" w:rsidR="00CF085C" w:rsidRPr="00CF085C" w:rsidRDefault="00CF085C" w:rsidP="00CF085C">
      <w:pPr>
        <w:spacing w:line="360" w:lineRule="auto"/>
        <w:rPr>
          <w:rFonts w:ascii="Times New Roman" w:hAnsi="Times New Roman" w:cs="Times New Roman"/>
        </w:rPr>
      </w:pPr>
    </w:p>
    <w:p w14:paraId="618BC481"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lastRenderedPageBreak/>
        <w:t>Appendix (Suggested)</w:t>
      </w:r>
    </w:p>
    <w:p w14:paraId="49FE6D0B"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Appendix 1: Key Legal Frameworks Affecting Business Operations</w:t>
      </w:r>
    </w:p>
    <w:tbl>
      <w:tblPr>
        <w:tblStyle w:val="TableGrid"/>
        <w:tblW w:w="0" w:type="auto"/>
        <w:tblLook w:val="04A0" w:firstRow="1" w:lastRow="0" w:firstColumn="1" w:lastColumn="0" w:noHBand="0" w:noVBand="1"/>
      </w:tblPr>
      <w:tblGrid>
        <w:gridCol w:w="2643"/>
        <w:gridCol w:w="3442"/>
        <w:gridCol w:w="3265"/>
      </w:tblGrid>
      <w:tr w:rsidR="00CF085C" w:rsidRPr="00CF085C" w14:paraId="05ED6894" w14:textId="77777777" w:rsidTr="00CF085C">
        <w:tc>
          <w:tcPr>
            <w:tcW w:w="0" w:type="auto"/>
            <w:hideMark/>
          </w:tcPr>
          <w:p w14:paraId="40AA1337" w14:textId="77777777" w:rsidR="00CF085C" w:rsidRPr="00CF085C" w:rsidRDefault="00CF085C" w:rsidP="00CF085C">
            <w:pPr>
              <w:spacing w:after="160" w:line="360" w:lineRule="auto"/>
              <w:rPr>
                <w:rFonts w:ascii="Times New Roman" w:hAnsi="Times New Roman" w:cs="Times New Roman"/>
                <w:b/>
                <w:bCs/>
              </w:rPr>
            </w:pPr>
            <w:r w:rsidRPr="00CF085C">
              <w:rPr>
                <w:rFonts w:ascii="Times New Roman" w:hAnsi="Times New Roman" w:cs="Times New Roman"/>
                <w:b/>
                <w:bCs/>
              </w:rPr>
              <w:t>Legal Area</w:t>
            </w:r>
          </w:p>
        </w:tc>
        <w:tc>
          <w:tcPr>
            <w:tcW w:w="0" w:type="auto"/>
            <w:hideMark/>
          </w:tcPr>
          <w:p w14:paraId="57B0051D" w14:textId="77777777" w:rsidR="00CF085C" w:rsidRPr="00CF085C" w:rsidRDefault="00CF085C" w:rsidP="00CF085C">
            <w:pPr>
              <w:spacing w:after="160" w:line="360" w:lineRule="auto"/>
              <w:rPr>
                <w:rFonts w:ascii="Times New Roman" w:hAnsi="Times New Roman" w:cs="Times New Roman"/>
                <w:b/>
                <w:bCs/>
              </w:rPr>
            </w:pPr>
            <w:r w:rsidRPr="00CF085C">
              <w:rPr>
                <w:rFonts w:ascii="Times New Roman" w:hAnsi="Times New Roman" w:cs="Times New Roman"/>
                <w:b/>
                <w:bCs/>
              </w:rPr>
              <w:t>Business Impact</w:t>
            </w:r>
          </w:p>
        </w:tc>
        <w:tc>
          <w:tcPr>
            <w:tcW w:w="0" w:type="auto"/>
            <w:hideMark/>
          </w:tcPr>
          <w:p w14:paraId="16C1051A" w14:textId="77777777" w:rsidR="00CF085C" w:rsidRPr="00CF085C" w:rsidRDefault="00CF085C" w:rsidP="00CF085C">
            <w:pPr>
              <w:spacing w:after="160" w:line="360" w:lineRule="auto"/>
              <w:rPr>
                <w:rFonts w:ascii="Times New Roman" w:hAnsi="Times New Roman" w:cs="Times New Roman"/>
                <w:b/>
                <w:bCs/>
              </w:rPr>
            </w:pPr>
            <w:r w:rsidRPr="00CF085C">
              <w:rPr>
                <w:rFonts w:ascii="Times New Roman" w:hAnsi="Times New Roman" w:cs="Times New Roman"/>
                <w:b/>
                <w:bCs/>
              </w:rPr>
              <w:t>Strategic Implication</w:t>
            </w:r>
          </w:p>
        </w:tc>
      </w:tr>
      <w:tr w:rsidR="00CF085C" w:rsidRPr="00CF085C" w14:paraId="58F97799" w14:textId="77777777" w:rsidTr="00CF085C">
        <w:tc>
          <w:tcPr>
            <w:tcW w:w="0" w:type="auto"/>
            <w:hideMark/>
          </w:tcPr>
          <w:p w14:paraId="7FD196BB"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Corporate Law</w:t>
            </w:r>
          </w:p>
        </w:tc>
        <w:tc>
          <w:tcPr>
            <w:tcW w:w="0" w:type="auto"/>
            <w:hideMark/>
          </w:tcPr>
          <w:p w14:paraId="26908124"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Defines governance responsibilities</w:t>
            </w:r>
          </w:p>
        </w:tc>
        <w:tc>
          <w:tcPr>
            <w:tcW w:w="0" w:type="auto"/>
            <w:hideMark/>
          </w:tcPr>
          <w:p w14:paraId="10B709A3"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Improves accountability</w:t>
            </w:r>
          </w:p>
        </w:tc>
      </w:tr>
      <w:tr w:rsidR="00CF085C" w:rsidRPr="00CF085C" w14:paraId="72A39C64" w14:textId="77777777" w:rsidTr="00CF085C">
        <w:tc>
          <w:tcPr>
            <w:tcW w:w="0" w:type="auto"/>
            <w:hideMark/>
          </w:tcPr>
          <w:p w14:paraId="756E0A10"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Employment Law</w:t>
            </w:r>
          </w:p>
        </w:tc>
        <w:tc>
          <w:tcPr>
            <w:tcW w:w="0" w:type="auto"/>
            <w:hideMark/>
          </w:tcPr>
          <w:p w14:paraId="1984EDB8"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Protects employee rights</w:t>
            </w:r>
          </w:p>
        </w:tc>
        <w:tc>
          <w:tcPr>
            <w:tcW w:w="0" w:type="auto"/>
            <w:hideMark/>
          </w:tcPr>
          <w:p w14:paraId="1BA06085"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Supports workforce sustainability</w:t>
            </w:r>
          </w:p>
        </w:tc>
      </w:tr>
      <w:tr w:rsidR="00CF085C" w:rsidRPr="00CF085C" w14:paraId="473B0450" w14:textId="77777777" w:rsidTr="00CF085C">
        <w:tc>
          <w:tcPr>
            <w:tcW w:w="0" w:type="auto"/>
            <w:hideMark/>
          </w:tcPr>
          <w:p w14:paraId="09B38C83"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Intellectual Property Law</w:t>
            </w:r>
          </w:p>
        </w:tc>
        <w:tc>
          <w:tcPr>
            <w:tcW w:w="0" w:type="auto"/>
            <w:hideMark/>
          </w:tcPr>
          <w:p w14:paraId="48222B85"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Protects innovation</w:t>
            </w:r>
          </w:p>
        </w:tc>
        <w:tc>
          <w:tcPr>
            <w:tcW w:w="0" w:type="auto"/>
            <w:hideMark/>
          </w:tcPr>
          <w:p w14:paraId="61EC746A"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Creates competitive advantage</w:t>
            </w:r>
          </w:p>
        </w:tc>
      </w:tr>
      <w:tr w:rsidR="00CF085C" w:rsidRPr="00CF085C" w14:paraId="74DD1779" w14:textId="77777777" w:rsidTr="00CF085C">
        <w:tc>
          <w:tcPr>
            <w:tcW w:w="0" w:type="auto"/>
            <w:hideMark/>
          </w:tcPr>
          <w:p w14:paraId="3E2149EE"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Consumer Protection Law</w:t>
            </w:r>
          </w:p>
        </w:tc>
        <w:tc>
          <w:tcPr>
            <w:tcW w:w="0" w:type="auto"/>
            <w:hideMark/>
          </w:tcPr>
          <w:p w14:paraId="1E1DF346"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Ensures fair practices</w:t>
            </w:r>
          </w:p>
        </w:tc>
        <w:tc>
          <w:tcPr>
            <w:tcW w:w="0" w:type="auto"/>
            <w:hideMark/>
          </w:tcPr>
          <w:p w14:paraId="7E0A86AA"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Builds customer trust</w:t>
            </w:r>
          </w:p>
        </w:tc>
      </w:tr>
      <w:tr w:rsidR="00CF085C" w:rsidRPr="00CF085C" w14:paraId="4D0F8D73" w14:textId="77777777" w:rsidTr="00CF085C">
        <w:tc>
          <w:tcPr>
            <w:tcW w:w="0" w:type="auto"/>
            <w:hideMark/>
          </w:tcPr>
          <w:p w14:paraId="60DA7690"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Data Protection Law</w:t>
            </w:r>
          </w:p>
        </w:tc>
        <w:tc>
          <w:tcPr>
            <w:tcW w:w="0" w:type="auto"/>
            <w:hideMark/>
          </w:tcPr>
          <w:p w14:paraId="38036B06"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Controls information management</w:t>
            </w:r>
          </w:p>
        </w:tc>
        <w:tc>
          <w:tcPr>
            <w:tcW w:w="0" w:type="auto"/>
            <w:hideMark/>
          </w:tcPr>
          <w:p w14:paraId="762D908E"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Strengthens digital security</w:t>
            </w:r>
          </w:p>
        </w:tc>
      </w:tr>
      <w:tr w:rsidR="00CF085C" w:rsidRPr="00CF085C" w14:paraId="0EF9B7E6" w14:textId="77777777" w:rsidTr="00CF085C">
        <w:tc>
          <w:tcPr>
            <w:tcW w:w="0" w:type="auto"/>
            <w:hideMark/>
          </w:tcPr>
          <w:p w14:paraId="68B243F9"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Environmental Regulation</w:t>
            </w:r>
          </w:p>
        </w:tc>
        <w:tc>
          <w:tcPr>
            <w:tcW w:w="0" w:type="auto"/>
            <w:hideMark/>
          </w:tcPr>
          <w:p w14:paraId="19E6A770"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Encourages sustainable operations</w:t>
            </w:r>
          </w:p>
        </w:tc>
        <w:tc>
          <w:tcPr>
            <w:tcW w:w="0" w:type="auto"/>
            <w:hideMark/>
          </w:tcPr>
          <w:p w14:paraId="40B23074"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Creates innovation opportunities</w:t>
            </w:r>
          </w:p>
        </w:tc>
      </w:tr>
    </w:tbl>
    <w:p w14:paraId="1D10994C" w14:textId="7BF5DC27" w:rsidR="00CF085C" w:rsidRPr="00CF085C" w:rsidRDefault="00CF085C" w:rsidP="00CF085C">
      <w:pPr>
        <w:spacing w:line="360" w:lineRule="auto"/>
        <w:rPr>
          <w:rFonts w:ascii="Times New Roman" w:hAnsi="Times New Roman" w:cs="Times New Roman"/>
        </w:rPr>
      </w:pPr>
    </w:p>
    <w:p w14:paraId="20D5A891" w14:textId="77777777" w:rsidR="00CF085C" w:rsidRPr="00CF085C" w:rsidRDefault="00CF085C" w:rsidP="00CF085C">
      <w:pPr>
        <w:spacing w:line="360" w:lineRule="auto"/>
        <w:rPr>
          <w:rFonts w:ascii="Times New Roman" w:hAnsi="Times New Roman" w:cs="Times New Roman"/>
          <w:b/>
          <w:bCs/>
        </w:rPr>
      </w:pPr>
      <w:r w:rsidRPr="00CF085C">
        <w:rPr>
          <w:rFonts w:ascii="Times New Roman" w:hAnsi="Times New Roman" w:cs="Times New Roman"/>
          <w:b/>
          <w:bCs/>
        </w:rPr>
        <w:t>Appendix 2: Case Study Summary</w:t>
      </w:r>
    </w:p>
    <w:tbl>
      <w:tblPr>
        <w:tblStyle w:val="TableGrid"/>
        <w:tblW w:w="0" w:type="auto"/>
        <w:tblLook w:val="04A0" w:firstRow="1" w:lastRow="0" w:firstColumn="1" w:lastColumn="0" w:noHBand="0" w:noVBand="1"/>
      </w:tblPr>
      <w:tblGrid>
        <w:gridCol w:w="1630"/>
        <w:gridCol w:w="3205"/>
        <w:gridCol w:w="4515"/>
      </w:tblGrid>
      <w:tr w:rsidR="00CF085C" w:rsidRPr="00CF085C" w14:paraId="4D3B1C64" w14:textId="77777777" w:rsidTr="00CF085C">
        <w:tc>
          <w:tcPr>
            <w:tcW w:w="0" w:type="auto"/>
            <w:hideMark/>
          </w:tcPr>
          <w:p w14:paraId="3FB07FBE" w14:textId="77777777" w:rsidR="00CF085C" w:rsidRPr="00CF085C" w:rsidRDefault="00CF085C" w:rsidP="00CF085C">
            <w:pPr>
              <w:spacing w:after="160" w:line="360" w:lineRule="auto"/>
              <w:rPr>
                <w:rFonts w:ascii="Times New Roman" w:hAnsi="Times New Roman" w:cs="Times New Roman"/>
                <w:b/>
                <w:bCs/>
              </w:rPr>
            </w:pPr>
            <w:r w:rsidRPr="00CF085C">
              <w:rPr>
                <w:rFonts w:ascii="Times New Roman" w:hAnsi="Times New Roman" w:cs="Times New Roman"/>
                <w:b/>
                <w:bCs/>
              </w:rPr>
              <w:t>Case</w:t>
            </w:r>
          </w:p>
        </w:tc>
        <w:tc>
          <w:tcPr>
            <w:tcW w:w="0" w:type="auto"/>
            <w:hideMark/>
          </w:tcPr>
          <w:p w14:paraId="71217749" w14:textId="77777777" w:rsidR="00CF085C" w:rsidRPr="00CF085C" w:rsidRDefault="00CF085C" w:rsidP="00CF085C">
            <w:pPr>
              <w:spacing w:after="160" w:line="360" w:lineRule="auto"/>
              <w:rPr>
                <w:rFonts w:ascii="Times New Roman" w:hAnsi="Times New Roman" w:cs="Times New Roman"/>
                <w:b/>
                <w:bCs/>
              </w:rPr>
            </w:pPr>
            <w:r w:rsidRPr="00CF085C">
              <w:rPr>
                <w:rFonts w:ascii="Times New Roman" w:hAnsi="Times New Roman" w:cs="Times New Roman"/>
                <w:b/>
                <w:bCs/>
              </w:rPr>
              <w:t>Legal Issue</w:t>
            </w:r>
          </w:p>
        </w:tc>
        <w:tc>
          <w:tcPr>
            <w:tcW w:w="0" w:type="auto"/>
            <w:hideMark/>
          </w:tcPr>
          <w:p w14:paraId="2BEA0E80" w14:textId="77777777" w:rsidR="00CF085C" w:rsidRPr="00CF085C" w:rsidRDefault="00CF085C" w:rsidP="00CF085C">
            <w:pPr>
              <w:spacing w:after="160" w:line="360" w:lineRule="auto"/>
              <w:rPr>
                <w:rFonts w:ascii="Times New Roman" w:hAnsi="Times New Roman" w:cs="Times New Roman"/>
                <w:b/>
                <w:bCs/>
              </w:rPr>
            </w:pPr>
            <w:r w:rsidRPr="00CF085C">
              <w:rPr>
                <w:rFonts w:ascii="Times New Roman" w:hAnsi="Times New Roman" w:cs="Times New Roman"/>
                <w:b/>
                <w:bCs/>
              </w:rPr>
              <w:t>Business Impact</w:t>
            </w:r>
          </w:p>
        </w:tc>
      </w:tr>
      <w:tr w:rsidR="00CF085C" w:rsidRPr="00CF085C" w14:paraId="68DA1500" w14:textId="77777777" w:rsidTr="00CF085C">
        <w:tc>
          <w:tcPr>
            <w:tcW w:w="0" w:type="auto"/>
            <w:hideMark/>
          </w:tcPr>
          <w:p w14:paraId="6FBD04A3"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Enron</w:t>
            </w:r>
          </w:p>
        </w:tc>
        <w:tc>
          <w:tcPr>
            <w:tcW w:w="0" w:type="auto"/>
            <w:hideMark/>
          </w:tcPr>
          <w:p w14:paraId="4167D907"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Corporate governance failure</w:t>
            </w:r>
          </w:p>
        </w:tc>
        <w:tc>
          <w:tcPr>
            <w:tcW w:w="0" w:type="auto"/>
            <w:hideMark/>
          </w:tcPr>
          <w:p w14:paraId="47FDA61A"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Organisational collapse and loss of stakeholder trust</w:t>
            </w:r>
          </w:p>
        </w:tc>
      </w:tr>
      <w:tr w:rsidR="00CF085C" w:rsidRPr="00CF085C" w14:paraId="46082D4D" w14:textId="77777777" w:rsidTr="00CF085C">
        <w:tc>
          <w:tcPr>
            <w:tcW w:w="0" w:type="auto"/>
            <w:hideMark/>
          </w:tcPr>
          <w:p w14:paraId="11648DE0"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Volkswagen</w:t>
            </w:r>
          </w:p>
        </w:tc>
        <w:tc>
          <w:tcPr>
            <w:tcW w:w="0" w:type="auto"/>
            <w:hideMark/>
          </w:tcPr>
          <w:p w14:paraId="59A37AED"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Environmental regulation violation</w:t>
            </w:r>
          </w:p>
        </w:tc>
        <w:tc>
          <w:tcPr>
            <w:tcW w:w="0" w:type="auto"/>
            <w:hideMark/>
          </w:tcPr>
          <w:p w14:paraId="6FAFCAE9"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Financial penalties and reputation damage</w:t>
            </w:r>
          </w:p>
        </w:tc>
      </w:tr>
      <w:tr w:rsidR="00CF085C" w:rsidRPr="00CF085C" w14:paraId="23BCCCEB" w14:textId="77777777" w:rsidTr="00CF085C">
        <w:tc>
          <w:tcPr>
            <w:tcW w:w="0" w:type="auto"/>
            <w:hideMark/>
          </w:tcPr>
          <w:p w14:paraId="42BEC91A"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Google/GDPR</w:t>
            </w:r>
          </w:p>
        </w:tc>
        <w:tc>
          <w:tcPr>
            <w:tcW w:w="0" w:type="auto"/>
            <w:hideMark/>
          </w:tcPr>
          <w:p w14:paraId="2C35B407"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Data protection compliance</w:t>
            </w:r>
          </w:p>
        </w:tc>
        <w:tc>
          <w:tcPr>
            <w:tcW w:w="0" w:type="auto"/>
            <w:hideMark/>
          </w:tcPr>
          <w:p w14:paraId="23483242" w14:textId="77777777" w:rsidR="00CF085C" w:rsidRPr="00CF085C" w:rsidRDefault="00CF085C" w:rsidP="00CF085C">
            <w:pPr>
              <w:spacing w:after="160" w:line="360" w:lineRule="auto"/>
              <w:rPr>
                <w:rFonts w:ascii="Times New Roman" w:hAnsi="Times New Roman" w:cs="Times New Roman"/>
              </w:rPr>
            </w:pPr>
            <w:r w:rsidRPr="00CF085C">
              <w:rPr>
                <w:rFonts w:ascii="Times New Roman" w:hAnsi="Times New Roman" w:cs="Times New Roman"/>
              </w:rPr>
              <w:t>Changes in digital data management practices</w:t>
            </w:r>
          </w:p>
        </w:tc>
      </w:tr>
    </w:tbl>
    <w:p w14:paraId="1855C8C2" w14:textId="77777777" w:rsidR="00CF085C" w:rsidRPr="00CF085C" w:rsidRDefault="00CF085C" w:rsidP="00CF085C">
      <w:pPr>
        <w:spacing w:line="360" w:lineRule="auto"/>
        <w:rPr>
          <w:rFonts w:ascii="Times New Roman" w:hAnsi="Times New Roman" w:cs="Times New Roman"/>
        </w:rPr>
      </w:pPr>
    </w:p>
    <w:p w14:paraId="65D07A5C" w14:textId="77777777" w:rsidR="00F70472" w:rsidRPr="00F70472" w:rsidRDefault="00F70472" w:rsidP="00F70472">
      <w:pPr>
        <w:spacing w:line="360" w:lineRule="auto"/>
        <w:rPr>
          <w:rFonts w:ascii="Times New Roman" w:hAnsi="Times New Roman" w:cs="Times New Roman"/>
        </w:rPr>
      </w:pPr>
    </w:p>
    <w:p w14:paraId="49C3E37F" w14:textId="77777777" w:rsidR="00F70472" w:rsidRPr="00F70472" w:rsidRDefault="00F70472" w:rsidP="00F70472">
      <w:pPr>
        <w:spacing w:line="360" w:lineRule="auto"/>
        <w:rPr>
          <w:rFonts w:ascii="Times New Roman" w:hAnsi="Times New Roman" w:cs="Times New Roman"/>
        </w:rPr>
      </w:pPr>
    </w:p>
    <w:p w14:paraId="2FD9DD49" w14:textId="77777777" w:rsidR="00F70472" w:rsidRDefault="00F70472"/>
    <w:sectPr w:rsidR="00F7047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782B33"/>
    <w:multiLevelType w:val="multilevel"/>
    <w:tmpl w:val="E49A9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0034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472"/>
    <w:rsid w:val="009A0C25"/>
    <w:rsid w:val="00CF085C"/>
    <w:rsid w:val="00F70472"/>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4DFA4"/>
  <w15:chartTrackingRefBased/>
  <w15:docId w15:val="{8B4A05E7-68C9-412B-AF6A-ED7F6D48B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472"/>
  </w:style>
  <w:style w:type="paragraph" w:styleId="Heading1">
    <w:name w:val="heading 1"/>
    <w:basedOn w:val="Normal"/>
    <w:next w:val="Normal"/>
    <w:link w:val="Heading1Char"/>
    <w:uiPriority w:val="9"/>
    <w:qFormat/>
    <w:rsid w:val="00F70472"/>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F70472"/>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F70472"/>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F704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04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04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04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04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04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0472"/>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F70472"/>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F70472"/>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F704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04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04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04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04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0472"/>
    <w:rPr>
      <w:rFonts w:eastAsiaTheme="majorEastAsia" w:cstheme="majorBidi"/>
      <w:color w:val="272727" w:themeColor="text1" w:themeTint="D8"/>
    </w:rPr>
  </w:style>
  <w:style w:type="paragraph" w:styleId="Title">
    <w:name w:val="Title"/>
    <w:basedOn w:val="Normal"/>
    <w:next w:val="Normal"/>
    <w:link w:val="TitleChar"/>
    <w:uiPriority w:val="10"/>
    <w:qFormat/>
    <w:rsid w:val="00F70472"/>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F70472"/>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F70472"/>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F70472"/>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F70472"/>
    <w:pPr>
      <w:spacing w:before="160"/>
      <w:jc w:val="center"/>
    </w:pPr>
    <w:rPr>
      <w:i/>
      <w:iCs/>
      <w:color w:val="404040" w:themeColor="text1" w:themeTint="BF"/>
    </w:rPr>
  </w:style>
  <w:style w:type="character" w:customStyle="1" w:styleId="QuoteChar">
    <w:name w:val="Quote Char"/>
    <w:basedOn w:val="DefaultParagraphFont"/>
    <w:link w:val="Quote"/>
    <w:uiPriority w:val="29"/>
    <w:rsid w:val="00F70472"/>
    <w:rPr>
      <w:i/>
      <w:iCs/>
      <w:color w:val="404040" w:themeColor="text1" w:themeTint="BF"/>
    </w:rPr>
  </w:style>
  <w:style w:type="paragraph" w:styleId="ListParagraph">
    <w:name w:val="List Paragraph"/>
    <w:basedOn w:val="Normal"/>
    <w:uiPriority w:val="34"/>
    <w:qFormat/>
    <w:rsid w:val="00F70472"/>
    <w:pPr>
      <w:ind w:left="720"/>
      <w:contextualSpacing/>
    </w:pPr>
  </w:style>
  <w:style w:type="character" w:styleId="IntenseEmphasis">
    <w:name w:val="Intense Emphasis"/>
    <w:basedOn w:val="DefaultParagraphFont"/>
    <w:uiPriority w:val="21"/>
    <w:qFormat/>
    <w:rsid w:val="00F70472"/>
    <w:rPr>
      <w:i/>
      <w:iCs/>
      <w:color w:val="0F4761" w:themeColor="accent1" w:themeShade="BF"/>
    </w:rPr>
  </w:style>
  <w:style w:type="paragraph" w:styleId="IntenseQuote">
    <w:name w:val="Intense Quote"/>
    <w:basedOn w:val="Normal"/>
    <w:next w:val="Normal"/>
    <w:link w:val="IntenseQuoteChar"/>
    <w:uiPriority w:val="30"/>
    <w:qFormat/>
    <w:rsid w:val="00F704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0472"/>
    <w:rPr>
      <w:i/>
      <w:iCs/>
      <w:color w:val="0F4761" w:themeColor="accent1" w:themeShade="BF"/>
    </w:rPr>
  </w:style>
  <w:style w:type="character" w:styleId="IntenseReference">
    <w:name w:val="Intense Reference"/>
    <w:basedOn w:val="DefaultParagraphFont"/>
    <w:uiPriority w:val="32"/>
    <w:qFormat/>
    <w:rsid w:val="00F70472"/>
    <w:rPr>
      <w:b/>
      <w:bCs/>
      <w:smallCaps/>
      <w:color w:val="0F4761" w:themeColor="accent1" w:themeShade="BF"/>
      <w:spacing w:val="5"/>
    </w:rPr>
  </w:style>
  <w:style w:type="table" w:styleId="TableGrid">
    <w:name w:val="Table Grid"/>
    <w:basedOn w:val="TableNormal"/>
    <w:uiPriority w:val="39"/>
    <w:rsid w:val="00CF08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5585</Words>
  <Characters>31841</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xx5949@365mak.com</dc:creator>
  <cp:keywords/>
  <dc:description/>
  <cp:lastModifiedBy>xx5949@365mak.com</cp:lastModifiedBy>
  <cp:revision>2</cp:revision>
  <dcterms:created xsi:type="dcterms:W3CDTF">2026-09-28T14:17:00Z</dcterms:created>
  <dcterms:modified xsi:type="dcterms:W3CDTF">2026-09-28T14:20:00Z</dcterms:modified>
</cp:coreProperties>
</file>