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7D7500" w:rsidRDefault="0019504D" w:rsidP="0019504D">
      <w:pPr>
        <w:rPr>
          <w:rFonts w:ascii="Times New Roman" w:hAnsi="Times New Roman" w:cs="Times New Roman"/>
          <w:lang w:val="en-US"/>
        </w:rPr>
      </w:pPr>
      <w:r w:rsidRPr="007D7500">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7D7500" w:rsidRDefault="00C21EBA" w:rsidP="00661030">
      <w:pPr>
        <w:rPr>
          <w:rFonts w:ascii="Times New Roman" w:hAnsi="Times New Roman" w:cs="Times New Roman"/>
          <w:b/>
          <w:bCs/>
          <w:lang w:val="en-US"/>
        </w:rPr>
      </w:pPr>
      <w:r w:rsidRPr="007D7500">
        <w:rPr>
          <w:rFonts w:ascii="Times New Roman" w:hAnsi="Times New Roman" w:cs="Times New Roman"/>
          <w:b/>
          <w:bCs/>
          <w:lang w:val="en-US"/>
        </w:rPr>
        <w:t>Planning</w:t>
      </w:r>
      <w:r w:rsidR="00661030" w:rsidRPr="007D7500">
        <w:rPr>
          <w:rFonts w:ascii="Times New Roman" w:hAnsi="Times New Roman" w:cs="Times New Roman"/>
          <w:b/>
          <w:bCs/>
          <w:lang w:val="en-US"/>
        </w:rPr>
        <w:t xml:space="preserve"> and </w:t>
      </w:r>
      <w:r w:rsidRPr="007D7500">
        <w:rPr>
          <w:rFonts w:ascii="Times New Roman" w:hAnsi="Times New Roman" w:cs="Times New Roman"/>
          <w:b/>
          <w:bCs/>
          <w:lang w:val="en-US"/>
        </w:rPr>
        <w:t>Management</w:t>
      </w:r>
      <w:r w:rsidR="00661030" w:rsidRPr="007D7500">
        <w:rPr>
          <w:rFonts w:ascii="Times New Roman" w:hAnsi="Times New Roman" w:cs="Times New Roman"/>
          <w:b/>
          <w:bCs/>
          <w:lang w:val="en-US"/>
        </w:rPr>
        <w:t xml:space="preserve"> </w:t>
      </w:r>
      <w:r w:rsidRPr="007D7500">
        <w:rPr>
          <w:rFonts w:ascii="Times New Roman" w:hAnsi="Times New Roman" w:cs="Times New Roman"/>
          <w:b/>
          <w:bCs/>
          <w:lang w:val="en-US"/>
        </w:rPr>
        <w:t xml:space="preserve">of Sustainable </w:t>
      </w:r>
      <w:r w:rsidR="00661030" w:rsidRPr="007D7500">
        <w:rPr>
          <w:rFonts w:ascii="Times New Roman" w:hAnsi="Times New Roman" w:cs="Times New Roman"/>
          <w:b/>
          <w:bCs/>
          <w:lang w:val="en-US"/>
        </w:rPr>
        <w:t>Tourism</w:t>
      </w:r>
      <w:r w:rsidRPr="007D7500">
        <w:rPr>
          <w:rFonts w:ascii="Times New Roman" w:hAnsi="Times New Roman" w:cs="Times New Roman"/>
          <w:b/>
          <w:bCs/>
          <w:lang w:val="en-US"/>
        </w:rPr>
        <w:t xml:space="preserve"> Spaces</w:t>
      </w:r>
    </w:p>
    <w:p w:rsidR="0019504D" w:rsidRPr="007D7500" w:rsidRDefault="0019504D" w:rsidP="0019504D">
      <w:pPr>
        <w:rPr>
          <w:rFonts w:ascii="Times New Roman" w:hAnsi="Times New Roman" w:cs="Times New Roman"/>
          <w:lang w:val="en-US"/>
        </w:rPr>
      </w:pPr>
      <w:r w:rsidRPr="007D7500">
        <w:rPr>
          <w:rFonts w:ascii="Times New Roman" w:hAnsi="Times New Roman" w:cs="Times New Roman"/>
          <w:lang w:val="en-US"/>
        </w:rPr>
        <w:t xml:space="preserve">Assignment </w:t>
      </w:r>
      <w:r w:rsidR="00D92F0A" w:rsidRPr="007D7500">
        <w:rPr>
          <w:rFonts w:ascii="Times New Roman" w:hAnsi="Times New Roman" w:cs="Times New Roman"/>
          <w:lang w:val="en-US"/>
        </w:rPr>
        <w:t>7</w:t>
      </w:r>
    </w:p>
    <w:p w:rsidR="00637F36" w:rsidRPr="007D7500" w:rsidRDefault="00D92F0A" w:rsidP="0019504D">
      <w:pPr>
        <w:rPr>
          <w:rFonts w:ascii="Times New Roman" w:hAnsi="Times New Roman" w:cs="Times New Roman"/>
          <w:lang w:val="en-US"/>
        </w:rPr>
      </w:pPr>
      <w:r w:rsidRPr="007D7500">
        <w:rPr>
          <w:rFonts w:ascii="Times New Roman" w:hAnsi="Times New Roman" w:cs="Times New Roman"/>
          <w:lang w:val="en-US"/>
        </w:rPr>
        <w:t>5</w:t>
      </w:r>
      <w:r w:rsidR="0019504D" w:rsidRPr="007D7500">
        <w:rPr>
          <w:rFonts w:ascii="Times New Roman" w:hAnsi="Times New Roman" w:cs="Times New Roman"/>
          <w:lang w:val="en-US"/>
        </w:rPr>
        <w:t>.</w:t>
      </w:r>
      <w:r w:rsidR="006F6FA4" w:rsidRPr="007D7500">
        <w:rPr>
          <w:rFonts w:ascii="Times New Roman" w:hAnsi="Times New Roman" w:cs="Times New Roman"/>
          <w:lang w:val="en-US"/>
        </w:rPr>
        <w:t>1</w:t>
      </w:r>
      <w:r w:rsidRPr="007D7500">
        <w:rPr>
          <w:rFonts w:ascii="Times New Roman" w:hAnsi="Times New Roman" w:cs="Times New Roman"/>
          <w:lang w:val="en-US"/>
        </w:rPr>
        <w:t>1</w:t>
      </w:r>
      <w:r w:rsidR="0019504D" w:rsidRPr="007D7500">
        <w:rPr>
          <w:rFonts w:ascii="Times New Roman" w:hAnsi="Times New Roman" w:cs="Times New Roman"/>
          <w:lang w:val="en-US"/>
        </w:rPr>
        <w:t>.2025</w:t>
      </w:r>
    </w:p>
    <w:p w:rsidR="007D7500" w:rsidRPr="007D7500" w:rsidRDefault="007D7500" w:rsidP="007D7500">
      <w:pPr>
        <w:spacing w:before="100" w:beforeAutospacing="1" w:after="100" w:afterAutospacing="1"/>
        <w:rPr>
          <w:rFonts w:ascii="Times New Roman" w:hAnsi="Times New Roman" w:cs="Times New Roman"/>
          <w:lang w:val="en-US"/>
        </w:rPr>
      </w:pPr>
    </w:p>
    <w:p w:rsidR="007D7500" w:rsidRPr="007D7500" w:rsidRDefault="007D7500" w:rsidP="007D7500">
      <w:pPr>
        <w:spacing w:before="100" w:beforeAutospacing="1" w:after="100" w:afterAutospacing="1"/>
        <w:rPr>
          <w:rFonts w:ascii="Times New Roman" w:hAnsi="Times New Roman" w:cs="Times New Roman"/>
          <w:lang w:val="en-US"/>
        </w:rPr>
      </w:pPr>
    </w:p>
    <w:p w:rsidR="007D7500" w:rsidRPr="007D7500" w:rsidRDefault="00637F36" w:rsidP="007D7500">
      <w:pPr>
        <w:spacing w:before="100" w:beforeAutospacing="1" w:after="100" w:afterAutospacing="1"/>
        <w:rPr>
          <w:rFonts w:ascii="Times New Roman" w:eastAsia="Times New Roman" w:hAnsi="Times New Roman" w:cs="Times New Roman"/>
        </w:rPr>
      </w:pPr>
      <w:r w:rsidRPr="007D7500">
        <w:rPr>
          <w:rFonts w:ascii="Times New Roman" w:hAnsi="Times New Roman" w:cs="Times New Roman"/>
          <w:lang w:val="en-US"/>
        </w:rPr>
        <w:br/>
      </w:r>
      <w:r w:rsidR="007D7500" w:rsidRPr="007D7500">
        <w:rPr>
          <w:rFonts w:ascii="Times New Roman" w:eastAsia="Times New Roman" w:hAnsi="Times New Roman" w:cs="Times New Roman"/>
          <w:b/>
          <w:bCs/>
        </w:rPr>
        <w:t>Submitted by         :</w:t>
      </w:r>
      <w:r w:rsidR="007D7500" w:rsidRPr="007D7500">
        <w:rPr>
          <w:rFonts w:ascii="Times New Roman" w:eastAsia="Times New Roman" w:hAnsi="Times New Roman" w:cs="Times New Roman"/>
        </w:rPr>
        <w:t xml:space="preserve"> Ehtisham Ul Haq</w:t>
      </w:r>
    </w:p>
    <w:p w:rsidR="007D7500" w:rsidRPr="007D7500" w:rsidRDefault="007D7500" w:rsidP="007D7500">
      <w:pPr>
        <w:spacing w:before="100" w:beforeAutospacing="1" w:after="100" w:afterAutospacing="1"/>
        <w:rPr>
          <w:rFonts w:ascii="Times New Roman" w:eastAsia="Times New Roman" w:hAnsi="Times New Roman" w:cs="Times New Roman"/>
          <w:b/>
        </w:rPr>
      </w:pPr>
      <w:r w:rsidRPr="007D7500">
        <w:rPr>
          <w:rFonts w:ascii="Times New Roman" w:eastAsia="Times New Roman" w:hAnsi="Times New Roman" w:cs="Times New Roman"/>
          <w:b/>
        </w:rPr>
        <w:t>Course                    :</w:t>
      </w:r>
      <w:r w:rsidRPr="007D7500">
        <w:rPr>
          <w:rFonts w:ascii="Times New Roman" w:eastAsia="Times New Roman" w:hAnsi="Times New Roman" w:cs="Times New Roman"/>
        </w:rPr>
        <w:t xml:space="preserve"> BA Tourism Management and Recreation</w:t>
      </w:r>
    </w:p>
    <w:p w:rsidR="007D7500" w:rsidRPr="007D7500" w:rsidRDefault="007D7500" w:rsidP="007D7500">
      <w:pPr>
        <w:spacing w:before="100" w:beforeAutospacing="1" w:after="100" w:afterAutospacing="1"/>
        <w:rPr>
          <w:rFonts w:ascii="Times New Roman" w:eastAsia="Times New Roman" w:hAnsi="Times New Roman" w:cs="Times New Roman"/>
        </w:rPr>
      </w:pPr>
      <w:r w:rsidRPr="007D7500">
        <w:rPr>
          <w:rFonts w:ascii="Times New Roman" w:eastAsia="Times New Roman" w:hAnsi="Times New Roman" w:cs="Times New Roman"/>
          <w:b/>
          <w:bCs/>
        </w:rPr>
        <w:t>Institution Name   :</w:t>
      </w:r>
      <w:r w:rsidRPr="007D7500">
        <w:rPr>
          <w:rFonts w:ascii="Times New Roman" w:eastAsia="Times New Roman" w:hAnsi="Times New Roman" w:cs="Times New Roman"/>
        </w:rPr>
        <w:t xml:space="preserve"> European Institute of Innovation Entrepreneurship and Technology</w:t>
      </w:r>
    </w:p>
    <w:p w:rsidR="007D7500" w:rsidRPr="007D7500" w:rsidRDefault="007D7500" w:rsidP="007D7500">
      <w:pPr>
        <w:rPr>
          <w:rFonts w:ascii="Times New Roman" w:hAnsi="Times New Roman" w:cs="Times New Roman"/>
        </w:rPr>
      </w:pPr>
      <w:r w:rsidRPr="007D7500">
        <w:rPr>
          <w:rFonts w:ascii="Times New Roman" w:eastAsia="Times New Roman" w:hAnsi="Times New Roman" w:cs="Times New Roman"/>
          <w:b/>
          <w:lang w:val="en-US"/>
        </w:rPr>
        <w:t>Student ID              :</w:t>
      </w:r>
      <w:r w:rsidRPr="007D7500">
        <w:rPr>
          <w:rFonts w:ascii="Times New Roman" w:eastAsia="Times New Roman" w:hAnsi="Times New Roman" w:cs="Times New Roman"/>
          <w:lang w:val="en-US"/>
        </w:rPr>
        <w:t xml:space="preserve"> DE240197</w:t>
      </w:r>
    </w:p>
    <w:p w:rsidR="0019504D" w:rsidRPr="007D7500" w:rsidRDefault="00637F36" w:rsidP="0019504D">
      <w:pPr>
        <w:rPr>
          <w:rFonts w:ascii="Times New Roman" w:hAnsi="Times New Roman" w:cs="Times New Roman"/>
          <w:lang w:val="en-US"/>
        </w:rPr>
      </w:pPr>
      <w:r w:rsidRPr="007D7500">
        <w:rPr>
          <w:rFonts w:ascii="Times New Roman" w:hAnsi="Times New Roman" w:cs="Times New Roman"/>
          <w:lang w:val="en-US"/>
        </w:rPr>
        <w:br/>
      </w:r>
    </w:p>
    <w:p w:rsidR="0019504D" w:rsidRPr="007D7500" w:rsidRDefault="0019504D">
      <w:pPr>
        <w:rPr>
          <w:rFonts w:ascii="Times New Roman" w:hAnsi="Times New Roman" w:cs="Times New Roman"/>
        </w:rPr>
      </w:pPr>
    </w:p>
    <w:p w:rsidR="0019504D" w:rsidRPr="007D7500" w:rsidRDefault="0019504D">
      <w:pPr>
        <w:rPr>
          <w:rFonts w:ascii="Times New Roman" w:hAnsi="Times New Roman" w:cs="Times New Roman"/>
        </w:rPr>
      </w:pPr>
    </w:p>
    <w:p w:rsidR="0019504D" w:rsidRPr="007D7500" w:rsidRDefault="0019504D">
      <w:pPr>
        <w:rPr>
          <w:rFonts w:ascii="Times New Roman" w:hAnsi="Times New Roman" w:cs="Times New Roman"/>
        </w:rPr>
      </w:pPr>
    </w:p>
    <w:p w:rsidR="007D7500" w:rsidRPr="007D7500" w:rsidRDefault="007D7500" w:rsidP="007D7500">
      <w:pPr>
        <w:rPr>
          <w:rFonts w:ascii="Times New Roman" w:hAnsi="Times New Roman" w:cs="Times New Roman"/>
        </w:rPr>
      </w:pPr>
    </w:p>
    <w:p w:rsidR="007D7500" w:rsidRPr="007D7500" w:rsidRDefault="007D7500" w:rsidP="007D7500">
      <w:pPr>
        <w:pStyle w:val="Heading1"/>
      </w:pPr>
      <w:r w:rsidRPr="007D7500">
        <w:rPr>
          <w:rStyle w:val="Strong"/>
          <w:bCs/>
        </w:rPr>
        <w:t>Heritage Site Analysis: Mohenjo-Daro, Pakistan</w:t>
      </w:r>
    </w:p>
    <w:p w:rsidR="007D7500" w:rsidRDefault="007D7500" w:rsidP="007D7500">
      <w:pPr>
        <w:rPr>
          <w:rFonts w:ascii="Times New Roman" w:hAnsi="Times New Roman" w:cs="Times New Roman"/>
        </w:rPr>
      </w:pPr>
      <w:r w:rsidRPr="007D7500">
        <w:rPr>
          <w:rFonts w:ascii="Times New Roman" w:hAnsi="Times New Roman" w:cs="Times New Roman"/>
        </w:rPr>
        <w:pict>
          <v:rect id="_x0000_i1026" style="width:0;height:1.5pt" o:hralign="center" o:hrstd="t" o:hr="t" fillcolor="#a0a0a0" stroked="f"/>
        </w:pict>
      </w:r>
    </w:p>
    <w:p w:rsidR="007D7500" w:rsidRPr="007D7500" w:rsidRDefault="007D7500" w:rsidP="007D7500">
      <w:pPr>
        <w:rPr>
          <w:rFonts w:ascii="Times New Roman" w:hAnsi="Times New Roman" w:cs="Times New Roman"/>
        </w:rPr>
      </w:pPr>
    </w:p>
    <w:p w:rsidR="007D7500" w:rsidRPr="007D7500" w:rsidRDefault="007D7500" w:rsidP="007D7500">
      <w:pPr>
        <w:pStyle w:val="Heading2"/>
      </w:pPr>
      <w:r w:rsidRPr="007D7500">
        <w:rPr>
          <w:rStyle w:val="Strong"/>
          <w:bCs w:val="0"/>
        </w:rPr>
        <w:t>Introduction</w:t>
      </w:r>
      <w:r w:rsidRPr="007D7500">
        <w:t xml:space="preserve"> </w:t>
      </w:r>
    </w:p>
    <w:p w:rsidR="007D7500" w:rsidRPr="007D7500" w:rsidRDefault="007D7500" w:rsidP="007D7500">
      <w:pPr>
        <w:pStyle w:val="NormalWeb"/>
      </w:pPr>
      <w:r w:rsidRPr="007D7500">
        <w:t xml:space="preserve">Mohenjo-Daro, located in the Sindh province of Pakistan, is one of the most remarkable archaeological sites of the </w:t>
      </w:r>
      <w:r w:rsidRPr="007D7500">
        <w:rPr>
          <w:rStyle w:val="Strong"/>
          <w:rFonts w:eastAsiaTheme="majorEastAsia"/>
        </w:rPr>
        <w:t>Indus Valley Civilization (c. 2500–1900 BCE)</w:t>
      </w:r>
      <w:r w:rsidRPr="007D7500">
        <w:t xml:space="preserve">. It represents one of the earliest urban centers in human history, notable for its </w:t>
      </w:r>
      <w:r w:rsidRPr="007D7500">
        <w:rPr>
          <w:rStyle w:val="Strong"/>
          <w:rFonts w:eastAsiaTheme="majorEastAsia"/>
        </w:rPr>
        <w:t>planned city layout, advanced drainage systems, and sophisticated architectural structures</w:t>
      </w:r>
      <w:r w:rsidRPr="007D7500">
        <w:t xml:space="preserve">. The site was inscribed as a </w:t>
      </w:r>
      <w:r w:rsidRPr="007D7500">
        <w:rPr>
          <w:rStyle w:val="Strong"/>
          <w:rFonts w:eastAsiaTheme="majorEastAsia"/>
        </w:rPr>
        <w:t>UNESCO World Heritage Site in 1980</w:t>
      </w:r>
      <w:r w:rsidRPr="007D7500">
        <w:t xml:space="preserve"> in recognition of its exceptional historical, cultural, and technological significance.</w:t>
      </w:r>
    </w:p>
    <w:p w:rsidR="007D7500" w:rsidRPr="007D7500" w:rsidRDefault="007D7500" w:rsidP="007D7500">
      <w:pPr>
        <w:pStyle w:val="NormalWeb"/>
      </w:pPr>
      <w:r w:rsidRPr="007D7500">
        <w:t xml:space="preserve">The inscription highlighted Mohenjo-Daro’s importance in understanding </w:t>
      </w:r>
      <w:r w:rsidRPr="007D7500">
        <w:rPr>
          <w:rStyle w:val="Strong"/>
          <w:rFonts w:eastAsiaTheme="majorEastAsia"/>
        </w:rPr>
        <w:t>early urbanization, social organization, and technological advancements</w:t>
      </w:r>
      <w:r w:rsidRPr="007D7500">
        <w:t xml:space="preserve"> in the Indus Valley Civilization. The site provides crucial insights into </w:t>
      </w:r>
      <w:r w:rsidRPr="007D7500">
        <w:rPr>
          <w:rStyle w:val="Strong"/>
          <w:rFonts w:eastAsiaTheme="majorEastAsia"/>
        </w:rPr>
        <w:t>ancient city planning, municipal governance, trade networks, and everyday life</w:t>
      </w:r>
      <w:r w:rsidRPr="007D7500">
        <w:t xml:space="preserve"> in one of the world’s earliest urban societies. Its preservation allows historians, archaeologists, and the global community to study the development of early human civilization and the factors that contributed to sustainable urban living in antiquity.</w:t>
      </w:r>
    </w:p>
    <w:p w:rsidR="007D7500" w:rsidRPr="007D7500" w:rsidRDefault="007D7500" w:rsidP="007D7500">
      <w:pPr>
        <w:pStyle w:val="NormalWeb"/>
      </w:pPr>
      <w:r w:rsidRPr="007D7500">
        <w:t xml:space="preserve">Mohenjo-Daro is therefore not only a national treasure for Pakistan but also a </w:t>
      </w:r>
      <w:r w:rsidRPr="007D7500">
        <w:rPr>
          <w:rStyle w:val="Strong"/>
          <w:rFonts w:eastAsiaTheme="majorEastAsia"/>
        </w:rPr>
        <w:t>heritage site of global relevance</w:t>
      </w:r>
      <w:r w:rsidRPr="007D7500">
        <w:t>, representing human ingenuity, cultural expression, and the development of urban civilization. Protecting and managing this site is essential to maintain its Outstanding Universal Value (OUV) for future generations.</w:t>
      </w:r>
    </w:p>
    <w:p w:rsidR="007D7500" w:rsidRDefault="007D7500" w:rsidP="007D7500">
      <w:pPr>
        <w:rPr>
          <w:rFonts w:ascii="Times New Roman" w:hAnsi="Times New Roman" w:cs="Times New Roman"/>
        </w:rPr>
      </w:pPr>
      <w:r w:rsidRPr="007D7500">
        <w:rPr>
          <w:rFonts w:ascii="Times New Roman" w:hAnsi="Times New Roman" w:cs="Times New Roman"/>
        </w:rPr>
        <w:lastRenderedPageBreak/>
        <w:pict>
          <v:rect id="_x0000_i1027" style="width:0;height:1.5pt" o:hralign="center" o:hrstd="t" o:hr="t" fillcolor="#a0a0a0" stroked="f"/>
        </w:pict>
      </w:r>
    </w:p>
    <w:p w:rsidR="007D7500" w:rsidRPr="007D7500" w:rsidRDefault="007D7500" w:rsidP="007D7500">
      <w:pPr>
        <w:rPr>
          <w:rFonts w:ascii="Times New Roman" w:hAnsi="Times New Roman" w:cs="Times New Roman"/>
        </w:rPr>
      </w:pPr>
    </w:p>
    <w:p w:rsidR="007D7500" w:rsidRPr="007D7500" w:rsidRDefault="007D7500" w:rsidP="007D7500">
      <w:pPr>
        <w:pStyle w:val="Heading2"/>
      </w:pPr>
      <w:r w:rsidRPr="007D7500">
        <w:rPr>
          <w:rStyle w:val="Strong"/>
          <w:bCs w:val="0"/>
        </w:rPr>
        <w:t>Outstanding Universal Value (OUV)</w:t>
      </w:r>
      <w:r w:rsidRPr="007D7500">
        <w:t xml:space="preserve"> </w:t>
      </w:r>
    </w:p>
    <w:p w:rsidR="007D7500" w:rsidRPr="007D7500" w:rsidRDefault="007D7500" w:rsidP="007D7500">
      <w:pPr>
        <w:pStyle w:val="NormalWeb"/>
      </w:pPr>
      <w:r w:rsidRPr="007D7500">
        <w:t xml:space="preserve">The </w:t>
      </w:r>
      <w:r w:rsidRPr="007D7500">
        <w:rPr>
          <w:rStyle w:val="Strong"/>
          <w:rFonts w:eastAsiaTheme="majorEastAsia"/>
        </w:rPr>
        <w:t>Outstanding Universal Value (OUV)</w:t>
      </w:r>
      <w:r w:rsidRPr="007D7500">
        <w:t xml:space="preserve"> of Mohenjo-Daro lies in its unique combination of </w:t>
      </w:r>
      <w:r w:rsidRPr="007D7500">
        <w:rPr>
          <w:rStyle w:val="Strong"/>
          <w:rFonts w:eastAsiaTheme="majorEastAsia"/>
        </w:rPr>
        <w:t>urban planning, architecture, and social organization</w:t>
      </w:r>
      <w:r w:rsidRPr="007D7500">
        <w:t>, which were remarkably advanced for its time.</w:t>
      </w:r>
    </w:p>
    <w:p w:rsidR="007D7500" w:rsidRPr="007D7500" w:rsidRDefault="007D7500" w:rsidP="007D7500">
      <w:pPr>
        <w:pStyle w:val="NormalWeb"/>
        <w:numPr>
          <w:ilvl w:val="0"/>
          <w:numId w:val="11"/>
        </w:numPr>
      </w:pPr>
      <w:r w:rsidRPr="007D7500">
        <w:rPr>
          <w:rStyle w:val="Strong"/>
          <w:rFonts w:eastAsiaTheme="majorEastAsia"/>
        </w:rPr>
        <w:t>Urban Planning</w:t>
      </w:r>
      <w:proofErr w:type="gramStart"/>
      <w:r w:rsidRPr="007D7500">
        <w:rPr>
          <w:rStyle w:val="Strong"/>
          <w:rFonts w:eastAsiaTheme="majorEastAsia"/>
        </w:rPr>
        <w:t>:</w:t>
      </w:r>
      <w:proofErr w:type="gramEnd"/>
      <w:r w:rsidRPr="007D7500">
        <w:br/>
        <w:t xml:space="preserve">Mohenjo-Daro features a </w:t>
      </w:r>
      <w:r w:rsidRPr="007D7500">
        <w:rPr>
          <w:rStyle w:val="Strong"/>
          <w:rFonts w:eastAsiaTheme="majorEastAsia"/>
        </w:rPr>
        <w:t>grid-pattern layout</w:t>
      </w:r>
      <w:r w:rsidRPr="007D7500">
        <w:t xml:space="preserve">, with streets intersecting at right angles, and distinct sectors for residential, commercial, and public use. This reflects a </w:t>
      </w:r>
      <w:r w:rsidRPr="007D7500">
        <w:rPr>
          <w:rStyle w:val="Strong"/>
          <w:rFonts w:eastAsiaTheme="majorEastAsia"/>
        </w:rPr>
        <w:t>highly organized urban society</w:t>
      </w:r>
      <w:r w:rsidRPr="007D7500">
        <w:t xml:space="preserve"> capable of long-term planning and resource management.</w:t>
      </w:r>
    </w:p>
    <w:p w:rsidR="007D7500" w:rsidRPr="007D7500" w:rsidRDefault="007D7500" w:rsidP="007D7500">
      <w:pPr>
        <w:pStyle w:val="NormalWeb"/>
        <w:numPr>
          <w:ilvl w:val="0"/>
          <w:numId w:val="11"/>
        </w:numPr>
      </w:pPr>
      <w:r w:rsidRPr="007D7500">
        <w:rPr>
          <w:rStyle w:val="Strong"/>
          <w:rFonts w:eastAsiaTheme="majorEastAsia"/>
        </w:rPr>
        <w:t>Architecture</w:t>
      </w:r>
      <w:proofErr w:type="gramStart"/>
      <w:r w:rsidRPr="007D7500">
        <w:rPr>
          <w:rStyle w:val="Strong"/>
          <w:rFonts w:eastAsiaTheme="majorEastAsia"/>
        </w:rPr>
        <w:t>:</w:t>
      </w:r>
      <w:proofErr w:type="gramEnd"/>
      <w:r w:rsidRPr="007D7500">
        <w:br/>
        <w:t xml:space="preserve">The city contains </w:t>
      </w:r>
      <w:r w:rsidRPr="007D7500">
        <w:rPr>
          <w:rStyle w:val="Strong"/>
          <w:rFonts w:eastAsiaTheme="majorEastAsia"/>
        </w:rPr>
        <w:t>multi-storied houses, granaries, public baths, and assembly halls</w:t>
      </w:r>
      <w:r w:rsidRPr="007D7500">
        <w:t xml:space="preserve">, constructed with standardized baked bricks. Notable structures such as the </w:t>
      </w:r>
      <w:r w:rsidRPr="007D7500">
        <w:rPr>
          <w:rStyle w:val="Strong"/>
          <w:rFonts w:eastAsiaTheme="majorEastAsia"/>
        </w:rPr>
        <w:t>Great Bath</w:t>
      </w:r>
      <w:r w:rsidRPr="007D7500">
        <w:t xml:space="preserve"> demonstrate sophisticated engineering skills and suggest the cultural importance of ritual or communal activities.</w:t>
      </w:r>
    </w:p>
    <w:p w:rsidR="007D7500" w:rsidRPr="007D7500" w:rsidRDefault="007D7500" w:rsidP="007D7500">
      <w:pPr>
        <w:pStyle w:val="NormalWeb"/>
        <w:numPr>
          <w:ilvl w:val="0"/>
          <w:numId w:val="11"/>
        </w:numPr>
      </w:pPr>
      <w:r w:rsidRPr="007D7500">
        <w:rPr>
          <w:rStyle w:val="Strong"/>
          <w:rFonts w:eastAsiaTheme="majorEastAsia"/>
        </w:rPr>
        <w:t>Sanitation and Water Management</w:t>
      </w:r>
      <w:proofErr w:type="gramStart"/>
      <w:r w:rsidRPr="007D7500">
        <w:rPr>
          <w:rStyle w:val="Strong"/>
          <w:rFonts w:eastAsiaTheme="majorEastAsia"/>
        </w:rPr>
        <w:t>:</w:t>
      </w:r>
      <w:proofErr w:type="gramEnd"/>
      <w:r w:rsidRPr="007D7500">
        <w:br/>
        <w:t xml:space="preserve">Advanced </w:t>
      </w:r>
      <w:r w:rsidRPr="007D7500">
        <w:rPr>
          <w:rStyle w:val="Strong"/>
          <w:rFonts w:eastAsiaTheme="majorEastAsia"/>
        </w:rPr>
        <w:t>drainage systems, covered sewers, and private bathrooms</w:t>
      </w:r>
      <w:r w:rsidRPr="007D7500">
        <w:t xml:space="preserve"> highlight the civilization’s concern with hygiene and public health, a feature unparalleled in contemporary societies of that era.</w:t>
      </w:r>
    </w:p>
    <w:p w:rsidR="007D7500" w:rsidRPr="007D7500" w:rsidRDefault="007D7500" w:rsidP="007D7500">
      <w:pPr>
        <w:pStyle w:val="NormalWeb"/>
        <w:numPr>
          <w:ilvl w:val="0"/>
          <w:numId w:val="11"/>
        </w:numPr>
      </w:pPr>
      <w:r w:rsidRPr="007D7500">
        <w:rPr>
          <w:rStyle w:val="Strong"/>
          <w:rFonts w:eastAsiaTheme="majorEastAsia"/>
        </w:rPr>
        <w:t>Social and Economic Organization</w:t>
      </w:r>
      <w:proofErr w:type="gramStart"/>
      <w:r w:rsidRPr="007D7500">
        <w:rPr>
          <w:rStyle w:val="Strong"/>
          <w:rFonts w:eastAsiaTheme="majorEastAsia"/>
        </w:rPr>
        <w:t>:</w:t>
      </w:r>
      <w:proofErr w:type="gramEnd"/>
      <w:r w:rsidRPr="007D7500">
        <w:br/>
        <w:t xml:space="preserve">Evidence of trade networks, standardized weights and measures, and public buildings indicates a </w:t>
      </w:r>
      <w:r w:rsidRPr="007D7500">
        <w:rPr>
          <w:rStyle w:val="Strong"/>
          <w:rFonts w:eastAsiaTheme="majorEastAsia"/>
        </w:rPr>
        <w:t>complex social hierarchy and economic regulation</w:t>
      </w:r>
      <w:r w:rsidRPr="007D7500">
        <w:t>, contributing to the city’s universal value.</w:t>
      </w:r>
    </w:p>
    <w:p w:rsidR="007D7500" w:rsidRPr="007D7500" w:rsidRDefault="007D7500" w:rsidP="007D7500">
      <w:pPr>
        <w:pStyle w:val="NormalWeb"/>
        <w:numPr>
          <w:ilvl w:val="0"/>
          <w:numId w:val="11"/>
        </w:numPr>
      </w:pPr>
      <w:r w:rsidRPr="007D7500">
        <w:rPr>
          <w:rStyle w:val="Strong"/>
          <w:rFonts w:eastAsiaTheme="majorEastAsia"/>
        </w:rPr>
        <w:t>Cultural Significance</w:t>
      </w:r>
      <w:proofErr w:type="gramStart"/>
      <w:r w:rsidRPr="007D7500">
        <w:rPr>
          <w:rStyle w:val="Strong"/>
          <w:rFonts w:eastAsiaTheme="majorEastAsia"/>
        </w:rPr>
        <w:t>:</w:t>
      </w:r>
      <w:proofErr w:type="gramEnd"/>
      <w:r w:rsidRPr="007D7500">
        <w:br/>
        <w:t xml:space="preserve">Artifacts such as seals, pottery, and figurines illustrate the </w:t>
      </w:r>
      <w:r w:rsidRPr="007D7500">
        <w:rPr>
          <w:rStyle w:val="Strong"/>
          <w:rFonts w:eastAsiaTheme="majorEastAsia"/>
        </w:rPr>
        <w:t>cultural, religious, and artistic expression</w:t>
      </w:r>
      <w:r w:rsidRPr="007D7500">
        <w:t xml:space="preserve"> of the Indus Valley people, reinforcing the site’s global importance.</w:t>
      </w:r>
    </w:p>
    <w:p w:rsidR="007D7500" w:rsidRPr="007D7500" w:rsidRDefault="007D7500" w:rsidP="007D7500">
      <w:pPr>
        <w:pStyle w:val="NormalWeb"/>
      </w:pPr>
      <w:r w:rsidRPr="007D7500">
        <w:t xml:space="preserve">The combination of </w:t>
      </w:r>
      <w:r w:rsidRPr="007D7500">
        <w:rPr>
          <w:rStyle w:val="Strong"/>
          <w:rFonts w:eastAsiaTheme="majorEastAsia"/>
        </w:rPr>
        <w:t>innovative urban planning, engineering ingenuity, and cultural sophistication</w:t>
      </w:r>
      <w:r w:rsidRPr="007D7500">
        <w:t xml:space="preserve"> makes Mohenjo-Daro a site of exceptional universal significance, offering invaluable insights into early human civilization and contributing to a deeper understanding of human history.</w:t>
      </w:r>
    </w:p>
    <w:p w:rsidR="007D7500" w:rsidRDefault="007D7500" w:rsidP="007D7500">
      <w:pPr>
        <w:rPr>
          <w:rFonts w:ascii="Times New Roman" w:hAnsi="Times New Roman" w:cs="Times New Roman"/>
        </w:rPr>
      </w:pPr>
      <w:r w:rsidRPr="007D7500">
        <w:rPr>
          <w:rFonts w:ascii="Times New Roman" w:hAnsi="Times New Roman" w:cs="Times New Roman"/>
        </w:rPr>
        <w:pict>
          <v:rect id="_x0000_i1028" style="width:0;height:1.5pt" o:hralign="center" o:hrstd="t" o:hr="t" fillcolor="#a0a0a0" stroked="f"/>
        </w:pict>
      </w:r>
    </w:p>
    <w:p w:rsidR="007D7500" w:rsidRPr="007D7500" w:rsidRDefault="007D7500" w:rsidP="007D7500">
      <w:pPr>
        <w:rPr>
          <w:rFonts w:ascii="Times New Roman" w:hAnsi="Times New Roman" w:cs="Times New Roman"/>
        </w:rPr>
      </w:pPr>
    </w:p>
    <w:p w:rsidR="007D7500" w:rsidRPr="007D7500" w:rsidRDefault="007D7500" w:rsidP="007D7500">
      <w:pPr>
        <w:pStyle w:val="Heading2"/>
      </w:pPr>
      <w:r w:rsidRPr="007D7500">
        <w:rPr>
          <w:rStyle w:val="Strong"/>
          <w:bCs w:val="0"/>
        </w:rPr>
        <w:t>Criteria for Inscription</w:t>
      </w:r>
      <w:r w:rsidRPr="007D7500">
        <w:t xml:space="preserve"> </w:t>
      </w:r>
    </w:p>
    <w:p w:rsidR="007D7500" w:rsidRPr="007D7500" w:rsidRDefault="007D7500" w:rsidP="007D7500">
      <w:pPr>
        <w:pStyle w:val="NormalWeb"/>
      </w:pPr>
      <w:r w:rsidRPr="007D7500">
        <w:t xml:space="preserve">Mohenjo-Daro was inscribed as a UNESCO World Heritage Site under </w:t>
      </w:r>
      <w:r w:rsidRPr="007D7500">
        <w:rPr>
          <w:rStyle w:val="Strong"/>
          <w:rFonts w:eastAsiaTheme="majorEastAsia"/>
        </w:rPr>
        <w:t>criteria (ii) and (iii)</w:t>
      </w:r>
      <w:r w:rsidRPr="007D7500">
        <w:t>:</w:t>
      </w:r>
    </w:p>
    <w:p w:rsidR="007D7500" w:rsidRPr="007D7500" w:rsidRDefault="007D7500" w:rsidP="007D7500">
      <w:pPr>
        <w:pStyle w:val="NormalWeb"/>
        <w:numPr>
          <w:ilvl w:val="0"/>
          <w:numId w:val="12"/>
        </w:numPr>
      </w:pPr>
      <w:r w:rsidRPr="007D7500">
        <w:rPr>
          <w:rStyle w:val="Strong"/>
          <w:rFonts w:eastAsiaTheme="majorEastAsia"/>
        </w:rPr>
        <w:t>Criterion (ii): Exhibit an important interchange of human values</w:t>
      </w:r>
    </w:p>
    <w:p w:rsidR="007D7500" w:rsidRPr="007D7500" w:rsidRDefault="007D7500" w:rsidP="007D7500">
      <w:pPr>
        <w:pStyle w:val="NormalWeb"/>
        <w:numPr>
          <w:ilvl w:val="1"/>
          <w:numId w:val="12"/>
        </w:numPr>
      </w:pPr>
      <w:r w:rsidRPr="007D7500">
        <w:t xml:space="preserve">The city demonstrates </w:t>
      </w:r>
      <w:r w:rsidRPr="007D7500">
        <w:rPr>
          <w:rStyle w:val="Strong"/>
          <w:rFonts w:eastAsiaTheme="majorEastAsia"/>
        </w:rPr>
        <w:t>innovative urban planning and civil engineering</w:t>
      </w:r>
      <w:r w:rsidRPr="007D7500">
        <w:t xml:space="preserve"> during the 3rd millennium BCE.</w:t>
      </w:r>
    </w:p>
    <w:p w:rsidR="007D7500" w:rsidRPr="007D7500" w:rsidRDefault="007D7500" w:rsidP="007D7500">
      <w:pPr>
        <w:pStyle w:val="NormalWeb"/>
        <w:numPr>
          <w:ilvl w:val="1"/>
          <w:numId w:val="12"/>
        </w:numPr>
      </w:pPr>
      <w:r w:rsidRPr="007D7500">
        <w:t>Standardized brick sizes, advanced drainage systems, and communal structures influenced urban development in the broader Indus Valley region.</w:t>
      </w:r>
    </w:p>
    <w:p w:rsidR="007D7500" w:rsidRPr="007D7500" w:rsidRDefault="007D7500" w:rsidP="007D7500">
      <w:pPr>
        <w:pStyle w:val="NormalWeb"/>
        <w:numPr>
          <w:ilvl w:val="0"/>
          <w:numId w:val="12"/>
        </w:numPr>
      </w:pPr>
      <w:r w:rsidRPr="007D7500">
        <w:rPr>
          <w:rStyle w:val="Strong"/>
          <w:rFonts w:eastAsiaTheme="majorEastAsia"/>
        </w:rPr>
        <w:t>Criterion (iii): Bear unique testimony to a cultural tradition or civilization</w:t>
      </w:r>
    </w:p>
    <w:p w:rsidR="007D7500" w:rsidRPr="007D7500" w:rsidRDefault="007D7500" w:rsidP="007D7500">
      <w:pPr>
        <w:pStyle w:val="NormalWeb"/>
        <w:numPr>
          <w:ilvl w:val="1"/>
          <w:numId w:val="12"/>
        </w:numPr>
      </w:pPr>
      <w:r w:rsidRPr="007D7500">
        <w:lastRenderedPageBreak/>
        <w:t xml:space="preserve">Mohenjo-Daro provides an </w:t>
      </w:r>
      <w:r w:rsidRPr="007D7500">
        <w:rPr>
          <w:rStyle w:val="Strong"/>
          <w:rFonts w:eastAsiaTheme="majorEastAsia"/>
        </w:rPr>
        <w:t>exceptional testimony to the Indus Valley Civilization</w:t>
      </w:r>
      <w:r w:rsidRPr="007D7500">
        <w:t>, one of the world’s earliest urban societies.</w:t>
      </w:r>
    </w:p>
    <w:p w:rsidR="007D7500" w:rsidRPr="007D7500" w:rsidRDefault="007D7500" w:rsidP="007D7500">
      <w:pPr>
        <w:pStyle w:val="NormalWeb"/>
        <w:numPr>
          <w:ilvl w:val="1"/>
          <w:numId w:val="12"/>
        </w:numPr>
      </w:pPr>
      <w:r w:rsidRPr="007D7500">
        <w:t xml:space="preserve">The site’s material remains, including </w:t>
      </w:r>
      <w:r w:rsidRPr="007D7500">
        <w:rPr>
          <w:rStyle w:val="Strong"/>
          <w:rFonts w:eastAsiaTheme="majorEastAsia"/>
        </w:rPr>
        <w:t>residential structures, public baths, and artifacts</w:t>
      </w:r>
      <w:r w:rsidRPr="007D7500">
        <w:t>, offer unparalleled evidence of social organization, economic management, and daily life.</w:t>
      </w:r>
    </w:p>
    <w:p w:rsidR="007D7500" w:rsidRPr="007D7500" w:rsidRDefault="007D7500" w:rsidP="007D7500">
      <w:pPr>
        <w:pStyle w:val="NormalWeb"/>
      </w:pPr>
      <w:r w:rsidRPr="007D7500">
        <w:t xml:space="preserve">The evidence supporting these criteria includes the </w:t>
      </w:r>
      <w:r w:rsidRPr="007D7500">
        <w:rPr>
          <w:rStyle w:val="Strong"/>
          <w:rFonts w:eastAsiaTheme="majorEastAsia"/>
        </w:rPr>
        <w:t>Great Bath</w:t>
      </w:r>
      <w:r w:rsidRPr="007D7500">
        <w:t>, city grid patterns, standardized bricks, and artifacts demonstrating trade, craft specialization, and ritual practices. Collectively, these features justify Mohenjo-Daro’s status as a World Heritage Site and its recognition for universal significance.</w:t>
      </w:r>
    </w:p>
    <w:p w:rsidR="007D7500" w:rsidRDefault="007D7500" w:rsidP="007D7500">
      <w:pPr>
        <w:rPr>
          <w:rFonts w:ascii="Times New Roman" w:hAnsi="Times New Roman" w:cs="Times New Roman"/>
        </w:rPr>
      </w:pPr>
      <w:r w:rsidRPr="007D7500">
        <w:rPr>
          <w:rFonts w:ascii="Times New Roman" w:hAnsi="Times New Roman" w:cs="Times New Roman"/>
        </w:rPr>
        <w:pict>
          <v:rect id="_x0000_i1029" style="width:0;height:1.5pt" o:hralign="center" o:hrstd="t" o:hr="t" fillcolor="#a0a0a0" stroked="f"/>
        </w:pict>
      </w:r>
    </w:p>
    <w:p w:rsidR="007D7500" w:rsidRPr="007D7500" w:rsidRDefault="007D7500" w:rsidP="007D7500">
      <w:pPr>
        <w:rPr>
          <w:rFonts w:ascii="Times New Roman" w:hAnsi="Times New Roman" w:cs="Times New Roman"/>
        </w:rPr>
      </w:pPr>
    </w:p>
    <w:p w:rsidR="007D7500" w:rsidRPr="007D7500" w:rsidRDefault="007D7500" w:rsidP="007D7500">
      <w:pPr>
        <w:pStyle w:val="Heading2"/>
      </w:pPr>
      <w:r w:rsidRPr="007D7500">
        <w:rPr>
          <w:rStyle w:val="Strong"/>
          <w:bCs w:val="0"/>
        </w:rPr>
        <w:t>Authenticity and Integrity of the Site</w:t>
      </w:r>
      <w:r w:rsidRPr="007D7500">
        <w:t xml:space="preserve"> </w:t>
      </w:r>
    </w:p>
    <w:p w:rsidR="007D7500" w:rsidRPr="007D7500" w:rsidRDefault="007D7500" w:rsidP="007D7500">
      <w:pPr>
        <w:pStyle w:val="NormalWeb"/>
      </w:pPr>
      <w:r w:rsidRPr="007D7500">
        <w:t xml:space="preserve">The </w:t>
      </w:r>
      <w:r w:rsidRPr="007D7500">
        <w:rPr>
          <w:rStyle w:val="Strong"/>
          <w:rFonts w:eastAsiaTheme="majorEastAsia"/>
        </w:rPr>
        <w:t>authenticity</w:t>
      </w:r>
      <w:r w:rsidRPr="007D7500">
        <w:t xml:space="preserve"> of Mohenjo-Daro is maintained through the preservation of its </w:t>
      </w:r>
      <w:r w:rsidRPr="007D7500">
        <w:rPr>
          <w:rStyle w:val="Strong"/>
          <w:rFonts w:eastAsiaTheme="majorEastAsia"/>
        </w:rPr>
        <w:t>original urban layout, structural remains, and artifacts</w:t>
      </w:r>
      <w:r w:rsidRPr="007D7500">
        <w:t xml:space="preserve">, which reflect the true character and functions of the ancient city. Its integrity is also evident in the </w:t>
      </w:r>
      <w:r w:rsidRPr="007D7500">
        <w:rPr>
          <w:rStyle w:val="Strong"/>
          <w:rFonts w:eastAsiaTheme="majorEastAsia"/>
        </w:rPr>
        <w:t>completeness of the site</w:t>
      </w:r>
      <w:r w:rsidRPr="007D7500">
        <w:t>, including residential areas, public structures, and civic infrastructure, which together convey the city’s original planning and organization.</w:t>
      </w:r>
    </w:p>
    <w:p w:rsidR="007D7500" w:rsidRPr="007D7500" w:rsidRDefault="007D7500" w:rsidP="007D7500">
      <w:pPr>
        <w:pStyle w:val="NormalWeb"/>
      </w:pPr>
      <w:r w:rsidRPr="007D7500">
        <w:t xml:space="preserve">Challenges to authenticity include </w:t>
      </w:r>
      <w:r w:rsidRPr="007D7500">
        <w:rPr>
          <w:rStyle w:val="Strong"/>
          <w:rFonts w:eastAsiaTheme="majorEastAsia"/>
        </w:rPr>
        <w:t>environmental erosion, modern encroachments, and unsupervised tourism</w:t>
      </w:r>
      <w:r w:rsidRPr="007D7500">
        <w:t xml:space="preserve">, which threaten structural stability and archaeological context. Conservation interventions have aimed to respect original materials and construction techniques to ensure that restoration does not compromise the </w:t>
      </w:r>
      <w:r w:rsidRPr="007D7500">
        <w:rPr>
          <w:rStyle w:val="Strong"/>
          <w:rFonts w:eastAsiaTheme="majorEastAsia"/>
        </w:rPr>
        <w:t>historical integrity</w:t>
      </w:r>
      <w:r w:rsidRPr="007D7500">
        <w:t xml:space="preserve"> of the site.</w:t>
      </w:r>
    </w:p>
    <w:p w:rsidR="007D7500" w:rsidRDefault="007D7500" w:rsidP="007D7500">
      <w:pPr>
        <w:rPr>
          <w:rFonts w:ascii="Times New Roman" w:hAnsi="Times New Roman" w:cs="Times New Roman"/>
        </w:rPr>
      </w:pPr>
      <w:r w:rsidRPr="007D7500">
        <w:rPr>
          <w:rFonts w:ascii="Times New Roman" w:hAnsi="Times New Roman" w:cs="Times New Roman"/>
        </w:rPr>
        <w:pict>
          <v:rect id="_x0000_i1030" style="width:0;height:1.5pt" o:hralign="center" o:hrstd="t" o:hr="t" fillcolor="#a0a0a0" stroked="f"/>
        </w:pict>
      </w:r>
    </w:p>
    <w:p w:rsidR="007D7500" w:rsidRPr="007D7500" w:rsidRDefault="007D7500" w:rsidP="007D7500">
      <w:pPr>
        <w:rPr>
          <w:rFonts w:ascii="Times New Roman" w:hAnsi="Times New Roman" w:cs="Times New Roman"/>
        </w:rPr>
      </w:pPr>
    </w:p>
    <w:p w:rsidR="007D7500" w:rsidRPr="007D7500" w:rsidRDefault="007D7500" w:rsidP="007D7500">
      <w:pPr>
        <w:pStyle w:val="Heading2"/>
      </w:pPr>
      <w:r w:rsidRPr="007D7500">
        <w:rPr>
          <w:rStyle w:val="Strong"/>
          <w:bCs w:val="0"/>
        </w:rPr>
        <w:t>Conservation Strategy</w:t>
      </w:r>
      <w:r w:rsidRPr="007D7500">
        <w:t xml:space="preserve"> </w:t>
      </w:r>
    </w:p>
    <w:p w:rsidR="007D7500" w:rsidRPr="007D7500" w:rsidRDefault="007D7500" w:rsidP="007D7500">
      <w:pPr>
        <w:pStyle w:val="Heading3"/>
      </w:pPr>
      <w:r w:rsidRPr="007D7500">
        <w:rPr>
          <w:rStyle w:val="Strong"/>
          <w:b w:val="0"/>
          <w:bCs w:val="0"/>
        </w:rPr>
        <w:t>Main Threats/Risks</w:t>
      </w:r>
    </w:p>
    <w:p w:rsidR="007D7500" w:rsidRPr="007D7500" w:rsidRDefault="007D7500" w:rsidP="007D7500">
      <w:pPr>
        <w:pStyle w:val="NormalWeb"/>
      </w:pPr>
      <w:r w:rsidRPr="007D7500">
        <w:t>Mohenjo-Daro faces multiple risks:</w:t>
      </w:r>
    </w:p>
    <w:p w:rsidR="007D7500" w:rsidRPr="007D7500" w:rsidRDefault="007D7500" w:rsidP="007D7500">
      <w:pPr>
        <w:pStyle w:val="NormalWeb"/>
        <w:numPr>
          <w:ilvl w:val="0"/>
          <w:numId w:val="13"/>
        </w:numPr>
      </w:pPr>
      <w:r w:rsidRPr="007D7500">
        <w:rPr>
          <w:rStyle w:val="Strong"/>
          <w:rFonts w:eastAsiaTheme="majorEastAsia"/>
        </w:rPr>
        <w:t>Environmental Degradation:</w:t>
      </w:r>
    </w:p>
    <w:p w:rsidR="007D7500" w:rsidRPr="007D7500" w:rsidRDefault="007D7500" w:rsidP="007D7500">
      <w:pPr>
        <w:pStyle w:val="NormalWeb"/>
        <w:numPr>
          <w:ilvl w:val="1"/>
          <w:numId w:val="13"/>
        </w:numPr>
      </w:pPr>
      <w:r w:rsidRPr="007D7500">
        <w:t>Salt weathering, erosion, and flooding from the Indus River threaten mud-brick structures.</w:t>
      </w:r>
    </w:p>
    <w:p w:rsidR="007D7500" w:rsidRPr="007D7500" w:rsidRDefault="007D7500" w:rsidP="007D7500">
      <w:pPr>
        <w:pStyle w:val="NormalWeb"/>
        <w:numPr>
          <w:ilvl w:val="0"/>
          <w:numId w:val="13"/>
        </w:numPr>
      </w:pPr>
      <w:r w:rsidRPr="007D7500">
        <w:rPr>
          <w:rStyle w:val="Strong"/>
          <w:rFonts w:eastAsiaTheme="majorEastAsia"/>
        </w:rPr>
        <w:t>Climate Change:</w:t>
      </w:r>
    </w:p>
    <w:p w:rsidR="007D7500" w:rsidRPr="007D7500" w:rsidRDefault="007D7500" w:rsidP="007D7500">
      <w:pPr>
        <w:pStyle w:val="NormalWeb"/>
        <w:numPr>
          <w:ilvl w:val="1"/>
          <w:numId w:val="13"/>
        </w:numPr>
      </w:pPr>
      <w:r w:rsidRPr="007D7500">
        <w:t>Rising temperatures and heavy rainfall accelerate deterioration.</w:t>
      </w:r>
    </w:p>
    <w:p w:rsidR="007D7500" w:rsidRPr="007D7500" w:rsidRDefault="007D7500" w:rsidP="007D7500">
      <w:pPr>
        <w:pStyle w:val="NormalWeb"/>
        <w:numPr>
          <w:ilvl w:val="0"/>
          <w:numId w:val="13"/>
        </w:numPr>
      </w:pPr>
      <w:r w:rsidRPr="007D7500">
        <w:rPr>
          <w:rStyle w:val="Strong"/>
          <w:rFonts w:eastAsiaTheme="majorEastAsia"/>
        </w:rPr>
        <w:t>Tourism Pressure:</w:t>
      </w:r>
    </w:p>
    <w:p w:rsidR="007D7500" w:rsidRPr="007D7500" w:rsidRDefault="007D7500" w:rsidP="007D7500">
      <w:pPr>
        <w:pStyle w:val="NormalWeb"/>
        <w:numPr>
          <w:ilvl w:val="1"/>
          <w:numId w:val="13"/>
        </w:numPr>
      </w:pPr>
      <w:r w:rsidRPr="007D7500">
        <w:t>Unregulated visitor access can cause structural damage and site contamination.</w:t>
      </w:r>
    </w:p>
    <w:p w:rsidR="007D7500" w:rsidRPr="007D7500" w:rsidRDefault="007D7500" w:rsidP="007D7500">
      <w:pPr>
        <w:pStyle w:val="NormalWeb"/>
        <w:numPr>
          <w:ilvl w:val="0"/>
          <w:numId w:val="13"/>
        </w:numPr>
      </w:pPr>
      <w:r w:rsidRPr="007D7500">
        <w:rPr>
          <w:rStyle w:val="Strong"/>
          <w:rFonts w:eastAsiaTheme="majorEastAsia"/>
        </w:rPr>
        <w:t>Lack of Adequate Funding:</w:t>
      </w:r>
    </w:p>
    <w:p w:rsidR="007D7500" w:rsidRPr="007D7500" w:rsidRDefault="007D7500" w:rsidP="007D7500">
      <w:pPr>
        <w:pStyle w:val="NormalWeb"/>
        <w:numPr>
          <w:ilvl w:val="1"/>
          <w:numId w:val="13"/>
        </w:numPr>
      </w:pPr>
      <w:r w:rsidRPr="007D7500">
        <w:t>Limited resources hinder comprehensive restoration and monitoring.</w:t>
      </w:r>
    </w:p>
    <w:p w:rsidR="007D7500" w:rsidRPr="007D7500" w:rsidRDefault="007D7500" w:rsidP="007D7500">
      <w:pPr>
        <w:pStyle w:val="NormalWeb"/>
        <w:numPr>
          <w:ilvl w:val="0"/>
          <w:numId w:val="13"/>
        </w:numPr>
      </w:pPr>
      <w:r w:rsidRPr="007D7500">
        <w:rPr>
          <w:rStyle w:val="Strong"/>
          <w:rFonts w:eastAsiaTheme="majorEastAsia"/>
        </w:rPr>
        <w:t>Local Development Pressures:</w:t>
      </w:r>
    </w:p>
    <w:p w:rsidR="007D7500" w:rsidRPr="007D7500" w:rsidRDefault="007D7500" w:rsidP="007D7500">
      <w:pPr>
        <w:pStyle w:val="NormalWeb"/>
        <w:numPr>
          <w:ilvl w:val="1"/>
          <w:numId w:val="13"/>
        </w:numPr>
      </w:pPr>
      <w:r w:rsidRPr="007D7500">
        <w:t>Expansion of nearby settlements and agricultural activities may encroach upon the site.</w:t>
      </w:r>
    </w:p>
    <w:p w:rsidR="007D7500" w:rsidRDefault="007D7500" w:rsidP="007D7500">
      <w:pPr>
        <w:pStyle w:val="Heading3"/>
        <w:rPr>
          <w:rStyle w:val="Strong"/>
          <w:bCs w:val="0"/>
        </w:rPr>
      </w:pPr>
      <w:r w:rsidRPr="007D7500">
        <w:rPr>
          <w:rStyle w:val="Strong"/>
          <w:bCs w:val="0"/>
        </w:rPr>
        <w:t>Risk Factor Matrix</w:t>
      </w:r>
    </w:p>
    <w:p w:rsidR="007D7500" w:rsidRPr="007D7500" w:rsidRDefault="007D7500" w:rsidP="007D7500">
      <w:pPr>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8"/>
        <w:gridCol w:w="1168"/>
        <w:gridCol w:w="1300"/>
        <w:gridCol w:w="1375"/>
      </w:tblGrid>
      <w:tr w:rsidR="007D7500" w:rsidRPr="007D7500" w:rsidTr="007D7500">
        <w:trPr>
          <w:tblHeader/>
          <w:tblCellSpacing w:w="15" w:type="dxa"/>
        </w:trPr>
        <w:tc>
          <w:tcPr>
            <w:tcW w:w="0" w:type="auto"/>
            <w:vAlign w:val="center"/>
            <w:hideMark/>
          </w:tcPr>
          <w:p w:rsidR="007D7500" w:rsidRPr="007D7500" w:rsidRDefault="007D7500">
            <w:pPr>
              <w:jc w:val="center"/>
              <w:rPr>
                <w:rFonts w:ascii="Times New Roman" w:hAnsi="Times New Roman" w:cs="Times New Roman"/>
                <w:b/>
                <w:bCs/>
              </w:rPr>
            </w:pPr>
            <w:r w:rsidRPr="007D7500">
              <w:rPr>
                <w:rFonts w:ascii="Times New Roman" w:hAnsi="Times New Roman" w:cs="Times New Roman"/>
                <w:b/>
                <w:bCs/>
              </w:rPr>
              <w:lastRenderedPageBreak/>
              <w:t>Threat</w:t>
            </w:r>
          </w:p>
        </w:tc>
        <w:tc>
          <w:tcPr>
            <w:tcW w:w="0" w:type="auto"/>
            <w:vAlign w:val="center"/>
            <w:hideMark/>
          </w:tcPr>
          <w:p w:rsidR="007D7500" w:rsidRPr="007D7500" w:rsidRDefault="007D7500">
            <w:pPr>
              <w:jc w:val="center"/>
              <w:rPr>
                <w:rFonts w:ascii="Times New Roman" w:hAnsi="Times New Roman" w:cs="Times New Roman"/>
                <w:b/>
                <w:bCs/>
              </w:rPr>
            </w:pPr>
            <w:r w:rsidRPr="007D7500">
              <w:rPr>
                <w:rFonts w:ascii="Times New Roman" w:hAnsi="Times New Roman" w:cs="Times New Roman"/>
                <w:b/>
                <w:bCs/>
              </w:rPr>
              <w:t>Likelihood</w:t>
            </w:r>
          </w:p>
        </w:tc>
        <w:tc>
          <w:tcPr>
            <w:tcW w:w="0" w:type="auto"/>
            <w:vAlign w:val="center"/>
            <w:hideMark/>
          </w:tcPr>
          <w:p w:rsidR="007D7500" w:rsidRPr="007D7500" w:rsidRDefault="007D7500">
            <w:pPr>
              <w:jc w:val="center"/>
              <w:rPr>
                <w:rFonts w:ascii="Times New Roman" w:hAnsi="Times New Roman" w:cs="Times New Roman"/>
                <w:b/>
                <w:bCs/>
              </w:rPr>
            </w:pPr>
            <w:r w:rsidRPr="007D7500">
              <w:rPr>
                <w:rFonts w:ascii="Times New Roman" w:hAnsi="Times New Roman" w:cs="Times New Roman"/>
                <w:b/>
                <w:bCs/>
              </w:rPr>
              <w:t>Significance</w:t>
            </w:r>
          </w:p>
        </w:tc>
        <w:tc>
          <w:tcPr>
            <w:tcW w:w="0" w:type="auto"/>
            <w:vAlign w:val="center"/>
            <w:hideMark/>
          </w:tcPr>
          <w:p w:rsidR="007D7500" w:rsidRPr="007D7500" w:rsidRDefault="007D7500">
            <w:pPr>
              <w:jc w:val="center"/>
              <w:rPr>
                <w:rFonts w:ascii="Times New Roman" w:hAnsi="Times New Roman" w:cs="Times New Roman"/>
                <w:b/>
                <w:bCs/>
              </w:rPr>
            </w:pPr>
            <w:r w:rsidRPr="007D7500">
              <w:rPr>
                <w:rFonts w:ascii="Times New Roman" w:hAnsi="Times New Roman" w:cs="Times New Roman"/>
                <w:b/>
                <w:bCs/>
              </w:rPr>
              <w:t>Overall Risk</w:t>
            </w:r>
          </w:p>
        </w:tc>
      </w:tr>
      <w:tr w:rsidR="007D7500" w:rsidRPr="007D7500" w:rsidTr="007D7500">
        <w:trPr>
          <w:tblCellSpacing w:w="15" w:type="dxa"/>
        </w:trPr>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Environmental Degradation</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Critical</w:t>
            </w:r>
          </w:p>
        </w:tc>
      </w:tr>
      <w:tr w:rsidR="007D7500" w:rsidRPr="007D7500" w:rsidTr="007D7500">
        <w:trPr>
          <w:tblCellSpacing w:w="15" w:type="dxa"/>
        </w:trPr>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Climate Change</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r>
      <w:tr w:rsidR="007D7500" w:rsidRPr="007D7500" w:rsidTr="007D7500">
        <w:trPr>
          <w:tblCellSpacing w:w="15" w:type="dxa"/>
        </w:trPr>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Tourism Pressure</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r>
      <w:tr w:rsidR="007D7500" w:rsidRPr="007D7500" w:rsidTr="007D7500">
        <w:trPr>
          <w:tblCellSpacing w:w="15" w:type="dxa"/>
        </w:trPr>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Lack of Funding</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High</w:t>
            </w:r>
          </w:p>
        </w:tc>
      </w:tr>
      <w:tr w:rsidR="007D7500" w:rsidRPr="007D7500" w:rsidTr="007D7500">
        <w:trPr>
          <w:tblCellSpacing w:w="15" w:type="dxa"/>
        </w:trPr>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Local Development</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c>
          <w:tcPr>
            <w:tcW w:w="0" w:type="auto"/>
            <w:vAlign w:val="center"/>
            <w:hideMark/>
          </w:tcPr>
          <w:p w:rsidR="007D7500" w:rsidRPr="007D7500" w:rsidRDefault="007D7500">
            <w:pPr>
              <w:rPr>
                <w:rFonts w:ascii="Times New Roman" w:hAnsi="Times New Roman" w:cs="Times New Roman"/>
              </w:rPr>
            </w:pPr>
            <w:r w:rsidRPr="007D7500">
              <w:rPr>
                <w:rFonts w:ascii="Times New Roman" w:hAnsi="Times New Roman" w:cs="Times New Roman"/>
              </w:rPr>
              <w:t>Medium</w:t>
            </w:r>
          </w:p>
        </w:tc>
      </w:tr>
    </w:tbl>
    <w:p w:rsidR="007D7500" w:rsidRPr="007D7500" w:rsidRDefault="007D7500" w:rsidP="007D7500">
      <w:pPr>
        <w:pStyle w:val="Heading3"/>
      </w:pPr>
      <w:r w:rsidRPr="007D7500">
        <w:rPr>
          <w:rStyle w:val="Strong"/>
          <w:b w:val="0"/>
          <w:bCs w:val="0"/>
        </w:rPr>
        <w:t>Mitigation Actions</w:t>
      </w:r>
    </w:p>
    <w:p w:rsidR="007D7500" w:rsidRPr="007D7500" w:rsidRDefault="007D7500" w:rsidP="007D7500">
      <w:pPr>
        <w:pStyle w:val="NormalWeb"/>
        <w:numPr>
          <w:ilvl w:val="0"/>
          <w:numId w:val="14"/>
        </w:numPr>
      </w:pPr>
      <w:r w:rsidRPr="007D7500">
        <w:rPr>
          <w:rStyle w:val="Strong"/>
          <w:rFonts w:eastAsiaTheme="majorEastAsia"/>
        </w:rPr>
        <w:t>Structural Stabilization:</w:t>
      </w:r>
    </w:p>
    <w:p w:rsidR="007D7500" w:rsidRPr="007D7500" w:rsidRDefault="007D7500" w:rsidP="007D7500">
      <w:pPr>
        <w:pStyle w:val="NormalWeb"/>
        <w:numPr>
          <w:ilvl w:val="1"/>
          <w:numId w:val="14"/>
        </w:numPr>
      </w:pPr>
      <w:r w:rsidRPr="007D7500">
        <w:t>Use traditional brick restoration techniques to strengthen walls and public buildings.</w:t>
      </w:r>
    </w:p>
    <w:p w:rsidR="007D7500" w:rsidRPr="007D7500" w:rsidRDefault="007D7500" w:rsidP="007D7500">
      <w:pPr>
        <w:pStyle w:val="NormalWeb"/>
        <w:numPr>
          <w:ilvl w:val="1"/>
          <w:numId w:val="14"/>
        </w:numPr>
      </w:pPr>
      <w:r w:rsidRPr="007D7500">
        <w:t>Implement erosion control measures, including protective shelters and drainage systems.</w:t>
      </w:r>
    </w:p>
    <w:p w:rsidR="007D7500" w:rsidRPr="007D7500" w:rsidRDefault="007D7500" w:rsidP="007D7500">
      <w:pPr>
        <w:pStyle w:val="NormalWeb"/>
        <w:numPr>
          <w:ilvl w:val="0"/>
          <w:numId w:val="14"/>
        </w:numPr>
      </w:pPr>
      <w:r w:rsidRPr="007D7500">
        <w:rPr>
          <w:rStyle w:val="Strong"/>
          <w:rFonts w:eastAsiaTheme="majorEastAsia"/>
        </w:rPr>
        <w:t>Environmental Monitoring:</w:t>
      </w:r>
    </w:p>
    <w:p w:rsidR="007D7500" w:rsidRPr="007D7500" w:rsidRDefault="007D7500" w:rsidP="007D7500">
      <w:pPr>
        <w:pStyle w:val="NormalWeb"/>
        <w:numPr>
          <w:ilvl w:val="1"/>
          <w:numId w:val="14"/>
        </w:numPr>
      </w:pPr>
      <w:r w:rsidRPr="007D7500">
        <w:t>Regular assessments of salt levels, soil erosion, and water infiltration.</w:t>
      </w:r>
    </w:p>
    <w:p w:rsidR="007D7500" w:rsidRPr="007D7500" w:rsidRDefault="007D7500" w:rsidP="007D7500">
      <w:pPr>
        <w:pStyle w:val="NormalWeb"/>
        <w:numPr>
          <w:ilvl w:val="1"/>
          <w:numId w:val="14"/>
        </w:numPr>
      </w:pPr>
      <w:r w:rsidRPr="007D7500">
        <w:t>Climate-adaptive conservation strategies to minimize environmental risks.</w:t>
      </w:r>
    </w:p>
    <w:p w:rsidR="007D7500" w:rsidRPr="007D7500" w:rsidRDefault="007D7500" w:rsidP="007D7500">
      <w:pPr>
        <w:pStyle w:val="NormalWeb"/>
        <w:numPr>
          <w:ilvl w:val="0"/>
          <w:numId w:val="14"/>
        </w:numPr>
      </w:pPr>
      <w:r w:rsidRPr="007D7500">
        <w:rPr>
          <w:rStyle w:val="Strong"/>
          <w:rFonts w:eastAsiaTheme="majorEastAsia"/>
        </w:rPr>
        <w:t>Tourism Management:</w:t>
      </w:r>
    </w:p>
    <w:p w:rsidR="007D7500" w:rsidRPr="007D7500" w:rsidRDefault="007D7500" w:rsidP="007D7500">
      <w:pPr>
        <w:pStyle w:val="NormalWeb"/>
        <w:numPr>
          <w:ilvl w:val="1"/>
          <w:numId w:val="14"/>
        </w:numPr>
      </w:pPr>
      <w:r w:rsidRPr="007D7500">
        <w:t>Designated walkways, restricted zones, and guided tours to prevent damage.</w:t>
      </w:r>
    </w:p>
    <w:p w:rsidR="007D7500" w:rsidRPr="007D7500" w:rsidRDefault="007D7500" w:rsidP="007D7500">
      <w:pPr>
        <w:pStyle w:val="NormalWeb"/>
        <w:numPr>
          <w:ilvl w:val="1"/>
          <w:numId w:val="14"/>
        </w:numPr>
      </w:pPr>
      <w:r w:rsidRPr="007D7500">
        <w:t>Visitor education programs to encourage responsible behavior.</w:t>
      </w:r>
    </w:p>
    <w:p w:rsidR="007D7500" w:rsidRPr="007D7500" w:rsidRDefault="007D7500" w:rsidP="007D7500">
      <w:pPr>
        <w:pStyle w:val="NormalWeb"/>
        <w:numPr>
          <w:ilvl w:val="0"/>
          <w:numId w:val="14"/>
        </w:numPr>
      </w:pPr>
      <w:r w:rsidRPr="007D7500">
        <w:rPr>
          <w:rStyle w:val="Strong"/>
          <w:rFonts w:eastAsiaTheme="majorEastAsia"/>
        </w:rPr>
        <w:t>Funding and Policy Support:</w:t>
      </w:r>
    </w:p>
    <w:p w:rsidR="007D7500" w:rsidRPr="007D7500" w:rsidRDefault="007D7500" w:rsidP="007D7500">
      <w:pPr>
        <w:pStyle w:val="NormalWeb"/>
        <w:numPr>
          <w:ilvl w:val="1"/>
          <w:numId w:val="14"/>
        </w:numPr>
      </w:pPr>
      <w:r w:rsidRPr="007D7500">
        <w:t>Increase government and international funding for restoration projects.</w:t>
      </w:r>
    </w:p>
    <w:p w:rsidR="007D7500" w:rsidRPr="007D7500" w:rsidRDefault="007D7500" w:rsidP="007D7500">
      <w:pPr>
        <w:pStyle w:val="NormalWeb"/>
        <w:numPr>
          <w:ilvl w:val="1"/>
          <w:numId w:val="14"/>
        </w:numPr>
      </w:pPr>
      <w:r w:rsidRPr="007D7500">
        <w:t>Establish partnerships with NGOs and UNESCO for technical expertise and monitoring.</w:t>
      </w:r>
    </w:p>
    <w:p w:rsidR="007D7500" w:rsidRPr="007D7500" w:rsidRDefault="007D7500" w:rsidP="007D7500">
      <w:pPr>
        <w:pStyle w:val="NormalWeb"/>
        <w:numPr>
          <w:ilvl w:val="0"/>
          <w:numId w:val="14"/>
        </w:numPr>
      </w:pPr>
      <w:r w:rsidRPr="007D7500">
        <w:rPr>
          <w:rStyle w:val="Strong"/>
          <w:rFonts w:eastAsiaTheme="majorEastAsia"/>
        </w:rPr>
        <w:t>Community Involvement:</w:t>
      </w:r>
    </w:p>
    <w:p w:rsidR="007D7500" w:rsidRPr="007D7500" w:rsidRDefault="007D7500" w:rsidP="007D7500">
      <w:pPr>
        <w:pStyle w:val="NormalWeb"/>
        <w:numPr>
          <w:ilvl w:val="1"/>
          <w:numId w:val="14"/>
        </w:numPr>
      </w:pPr>
      <w:r w:rsidRPr="007D7500">
        <w:t>Engage local residents in conservation efforts to create ownership and reduce encroachment.</w:t>
      </w:r>
    </w:p>
    <w:p w:rsidR="007D7500" w:rsidRPr="007D7500" w:rsidRDefault="007D7500" w:rsidP="007D7500">
      <w:pPr>
        <w:pStyle w:val="NormalWeb"/>
        <w:numPr>
          <w:ilvl w:val="1"/>
          <w:numId w:val="14"/>
        </w:numPr>
      </w:pPr>
      <w:r w:rsidRPr="007D7500">
        <w:t>Promote heritage tourism that benefits the local economy while protecting the site.</w:t>
      </w:r>
    </w:p>
    <w:p w:rsidR="007D7500" w:rsidRDefault="007D7500" w:rsidP="007D7500">
      <w:pPr>
        <w:rPr>
          <w:rFonts w:ascii="Times New Roman" w:hAnsi="Times New Roman" w:cs="Times New Roman"/>
        </w:rPr>
      </w:pPr>
      <w:r w:rsidRPr="007D7500">
        <w:rPr>
          <w:rFonts w:ascii="Times New Roman" w:hAnsi="Times New Roman" w:cs="Times New Roman"/>
        </w:rPr>
        <w:pict>
          <v:rect id="_x0000_i1031" style="width:0;height:1.5pt" o:hralign="center" o:hrstd="t" o:hr="t" fillcolor="#a0a0a0" stroked="f"/>
        </w:pict>
      </w:r>
    </w:p>
    <w:p w:rsidR="007D7500" w:rsidRDefault="007D7500" w:rsidP="007D7500">
      <w:pPr>
        <w:rPr>
          <w:rFonts w:ascii="Times New Roman" w:hAnsi="Times New Roman" w:cs="Times New Roman"/>
        </w:rPr>
      </w:pPr>
    </w:p>
    <w:p w:rsidR="007D7500" w:rsidRDefault="007D7500" w:rsidP="007D7500">
      <w:pPr>
        <w:rPr>
          <w:rFonts w:ascii="Times New Roman" w:hAnsi="Times New Roman" w:cs="Times New Roman"/>
        </w:rPr>
      </w:pPr>
    </w:p>
    <w:p w:rsidR="007D7500" w:rsidRPr="007D7500" w:rsidRDefault="007D7500" w:rsidP="007D7500">
      <w:pPr>
        <w:rPr>
          <w:rFonts w:ascii="Times New Roman" w:hAnsi="Times New Roman" w:cs="Times New Roman"/>
        </w:rPr>
      </w:pPr>
      <w:bookmarkStart w:id="0" w:name="_GoBack"/>
      <w:bookmarkEnd w:id="0"/>
    </w:p>
    <w:p w:rsidR="007D7500" w:rsidRPr="007D7500" w:rsidRDefault="007D7500" w:rsidP="007D7500">
      <w:pPr>
        <w:pStyle w:val="Heading2"/>
      </w:pPr>
      <w:r w:rsidRPr="007D7500">
        <w:rPr>
          <w:rStyle w:val="Strong"/>
          <w:bCs w:val="0"/>
        </w:rPr>
        <w:t>Conclusion</w:t>
      </w:r>
      <w:r w:rsidRPr="007D7500">
        <w:t xml:space="preserve"> </w:t>
      </w:r>
    </w:p>
    <w:p w:rsidR="007D7500" w:rsidRPr="007D7500" w:rsidRDefault="007D7500" w:rsidP="007D7500">
      <w:pPr>
        <w:pStyle w:val="NormalWeb"/>
      </w:pPr>
      <w:r w:rsidRPr="007D7500">
        <w:t xml:space="preserve">Mohenjo-Daro is a site of </w:t>
      </w:r>
      <w:r w:rsidRPr="007D7500">
        <w:rPr>
          <w:rStyle w:val="Strong"/>
          <w:rFonts w:eastAsiaTheme="majorEastAsia"/>
        </w:rPr>
        <w:t>exceptional global significance</w:t>
      </w:r>
      <w:r w:rsidRPr="007D7500">
        <w:t xml:space="preserve">, representing the </w:t>
      </w:r>
      <w:r w:rsidRPr="007D7500">
        <w:rPr>
          <w:rStyle w:val="Strong"/>
          <w:rFonts w:eastAsiaTheme="majorEastAsia"/>
        </w:rPr>
        <w:t>advanced urban planning, engineering, and cultural sophistication</w:t>
      </w:r>
      <w:r w:rsidRPr="007D7500">
        <w:t xml:space="preserve"> of the Indus Valley Civilization. Its </w:t>
      </w:r>
      <w:r w:rsidRPr="007D7500">
        <w:rPr>
          <w:rStyle w:val="Strong"/>
          <w:rFonts w:eastAsiaTheme="majorEastAsia"/>
        </w:rPr>
        <w:t>Outstanding Universal Value</w:t>
      </w:r>
      <w:r w:rsidRPr="007D7500">
        <w:t xml:space="preserve"> stems from its unique combination of historical, architectural, and cultural attributes, which provide invaluable insight into early human urban development and social organization.</w:t>
      </w:r>
    </w:p>
    <w:p w:rsidR="007D7500" w:rsidRPr="007D7500" w:rsidRDefault="007D7500" w:rsidP="007D7500">
      <w:pPr>
        <w:pStyle w:val="NormalWeb"/>
      </w:pPr>
      <w:r w:rsidRPr="007D7500">
        <w:t xml:space="preserve">The site faces significant threats from </w:t>
      </w:r>
      <w:r w:rsidRPr="007D7500">
        <w:rPr>
          <w:rStyle w:val="Strong"/>
          <w:rFonts w:eastAsiaTheme="majorEastAsia"/>
        </w:rPr>
        <w:t>environmental degradation, climate change, tourism pressure, and development</w:t>
      </w:r>
      <w:r w:rsidRPr="007D7500">
        <w:t xml:space="preserve">, which challenge its authenticity and integrity. A comprehensive conservation strategy—integrating </w:t>
      </w:r>
      <w:r w:rsidRPr="007D7500">
        <w:rPr>
          <w:rStyle w:val="Strong"/>
          <w:rFonts w:eastAsiaTheme="majorEastAsia"/>
        </w:rPr>
        <w:t>structural stabilization, environmental monitoring, regulated tourism, policy support, and community engagement</w:t>
      </w:r>
      <w:r w:rsidRPr="007D7500">
        <w:t>—is essential to mitigate these risks.</w:t>
      </w:r>
    </w:p>
    <w:p w:rsidR="007D7500" w:rsidRPr="007D7500" w:rsidRDefault="007D7500" w:rsidP="007D7500">
      <w:pPr>
        <w:pStyle w:val="NormalWeb"/>
      </w:pPr>
      <w:r w:rsidRPr="007D7500">
        <w:lastRenderedPageBreak/>
        <w:t xml:space="preserve">Protecting Mohenjo-Daro ensures the preservation of one of humanity’s earliest urban achievements, maintaining its </w:t>
      </w:r>
      <w:r w:rsidRPr="007D7500">
        <w:rPr>
          <w:rStyle w:val="Strong"/>
          <w:rFonts w:eastAsiaTheme="majorEastAsia"/>
        </w:rPr>
        <w:t>Outstanding Universal Value for future generations</w:t>
      </w:r>
      <w:r w:rsidRPr="007D7500">
        <w:t>. Effective conservation strategies not only safeguard material heritage but also provide educational, cultural, and economic benefits, emphasizing the importance of holistic heritage management in preserving globally significant sites.</w:t>
      </w:r>
    </w:p>
    <w:p w:rsidR="00EA737F" w:rsidRPr="007D7500" w:rsidRDefault="00EA737F" w:rsidP="007D7500">
      <w:pPr>
        <w:spacing w:line="276" w:lineRule="auto"/>
        <w:rPr>
          <w:rFonts w:ascii="Times New Roman" w:hAnsi="Times New Roman" w:cs="Times New Roman"/>
          <w:lang w:val="en-US"/>
        </w:rPr>
      </w:pPr>
    </w:p>
    <w:sectPr w:rsidR="00EA737F" w:rsidRPr="007D7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537CCB4-FEB8-4D38-9733-A5A02722BA5C}"/>
    <w:embedBold r:id="rId2" w:fontKey="{14087070-FA01-4348-9DD3-B21D21CCE04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780D988-F8B8-4C39-8F55-F13DFF0F00B6}"/>
  </w:font>
  <w:font w:name="Calibri Light">
    <w:panose1 w:val="020F0302020204030204"/>
    <w:charset w:val="00"/>
    <w:family w:val="swiss"/>
    <w:pitch w:val="variable"/>
    <w:sig w:usb0="E4002EFF" w:usb1="C200247B" w:usb2="00000009" w:usb3="00000000" w:csb0="000001FF" w:csb1="00000000"/>
    <w:embedRegular r:id="rId4" w:fontKey="{77BFB81A-8DB6-4A4D-820D-DFF1EC60C57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F46A6B"/>
    <w:multiLevelType w:val="multilevel"/>
    <w:tmpl w:val="B21A1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2D75BB"/>
    <w:multiLevelType w:val="multilevel"/>
    <w:tmpl w:val="97844C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771291"/>
    <w:multiLevelType w:val="multilevel"/>
    <w:tmpl w:val="157EE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966C21"/>
    <w:multiLevelType w:val="multilevel"/>
    <w:tmpl w:val="0A6AE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3"/>
  </w:num>
  <w:num w:numId="4">
    <w:abstractNumId w:val="11"/>
  </w:num>
  <w:num w:numId="5">
    <w:abstractNumId w:val="0"/>
  </w:num>
  <w:num w:numId="6">
    <w:abstractNumId w:val="3"/>
  </w:num>
  <w:num w:numId="7">
    <w:abstractNumId w:val="2"/>
  </w:num>
  <w:num w:numId="8">
    <w:abstractNumId w:val="7"/>
  </w:num>
  <w:num w:numId="9">
    <w:abstractNumId w:val="5"/>
  </w:num>
  <w:num w:numId="10">
    <w:abstractNumId w:val="6"/>
  </w:num>
  <w:num w:numId="11">
    <w:abstractNumId w:val="10"/>
  </w:num>
  <w:num w:numId="12">
    <w:abstractNumId w:val="8"/>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1A10A9"/>
    <w:rsid w:val="00224FD9"/>
    <w:rsid w:val="002F4AE0"/>
    <w:rsid w:val="00384E8A"/>
    <w:rsid w:val="003D1074"/>
    <w:rsid w:val="00426865"/>
    <w:rsid w:val="00477CAA"/>
    <w:rsid w:val="00502E29"/>
    <w:rsid w:val="005D6F0D"/>
    <w:rsid w:val="005E458B"/>
    <w:rsid w:val="00637F36"/>
    <w:rsid w:val="00661030"/>
    <w:rsid w:val="006F6FA4"/>
    <w:rsid w:val="007D7500"/>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3E84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7D7500"/>
    <w:pPr>
      <w:keepNext/>
      <w:keepLines/>
      <w:spacing w:before="480"/>
      <w:outlineLvl w:val="0"/>
    </w:pPr>
    <w:rPr>
      <w:rFonts w:ascii="Times New Roman" w:eastAsiaTheme="majorEastAsia" w:hAnsi="Times New Roman" w:cs="Times New Roman"/>
      <w:bCs/>
      <w:sz w:val="32"/>
      <w:lang w:val="en-US"/>
    </w:rPr>
  </w:style>
  <w:style w:type="paragraph" w:styleId="Heading2">
    <w:name w:val="heading 2"/>
    <w:basedOn w:val="Normal"/>
    <w:next w:val="Normal"/>
    <w:link w:val="Heading2Char"/>
    <w:autoRedefine/>
    <w:uiPriority w:val="9"/>
    <w:unhideWhenUsed/>
    <w:qFormat/>
    <w:rsid w:val="007D7500"/>
    <w:pPr>
      <w:keepNext/>
      <w:keepLines/>
      <w:spacing w:before="40" w:line="276" w:lineRule="auto"/>
      <w:outlineLvl w:val="1"/>
    </w:pPr>
    <w:rPr>
      <w:rFonts w:ascii="Times New Roman" w:eastAsiaTheme="majorEastAsia" w:hAnsi="Times New Roman" w:cs="Times New Roman"/>
      <w:color w:val="000000" w:themeColor="text1"/>
      <w:lang w:val="en-US"/>
    </w:rPr>
  </w:style>
  <w:style w:type="paragraph" w:styleId="Heading3">
    <w:name w:val="heading 3"/>
    <w:basedOn w:val="Normal"/>
    <w:next w:val="Normal"/>
    <w:link w:val="Heading3Char"/>
    <w:autoRedefine/>
    <w:uiPriority w:val="9"/>
    <w:unhideWhenUsed/>
    <w:qFormat/>
    <w:rsid w:val="007D7500"/>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500"/>
    <w:rPr>
      <w:rFonts w:ascii="Times New Roman" w:eastAsiaTheme="majorEastAsia" w:hAnsi="Times New Roman" w:cs="Times New Roman"/>
      <w:bCs/>
      <w:sz w:val="32"/>
      <w:lang w:val="en-US"/>
    </w:rPr>
  </w:style>
  <w:style w:type="character" w:customStyle="1" w:styleId="Heading2Char">
    <w:name w:val="Heading 2 Char"/>
    <w:basedOn w:val="DefaultParagraphFont"/>
    <w:link w:val="Heading2"/>
    <w:uiPriority w:val="9"/>
    <w:rsid w:val="007D7500"/>
    <w:rPr>
      <w:rFonts w:ascii="Times New Roman" w:eastAsiaTheme="majorEastAsia" w:hAnsi="Times New Roman" w:cs="Times New Roman"/>
      <w:color w:val="000000" w:themeColor="text1"/>
      <w:lang w:val="en-US"/>
    </w:rPr>
  </w:style>
  <w:style w:type="character" w:customStyle="1" w:styleId="Heading3Char">
    <w:name w:val="Heading 3 Char"/>
    <w:basedOn w:val="DefaultParagraphFont"/>
    <w:link w:val="Heading3"/>
    <w:uiPriority w:val="9"/>
    <w:rsid w:val="007D7500"/>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7D7500"/>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D75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09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2025-12-25T13:51:00Z</dcterms:created>
  <dcterms:modified xsi:type="dcterms:W3CDTF">2025-12-25T13:51:00Z</dcterms:modified>
</cp:coreProperties>
</file>