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55B63" w14:textId="77777777" w:rsidR="00624CB3" w:rsidRPr="00C20F07" w:rsidRDefault="00624CB3" w:rsidP="00C20F07">
      <w:pPr>
        <w:spacing w:line="259" w:lineRule="auto"/>
        <w:jc w:val="center"/>
        <w:rPr>
          <w:b/>
          <w:bCs/>
          <w:sz w:val="52"/>
          <w:szCs w:val="50"/>
        </w:rPr>
      </w:pPr>
      <w:r w:rsidRPr="00C20F07">
        <w:rPr>
          <w:b/>
          <w:bCs/>
          <w:sz w:val="52"/>
          <w:szCs w:val="50"/>
        </w:rPr>
        <w:t>Health Threats in Tourism and Recreation</w:t>
      </w:r>
    </w:p>
    <w:p w14:paraId="1B092361" w14:textId="77777777" w:rsidR="00C20F07" w:rsidRPr="00C20F07" w:rsidRDefault="00C20F07" w:rsidP="00C20F07">
      <w:pPr>
        <w:spacing w:line="259" w:lineRule="auto"/>
        <w:jc w:val="center"/>
        <w:rPr>
          <w:b/>
          <w:bCs/>
          <w:sz w:val="52"/>
          <w:szCs w:val="50"/>
        </w:rPr>
      </w:pPr>
      <w:r w:rsidRPr="00C20F07">
        <w:rPr>
          <w:b/>
          <w:bCs/>
          <w:sz w:val="52"/>
          <w:szCs w:val="50"/>
        </w:rPr>
        <w:t>Assignment Draft 2</w:t>
      </w:r>
    </w:p>
    <w:p w14:paraId="51560311" w14:textId="77777777" w:rsidR="00C20F07" w:rsidRPr="00C20F07" w:rsidRDefault="00C20F07" w:rsidP="00C20F07">
      <w:pPr>
        <w:spacing w:line="259" w:lineRule="auto"/>
        <w:jc w:val="center"/>
        <w:rPr>
          <w:b/>
          <w:bCs/>
          <w:sz w:val="52"/>
          <w:szCs w:val="50"/>
        </w:rPr>
      </w:pPr>
      <w:r w:rsidRPr="00C20F07">
        <w:rPr>
          <w:b/>
          <w:bCs/>
          <w:sz w:val="52"/>
          <w:szCs w:val="50"/>
        </w:rPr>
        <w:t>Title: Cross-Border Health-Safe Tourism Corridor Between Italy and Greece: A Proposal for Pandemic-Resilient Travel</w:t>
      </w:r>
    </w:p>
    <w:p w14:paraId="551B1682" w14:textId="77777777" w:rsidR="00C20F07" w:rsidRPr="00C20F07" w:rsidRDefault="00C20F07" w:rsidP="00C20F07">
      <w:pPr>
        <w:spacing w:line="259" w:lineRule="auto"/>
        <w:jc w:val="center"/>
        <w:rPr>
          <w:b/>
          <w:bCs/>
          <w:sz w:val="52"/>
          <w:szCs w:val="50"/>
        </w:rPr>
      </w:pPr>
    </w:p>
    <w:p w14:paraId="002D6AFD" w14:textId="77777777" w:rsidR="00C20F07" w:rsidRPr="00C20F07" w:rsidRDefault="00C20F07" w:rsidP="00C20F07">
      <w:pPr>
        <w:spacing w:line="259" w:lineRule="auto"/>
        <w:jc w:val="center"/>
        <w:rPr>
          <w:b/>
          <w:bCs/>
          <w:sz w:val="52"/>
          <w:szCs w:val="50"/>
        </w:rPr>
      </w:pPr>
    </w:p>
    <w:p w14:paraId="3DDCCB7D" w14:textId="77777777" w:rsidR="00C20F07" w:rsidRPr="00C20F07" w:rsidRDefault="00C20F07" w:rsidP="00C20F07">
      <w:pPr>
        <w:spacing w:line="259" w:lineRule="auto"/>
        <w:jc w:val="center"/>
        <w:rPr>
          <w:b/>
          <w:bCs/>
          <w:sz w:val="52"/>
          <w:szCs w:val="50"/>
        </w:rPr>
      </w:pPr>
    </w:p>
    <w:p w14:paraId="2CE28434" w14:textId="1ECC5E6E" w:rsidR="00C20F07" w:rsidRPr="00C20F07" w:rsidRDefault="0043568C" w:rsidP="00C20F07">
      <w:pPr>
        <w:spacing w:line="259" w:lineRule="auto"/>
        <w:jc w:val="center"/>
        <w:rPr>
          <w:b/>
          <w:bCs/>
          <w:sz w:val="52"/>
          <w:szCs w:val="50"/>
        </w:rPr>
      </w:pPr>
      <w:r>
        <w:rPr>
          <w:b/>
          <w:bCs/>
          <w:sz w:val="52"/>
          <w:szCs w:val="50"/>
        </w:rPr>
        <w:t>Word Count: 4968</w:t>
      </w:r>
    </w:p>
    <w:p w14:paraId="66F7E10E" w14:textId="6F400166" w:rsidR="00C20F07" w:rsidRPr="00C20F07" w:rsidRDefault="00C20F07" w:rsidP="00C20F07">
      <w:pPr>
        <w:spacing w:line="259" w:lineRule="auto"/>
        <w:jc w:val="center"/>
        <w:rPr>
          <w:b/>
          <w:bCs/>
          <w:sz w:val="52"/>
          <w:szCs w:val="50"/>
        </w:rPr>
      </w:pPr>
      <w:r w:rsidRPr="00C20F07">
        <w:rPr>
          <w:b/>
          <w:bCs/>
          <w:sz w:val="52"/>
          <w:szCs w:val="50"/>
        </w:rPr>
        <w:t>Student Name:</w:t>
      </w:r>
      <w:r w:rsidR="00E80D9C">
        <w:rPr>
          <w:b/>
          <w:bCs/>
          <w:sz w:val="52"/>
          <w:szCs w:val="50"/>
        </w:rPr>
        <w:t xml:space="preserve"> </w:t>
      </w:r>
      <w:r w:rsidR="00E80D9C" w:rsidRPr="00E80D9C">
        <w:rPr>
          <w:b/>
          <w:bCs/>
          <w:sz w:val="52"/>
          <w:szCs w:val="50"/>
        </w:rPr>
        <w:t>Pushpender</w:t>
      </w:r>
    </w:p>
    <w:p w14:paraId="6188DA49" w14:textId="77777777" w:rsidR="00C20F07" w:rsidRPr="00C20F07" w:rsidRDefault="00C20F07" w:rsidP="00C20F07">
      <w:pPr>
        <w:spacing w:line="259" w:lineRule="auto"/>
        <w:jc w:val="center"/>
        <w:rPr>
          <w:b/>
          <w:bCs/>
          <w:sz w:val="52"/>
          <w:szCs w:val="50"/>
        </w:rPr>
      </w:pPr>
    </w:p>
    <w:p w14:paraId="1E232E87" w14:textId="0152C0E3" w:rsidR="00624CB3" w:rsidRPr="00C20F07" w:rsidRDefault="00C20F07" w:rsidP="00C20F07">
      <w:pPr>
        <w:spacing w:line="259" w:lineRule="auto"/>
        <w:jc w:val="center"/>
      </w:pPr>
      <w:r w:rsidRPr="00C20F07">
        <w:rPr>
          <w:b/>
          <w:bCs/>
          <w:sz w:val="52"/>
          <w:szCs w:val="50"/>
        </w:rPr>
        <w:t>Student ID:</w:t>
      </w:r>
      <w:r w:rsidR="00E80D9C">
        <w:rPr>
          <w:b/>
          <w:bCs/>
          <w:sz w:val="52"/>
          <w:szCs w:val="50"/>
        </w:rPr>
        <w:t xml:space="preserve"> </w:t>
      </w:r>
      <w:r w:rsidR="00E80D9C" w:rsidRPr="00E80D9C">
        <w:rPr>
          <w:b/>
          <w:bCs/>
          <w:sz w:val="52"/>
          <w:szCs w:val="50"/>
        </w:rPr>
        <w:t>Pushpender100</w:t>
      </w:r>
      <w:r w:rsidRPr="00C20F07">
        <w:rPr>
          <w:sz w:val="52"/>
          <w:szCs w:val="50"/>
        </w:rPr>
        <w:t xml:space="preserve"> </w:t>
      </w:r>
      <w:r w:rsidR="00624CB3">
        <w:br w:type="page"/>
      </w:r>
    </w:p>
    <w:sdt>
      <w:sdtPr>
        <w:rPr>
          <w:rFonts w:ascii="Times New Roman" w:eastAsiaTheme="minorHAnsi" w:hAnsi="Times New Roman" w:cstheme="minorBidi"/>
          <w:color w:val="auto"/>
          <w:kern w:val="2"/>
          <w:sz w:val="24"/>
          <w:szCs w:val="22"/>
          <w:lang w:val="en-IN"/>
          <w14:ligatures w14:val="standardContextual"/>
        </w:rPr>
        <w:id w:val="-1603640853"/>
        <w:docPartObj>
          <w:docPartGallery w:val="Table of Contents"/>
          <w:docPartUnique/>
        </w:docPartObj>
      </w:sdtPr>
      <w:sdtEndPr>
        <w:rPr>
          <w:b/>
          <w:bCs/>
          <w:noProof/>
        </w:rPr>
      </w:sdtEndPr>
      <w:sdtContent>
        <w:p w14:paraId="2CA72640" w14:textId="454DAEBE" w:rsidR="00624CB3" w:rsidRDefault="00624CB3">
          <w:pPr>
            <w:pStyle w:val="TOCHeading"/>
          </w:pPr>
          <w:r>
            <w:t>Table of Contents</w:t>
          </w:r>
        </w:p>
        <w:p w14:paraId="6B09ACD0" w14:textId="671AC63E" w:rsidR="00624CB3" w:rsidRDefault="00624CB3">
          <w:pPr>
            <w:pStyle w:val="TOC1"/>
            <w:tabs>
              <w:tab w:val="right" w:leader="dot" w:pos="9016"/>
            </w:tabs>
            <w:rPr>
              <w:noProof/>
            </w:rPr>
          </w:pPr>
          <w:r>
            <w:fldChar w:fldCharType="begin"/>
          </w:r>
          <w:r>
            <w:instrText xml:space="preserve"> TOC \o "1-3" \h \z \u </w:instrText>
          </w:r>
          <w:r>
            <w:fldChar w:fldCharType="separate"/>
          </w:r>
          <w:hyperlink w:anchor="_Toc203988018" w:history="1">
            <w:r w:rsidRPr="00792A7E">
              <w:rPr>
                <w:rStyle w:val="Hyperlink"/>
                <w:noProof/>
              </w:rPr>
              <w:t>Introduction</w:t>
            </w:r>
            <w:r>
              <w:rPr>
                <w:noProof/>
                <w:webHidden/>
              </w:rPr>
              <w:tab/>
            </w:r>
            <w:r>
              <w:rPr>
                <w:noProof/>
                <w:webHidden/>
              </w:rPr>
              <w:fldChar w:fldCharType="begin"/>
            </w:r>
            <w:r>
              <w:rPr>
                <w:noProof/>
                <w:webHidden/>
              </w:rPr>
              <w:instrText xml:space="preserve"> PAGEREF _Toc203988018 \h </w:instrText>
            </w:r>
            <w:r>
              <w:rPr>
                <w:noProof/>
                <w:webHidden/>
              </w:rPr>
            </w:r>
            <w:r>
              <w:rPr>
                <w:noProof/>
                <w:webHidden/>
              </w:rPr>
              <w:fldChar w:fldCharType="separate"/>
            </w:r>
            <w:r>
              <w:rPr>
                <w:noProof/>
                <w:webHidden/>
              </w:rPr>
              <w:t>3</w:t>
            </w:r>
            <w:r>
              <w:rPr>
                <w:noProof/>
                <w:webHidden/>
              </w:rPr>
              <w:fldChar w:fldCharType="end"/>
            </w:r>
          </w:hyperlink>
        </w:p>
        <w:p w14:paraId="6D37AAAF" w14:textId="2F8E75FD" w:rsidR="00624CB3" w:rsidRDefault="00624CB3">
          <w:pPr>
            <w:pStyle w:val="TOC2"/>
            <w:tabs>
              <w:tab w:val="right" w:leader="dot" w:pos="9016"/>
            </w:tabs>
            <w:rPr>
              <w:noProof/>
            </w:rPr>
          </w:pPr>
          <w:hyperlink w:anchor="_Toc203988019" w:history="1">
            <w:r w:rsidRPr="00792A7E">
              <w:rPr>
                <w:rStyle w:val="Hyperlink"/>
                <w:noProof/>
              </w:rPr>
              <w:t>1.1 Background</w:t>
            </w:r>
            <w:r>
              <w:rPr>
                <w:noProof/>
                <w:webHidden/>
              </w:rPr>
              <w:tab/>
            </w:r>
            <w:r>
              <w:rPr>
                <w:noProof/>
                <w:webHidden/>
              </w:rPr>
              <w:fldChar w:fldCharType="begin"/>
            </w:r>
            <w:r>
              <w:rPr>
                <w:noProof/>
                <w:webHidden/>
              </w:rPr>
              <w:instrText xml:space="preserve"> PAGEREF _Toc203988019 \h </w:instrText>
            </w:r>
            <w:r>
              <w:rPr>
                <w:noProof/>
                <w:webHidden/>
              </w:rPr>
            </w:r>
            <w:r>
              <w:rPr>
                <w:noProof/>
                <w:webHidden/>
              </w:rPr>
              <w:fldChar w:fldCharType="separate"/>
            </w:r>
            <w:r>
              <w:rPr>
                <w:noProof/>
                <w:webHidden/>
              </w:rPr>
              <w:t>3</w:t>
            </w:r>
            <w:r>
              <w:rPr>
                <w:noProof/>
                <w:webHidden/>
              </w:rPr>
              <w:fldChar w:fldCharType="end"/>
            </w:r>
          </w:hyperlink>
        </w:p>
        <w:p w14:paraId="0B9BF6FC" w14:textId="54AD4113" w:rsidR="00624CB3" w:rsidRDefault="00624CB3">
          <w:pPr>
            <w:pStyle w:val="TOC2"/>
            <w:tabs>
              <w:tab w:val="right" w:leader="dot" w:pos="9016"/>
            </w:tabs>
            <w:rPr>
              <w:noProof/>
            </w:rPr>
          </w:pPr>
          <w:hyperlink w:anchor="_Toc203988020" w:history="1">
            <w:r w:rsidRPr="00792A7E">
              <w:rPr>
                <w:rStyle w:val="Hyperlink"/>
                <w:noProof/>
              </w:rPr>
              <w:t>1.2 Purpose</w:t>
            </w:r>
            <w:r>
              <w:rPr>
                <w:noProof/>
                <w:webHidden/>
              </w:rPr>
              <w:tab/>
            </w:r>
            <w:r>
              <w:rPr>
                <w:noProof/>
                <w:webHidden/>
              </w:rPr>
              <w:fldChar w:fldCharType="begin"/>
            </w:r>
            <w:r>
              <w:rPr>
                <w:noProof/>
                <w:webHidden/>
              </w:rPr>
              <w:instrText xml:space="preserve"> PAGEREF _Toc203988020 \h </w:instrText>
            </w:r>
            <w:r>
              <w:rPr>
                <w:noProof/>
                <w:webHidden/>
              </w:rPr>
            </w:r>
            <w:r>
              <w:rPr>
                <w:noProof/>
                <w:webHidden/>
              </w:rPr>
              <w:fldChar w:fldCharType="separate"/>
            </w:r>
            <w:r>
              <w:rPr>
                <w:noProof/>
                <w:webHidden/>
              </w:rPr>
              <w:t>3</w:t>
            </w:r>
            <w:r>
              <w:rPr>
                <w:noProof/>
                <w:webHidden/>
              </w:rPr>
              <w:fldChar w:fldCharType="end"/>
            </w:r>
          </w:hyperlink>
        </w:p>
        <w:p w14:paraId="795EDB50" w14:textId="2A92A393" w:rsidR="00624CB3" w:rsidRDefault="00624CB3">
          <w:pPr>
            <w:pStyle w:val="TOC2"/>
            <w:tabs>
              <w:tab w:val="right" w:leader="dot" w:pos="9016"/>
            </w:tabs>
            <w:rPr>
              <w:noProof/>
            </w:rPr>
          </w:pPr>
          <w:hyperlink w:anchor="_Toc203988021" w:history="1">
            <w:r w:rsidRPr="00792A7E">
              <w:rPr>
                <w:rStyle w:val="Hyperlink"/>
                <w:noProof/>
              </w:rPr>
              <w:t>1.3 Objectives</w:t>
            </w:r>
            <w:r>
              <w:rPr>
                <w:noProof/>
                <w:webHidden/>
              </w:rPr>
              <w:tab/>
            </w:r>
            <w:r>
              <w:rPr>
                <w:noProof/>
                <w:webHidden/>
              </w:rPr>
              <w:fldChar w:fldCharType="begin"/>
            </w:r>
            <w:r>
              <w:rPr>
                <w:noProof/>
                <w:webHidden/>
              </w:rPr>
              <w:instrText xml:space="preserve"> PAGEREF _Toc203988021 \h </w:instrText>
            </w:r>
            <w:r>
              <w:rPr>
                <w:noProof/>
                <w:webHidden/>
              </w:rPr>
            </w:r>
            <w:r>
              <w:rPr>
                <w:noProof/>
                <w:webHidden/>
              </w:rPr>
              <w:fldChar w:fldCharType="separate"/>
            </w:r>
            <w:r>
              <w:rPr>
                <w:noProof/>
                <w:webHidden/>
              </w:rPr>
              <w:t>3</w:t>
            </w:r>
            <w:r>
              <w:rPr>
                <w:noProof/>
                <w:webHidden/>
              </w:rPr>
              <w:fldChar w:fldCharType="end"/>
            </w:r>
          </w:hyperlink>
        </w:p>
        <w:p w14:paraId="47108DFD" w14:textId="6C8A8344" w:rsidR="00624CB3" w:rsidRDefault="00624CB3">
          <w:pPr>
            <w:pStyle w:val="TOC1"/>
            <w:tabs>
              <w:tab w:val="right" w:leader="dot" w:pos="9016"/>
            </w:tabs>
            <w:rPr>
              <w:noProof/>
            </w:rPr>
          </w:pPr>
          <w:hyperlink w:anchor="_Toc203988022" w:history="1">
            <w:r w:rsidRPr="00792A7E">
              <w:rPr>
                <w:rStyle w:val="Hyperlink"/>
                <w:noProof/>
              </w:rPr>
              <w:t>Literature Review</w:t>
            </w:r>
            <w:r>
              <w:rPr>
                <w:noProof/>
                <w:webHidden/>
              </w:rPr>
              <w:tab/>
            </w:r>
            <w:r>
              <w:rPr>
                <w:noProof/>
                <w:webHidden/>
              </w:rPr>
              <w:fldChar w:fldCharType="begin"/>
            </w:r>
            <w:r>
              <w:rPr>
                <w:noProof/>
                <w:webHidden/>
              </w:rPr>
              <w:instrText xml:space="preserve"> PAGEREF _Toc203988022 \h </w:instrText>
            </w:r>
            <w:r>
              <w:rPr>
                <w:noProof/>
                <w:webHidden/>
              </w:rPr>
            </w:r>
            <w:r>
              <w:rPr>
                <w:noProof/>
                <w:webHidden/>
              </w:rPr>
              <w:fldChar w:fldCharType="separate"/>
            </w:r>
            <w:r>
              <w:rPr>
                <w:noProof/>
                <w:webHidden/>
              </w:rPr>
              <w:t>4</w:t>
            </w:r>
            <w:r>
              <w:rPr>
                <w:noProof/>
                <w:webHidden/>
              </w:rPr>
              <w:fldChar w:fldCharType="end"/>
            </w:r>
          </w:hyperlink>
        </w:p>
        <w:p w14:paraId="6123FB8C" w14:textId="1CB81B15" w:rsidR="00624CB3" w:rsidRDefault="00624CB3">
          <w:pPr>
            <w:pStyle w:val="TOC1"/>
            <w:tabs>
              <w:tab w:val="right" w:leader="dot" w:pos="9016"/>
            </w:tabs>
            <w:rPr>
              <w:noProof/>
            </w:rPr>
          </w:pPr>
          <w:hyperlink w:anchor="_Toc203988023" w:history="1">
            <w:r w:rsidRPr="00792A7E">
              <w:rPr>
                <w:rStyle w:val="Hyperlink"/>
                <w:noProof/>
              </w:rPr>
              <w:t>Methodology</w:t>
            </w:r>
            <w:r>
              <w:rPr>
                <w:noProof/>
                <w:webHidden/>
              </w:rPr>
              <w:tab/>
            </w:r>
            <w:r>
              <w:rPr>
                <w:noProof/>
                <w:webHidden/>
              </w:rPr>
              <w:fldChar w:fldCharType="begin"/>
            </w:r>
            <w:r>
              <w:rPr>
                <w:noProof/>
                <w:webHidden/>
              </w:rPr>
              <w:instrText xml:space="preserve"> PAGEREF _Toc203988023 \h </w:instrText>
            </w:r>
            <w:r>
              <w:rPr>
                <w:noProof/>
                <w:webHidden/>
              </w:rPr>
            </w:r>
            <w:r>
              <w:rPr>
                <w:noProof/>
                <w:webHidden/>
              </w:rPr>
              <w:fldChar w:fldCharType="separate"/>
            </w:r>
            <w:r>
              <w:rPr>
                <w:noProof/>
                <w:webHidden/>
              </w:rPr>
              <w:t>9</w:t>
            </w:r>
            <w:r>
              <w:rPr>
                <w:noProof/>
                <w:webHidden/>
              </w:rPr>
              <w:fldChar w:fldCharType="end"/>
            </w:r>
          </w:hyperlink>
        </w:p>
        <w:p w14:paraId="3C76257E" w14:textId="68D53659" w:rsidR="00624CB3" w:rsidRDefault="00624CB3">
          <w:pPr>
            <w:pStyle w:val="TOC1"/>
            <w:tabs>
              <w:tab w:val="right" w:leader="dot" w:pos="9016"/>
            </w:tabs>
            <w:rPr>
              <w:noProof/>
            </w:rPr>
          </w:pPr>
          <w:hyperlink w:anchor="_Toc203988024" w:history="1">
            <w:r w:rsidRPr="00792A7E">
              <w:rPr>
                <w:rStyle w:val="Hyperlink"/>
                <w:noProof/>
              </w:rPr>
              <w:t>Findings</w:t>
            </w:r>
            <w:r>
              <w:rPr>
                <w:noProof/>
                <w:webHidden/>
              </w:rPr>
              <w:tab/>
            </w:r>
            <w:r>
              <w:rPr>
                <w:noProof/>
                <w:webHidden/>
              </w:rPr>
              <w:fldChar w:fldCharType="begin"/>
            </w:r>
            <w:r>
              <w:rPr>
                <w:noProof/>
                <w:webHidden/>
              </w:rPr>
              <w:instrText xml:space="preserve"> PAGEREF _Toc203988024 \h </w:instrText>
            </w:r>
            <w:r>
              <w:rPr>
                <w:noProof/>
                <w:webHidden/>
              </w:rPr>
            </w:r>
            <w:r>
              <w:rPr>
                <w:noProof/>
                <w:webHidden/>
              </w:rPr>
              <w:fldChar w:fldCharType="separate"/>
            </w:r>
            <w:r>
              <w:rPr>
                <w:noProof/>
                <w:webHidden/>
              </w:rPr>
              <w:t>11</w:t>
            </w:r>
            <w:r>
              <w:rPr>
                <w:noProof/>
                <w:webHidden/>
              </w:rPr>
              <w:fldChar w:fldCharType="end"/>
            </w:r>
          </w:hyperlink>
        </w:p>
        <w:p w14:paraId="1B892160" w14:textId="5B6643DA" w:rsidR="00624CB3" w:rsidRDefault="00624CB3">
          <w:pPr>
            <w:pStyle w:val="TOC1"/>
            <w:tabs>
              <w:tab w:val="right" w:leader="dot" w:pos="9016"/>
            </w:tabs>
            <w:rPr>
              <w:noProof/>
            </w:rPr>
          </w:pPr>
          <w:hyperlink w:anchor="_Toc203988025" w:history="1">
            <w:r w:rsidRPr="00792A7E">
              <w:rPr>
                <w:rStyle w:val="Hyperlink"/>
                <w:noProof/>
              </w:rPr>
              <w:t>Findings</w:t>
            </w:r>
            <w:r>
              <w:rPr>
                <w:noProof/>
                <w:webHidden/>
              </w:rPr>
              <w:tab/>
            </w:r>
            <w:r>
              <w:rPr>
                <w:noProof/>
                <w:webHidden/>
              </w:rPr>
              <w:fldChar w:fldCharType="begin"/>
            </w:r>
            <w:r>
              <w:rPr>
                <w:noProof/>
                <w:webHidden/>
              </w:rPr>
              <w:instrText xml:space="preserve"> PAGEREF _Toc203988025 \h </w:instrText>
            </w:r>
            <w:r>
              <w:rPr>
                <w:noProof/>
                <w:webHidden/>
              </w:rPr>
            </w:r>
            <w:r>
              <w:rPr>
                <w:noProof/>
                <w:webHidden/>
              </w:rPr>
              <w:fldChar w:fldCharType="separate"/>
            </w:r>
            <w:r>
              <w:rPr>
                <w:noProof/>
                <w:webHidden/>
              </w:rPr>
              <w:t>15</w:t>
            </w:r>
            <w:r>
              <w:rPr>
                <w:noProof/>
                <w:webHidden/>
              </w:rPr>
              <w:fldChar w:fldCharType="end"/>
            </w:r>
          </w:hyperlink>
        </w:p>
        <w:p w14:paraId="76D2281A" w14:textId="7B78FE0D" w:rsidR="00624CB3" w:rsidRDefault="00624CB3">
          <w:pPr>
            <w:pStyle w:val="TOC1"/>
            <w:tabs>
              <w:tab w:val="right" w:leader="dot" w:pos="9016"/>
            </w:tabs>
            <w:rPr>
              <w:noProof/>
            </w:rPr>
          </w:pPr>
          <w:hyperlink w:anchor="_Toc203988026" w:history="1">
            <w:r w:rsidRPr="00792A7E">
              <w:rPr>
                <w:rStyle w:val="Hyperlink"/>
                <w:noProof/>
              </w:rPr>
              <w:t>Discussion</w:t>
            </w:r>
            <w:r>
              <w:rPr>
                <w:noProof/>
                <w:webHidden/>
              </w:rPr>
              <w:tab/>
            </w:r>
            <w:r>
              <w:rPr>
                <w:noProof/>
                <w:webHidden/>
              </w:rPr>
              <w:fldChar w:fldCharType="begin"/>
            </w:r>
            <w:r>
              <w:rPr>
                <w:noProof/>
                <w:webHidden/>
              </w:rPr>
              <w:instrText xml:space="preserve"> PAGEREF _Toc203988026 \h </w:instrText>
            </w:r>
            <w:r>
              <w:rPr>
                <w:noProof/>
                <w:webHidden/>
              </w:rPr>
            </w:r>
            <w:r>
              <w:rPr>
                <w:noProof/>
                <w:webHidden/>
              </w:rPr>
              <w:fldChar w:fldCharType="separate"/>
            </w:r>
            <w:r>
              <w:rPr>
                <w:noProof/>
                <w:webHidden/>
              </w:rPr>
              <w:t>16</w:t>
            </w:r>
            <w:r>
              <w:rPr>
                <w:noProof/>
                <w:webHidden/>
              </w:rPr>
              <w:fldChar w:fldCharType="end"/>
            </w:r>
          </w:hyperlink>
        </w:p>
        <w:p w14:paraId="7759718A" w14:textId="6E7A3491" w:rsidR="00624CB3" w:rsidRDefault="00624CB3">
          <w:pPr>
            <w:pStyle w:val="TOC1"/>
            <w:tabs>
              <w:tab w:val="right" w:leader="dot" w:pos="9016"/>
            </w:tabs>
            <w:rPr>
              <w:noProof/>
            </w:rPr>
          </w:pPr>
          <w:hyperlink w:anchor="_Toc203988027" w:history="1">
            <w:r w:rsidRPr="00792A7E">
              <w:rPr>
                <w:rStyle w:val="Hyperlink"/>
                <w:noProof/>
              </w:rPr>
              <w:t>Conclusion</w:t>
            </w:r>
            <w:r>
              <w:rPr>
                <w:noProof/>
                <w:webHidden/>
              </w:rPr>
              <w:tab/>
            </w:r>
            <w:r>
              <w:rPr>
                <w:noProof/>
                <w:webHidden/>
              </w:rPr>
              <w:fldChar w:fldCharType="begin"/>
            </w:r>
            <w:r>
              <w:rPr>
                <w:noProof/>
                <w:webHidden/>
              </w:rPr>
              <w:instrText xml:space="preserve"> PAGEREF _Toc203988027 \h </w:instrText>
            </w:r>
            <w:r>
              <w:rPr>
                <w:noProof/>
                <w:webHidden/>
              </w:rPr>
            </w:r>
            <w:r>
              <w:rPr>
                <w:noProof/>
                <w:webHidden/>
              </w:rPr>
              <w:fldChar w:fldCharType="separate"/>
            </w:r>
            <w:r>
              <w:rPr>
                <w:noProof/>
                <w:webHidden/>
              </w:rPr>
              <w:t>17</w:t>
            </w:r>
            <w:r>
              <w:rPr>
                <w:noProof/>
                <w:webHidden/>
              </w:rPr>
              <w:fldChar w:fldCharType="end"/>
            </w:r>
          </w:hyperlink>
        </w:p>
        <w:p w14:paraId="3D65C454" w14:textId="5F5A7F85" w:rsidR="00624CB3" w:rsidRDefault="00624CB3">
          <w:pPr>
            <w:pStyle w:val="TOC1"/>
            <w:tabs>
              <w:tab w:val="right" w:leader="dot" w:pos="9016"/>
            </w:tabs>
            <w:rPr>
              <w:noProof/>
            </w:rPr>
          </w:pPr>
          <w:hyperlink w:anchor="_Toc203988028" w:history="1">
            <w:r w:rsidRPr="00792A7E">
              <w:rPr>
                <w:rStyle w:val="Hyperlink"/>
                <w:noProof/>
              </w:rPr>
              <w:t>References</w:t>
            </w:r>
            <w:r>
              <w:rPr>
                <w:noProof/>
                <w:webHidden/>
              </w:rPr>
              <w:tab/>
            </w:r>
            <w:r>
              <w:rPr>
                <w:noProof/>
                <w:webHidden/>
              </w:rPr>
              <w:fldChar w:fldCharType="begin"/>
            </w:r>
            <w:r>
              <w:rPr>
                <w:noProof/>
                <w:webHidden/>
              </w:rPr>
              <w:instrText xml:space="preserve"> PAGEREF _Toc203988028 \h </w:instrText>
            </w:r>
            <w:r>
              <w:rPr>
                <w:noProof/>
                <w:webHidden/>
              </w:rPr>
            </w:r>
            <w:r>
              <w:rPr>
                <w:noProof/>
                <w:webHidden/>
              </w:rPr>
              <w:fldChar w:fldCharType="separate"/>
            </w:r>
            <w:r>
              <w:rPr>
                <w:noProof/>
                <w:webHidden/>
              </w:rPr>
              <w:t>19</w:t>
            </w:r>
            <w:r>
              <w:rPr>
                <w:noProof/>
                <w:webHidden/>
              </w:rPr>
              <w:fldChar w:fldCharType="end"/>
            </w:r>
          </w:hyperlink>
        </w:p>
        <w:p w14:paraId="2373276A" w14:textId="2DDAFDF7" w:rsidR="00624CB3" w:rsidRDefault="00624CB3">
          <w:r>
            <w:rPr>
              <w:b/>
              <w:bCs/>
              <w:noProof/>
            </w:rPr>
            <w:fldChar w:fldCharType="end"/>
          </w:r>
        </w:p>
      </w:sdtContent>
    </w:sdt>
    <w:p w14:paraId="51EB86DA" w14:textId="77777777" w:rsidR="00624CB3" w:rsidRDefault="00624CB3">
      <w:pPr>
        <w:spacing w:line="259" w:lineRule="auto"/>
        <w:jc w:val="left"/>
        <w:rPr>
          <w:rFonts w:eastAsiaTheme="majorEastAsia" w:cstheme="majorBidi"/>
          <w:b/>
          <w:color w:val="000000" w:themeColor="text1"/>
          <w:szCs w:val="40"/>
        </w:rPr>
      </w:pPr>
      <w:r>
        <w:br w:type="page"/>
      </w:r>
    </w:p>
    <w:p w14:paraId="000262EB" w14:textId="46BCBEAB" w:rsidR="005365EC" w:rsidRPr="005365EC" w:rsidRDefault="005365EC" w:rsidP="009A4A0C">
      <w:pPr>
        <w:pStyle w:val="Heading1"/>
      </w:pPr>
      <w:bookmarkStart w:id="0" w:name="_Toc203988018"/>
      <w:r w:rsidRPr="005365EC">
        <w:t>Introduction</w:t>
      </w:r>
      <w:bookmarkEnd w:id="0"/>
    </w:p>
    <w:p w14:paraId="76997FE6" w14:textId="77777777" w:rsidR="005365EC" w:rsidRPr="005365EC" w:rsidRDefault="005365EC" w:rsidP="009A4A0C">
      <w:pPr>
        <w:pStyle w:val="Heading2"/>
      </w:pPr>
      <w:bookmarkStart w:id="1" w:name="_Toc203988019"/>
      <w:r w:rsidRPr="005365EC">
        <w:t>1.1 Background</w:t>
      </w:r>
      <w:bookmarkEnd w:id="1"/>
    </w:p>
    <w:p w14:paraId="79CC930A" w14:textId="01546253" w:rsidR="005365EC" w:rsidRPr="005365EC" w:rsidRDefault="00B06DCD" w:rsidP="009A4A0C">
      <w:pPr>
        <w:ind w:firstLine="720"/>
      </w:pPr>
      <w:r w:rsidRPr="00B06DCD">
        <w:t xml:space="preserve">The emergence of COVID-19 caused the unprecedented disruption of the global tourism industry, which contributed to more than 10 percent of global GDP </w:t>
      </w:r>
      <w:r w:rsidR="000C3F87">
        <w:t>before</w:t>
      </w:r>
      <w:r w:rsidRPr="00B06DCD">
        <w:t xml:space="preserve"> the pandemic. All travel plans came to a screeching stop with governments shutting down travel and imposing strict lockdowns to control the virus. The crisis revealed some of the most serious gaps in cross-border coordination and risk communication as well as public health preparedness. Countries that depended on tourism</w:t>
      </w:r>
      <w:r w:rsidR="000C3F87">
        <w:t>,</w:t>
      </w:r>
      <w:r w:rsidRPr="00B06DCD">
        <w:t xml:space="preserve"> like Italy and Greece</w:t>
      </w:r>
      <w:r w:rsidR="000C3F87">
        <w:t>,</w:t>
      </w:r>
      <w:r w:rsidRPr="00B06DCD">
        <w:t xml:space="preserve"> were hit the hardest. Italy was among the first </w:t>
      </w:r>
      <w:r w:rsidR="000C3F87" w:rsidRPr="00B06DCD">
        <w:t>epicentres</w:t>
      </w:r>
      <w:r w:rsidRPr="00B06DCD">
        <w:t xml:space="preserve"> of the pandemic in Europe, and lost millions of inbound </w:t>
      </w:r>
      <w:r w:rsidR="000C3F87" w:rsidRPr="00B06DCD">
        <w:t>travels</w:t>
      </w:r>
      <w:r w:rsidRPr="00B06DCD">
        <w:t xml:space="preserve"> as well as domestic tourism. Greece, whose economy relies on tourism to provide almost a quarter of its GDP, suffered the same blow as its mobility was limited and health safety was a consideration.</w:t>
      </w:r>
    </w:p>
    <w:p w14:paraId="3831D168" w14:textId="78D9AE76" w:rsidR="005365EC" w:rsidRPr="005365EC" w:rsidRDefault="00B06DCD" w:rsidP="009A4A0C">
      <w:pPr>
        <w:ind w:firstLine="720"/>
      </w:pPr>
      <w:r w:rsidRPr="00B06DCD">
        <w:t>The economic impact went beyond lost income, and touched employment, small companies, and local economies that depended so much on the tourism industry. The trust in the safety of travel dropped significantly, and an evaluation of how tourism can be made more resilient in the face of such health crises in the future took place. To this end, the European Union has introduced the EU tourism recovery fund, which calls on member states to work together to find regional solutions that combine the protection of the population through public health safeguards, digitalization, and sustainable principles into tourism policy.</w:t>
      </w:r>
    </w:p>
    <w:p w14:paraId="6A3B5679" w14:textId="77777777" w:rsidR="005365EC" w:rsidRPr="005365EC" w:rsidRDefault="005365EC" w:rsidP="009A4A0C">
      <w:pPr>
        <w:pStyle w:val="Heading2"/>
      </w:pPr>
      <w:bookmarkStart w:id="2" w:name="_Toc203988020"/>
      <w:r w:rsidRPr="005365EC">
        <w:t>1.2 Purpose</w:t>
      </w:r>
      <w:bookmarkEnd w:id="2"/>
    </w:p>
    <w:p w14:paraId="01715C0B" w14:textId="66AFDAD5" w:rsidR="005365EC" w:rsidRPr="005365EC" w:rsidRDefault="00B06DCD" w:rsidP="009A4A0C">
      <w:pPr>
        <w:ind w:firstLine="720"/>
      </w:pPr>
      <w:r w:rsidRPr="00B06DCD">
        <w:t xml:space="preserve">This proposal will develop a Cross-Border Health-Safe Tourism Corridor between Italy and Greece which will be the example of pandemic-resilient tourism in the Mediterranean region. The corridor is planned to facilitate safe and smooth travel between the two countries with integrated health screening systems and contactless technology as well as wellness tourism experiences. The initiative integrates strategic public health infrastructure, smart border controls and digital communication tools to increase the perceived and actual </w:t>
      </w:r>
      <w:proofErr w:type="spellStart"/>
      <w:r w:rsidRPr="00B06DCD">
        <w:t>traveler</w:t>
      </w:r>
      <w:proofErr w:type="spellEnd"/>
      <w:r w:rsidRPr="00B06DCD">
        <w:t xml:space="preserve"> safety. In addition, the proposal is developed in technically accurate and convincing Business English, appropriate to communicate at high level of policy in </w:t>
      </w:r>
      <w:r w:rsidR="000C3F87">
        <w:t xml:space="preserve">a </w:t>
      </w:r>
      <w:r w:rsidRPr="00B06DCD">
        <w:t>complex and cross-cultural EU environment.</w:t>
      </w:r>
    </w:p>
    <w:p w14:paraId="74E4BDAD" w14:textId="77777777" w:rsidR="005365EC" w:rsidRPr="005365EC" w:rsidRDefault="005365EC" w:rsidP="009A4A0C">
      <w:pPr>
        <w:pStyle w:val="Heading2"/>
      </w:pPr>
      <w:bookmarkStart w:id="3" w:name="_Toc203988021"/>
      <w:r w:rsidRPr="005365EC">
        <w:t>1.3 Objectives</w:t>
      </w:r>
      <w:bookmarkEnd w:id="3"/>
    </w:p>
    <w:p w14:paraId="69A69F5D" w14:textId="513125AE" w:rsidR="00B06DCD" w:rsidRPr="00B06DCD" w:rsidRDefault="00B06DCD" w:rsidP="009A4A0C">
      <w:pPr>
        <w:pStyle w:val="ListParagraph"/>
        <w:numPr>
          <w:ilvl w:val="0"/>
          <w:numId w:val="6"/>
        </w:numPr>
      </w:pPr>
      <w:r>
        <w:t>To s</w:t>
      </w:r>
      <w:r w:rsidRPr="00B06DCD">
        <w:t>uggest a digital innovation, real-time, and bilateral policy-coordinated health-secure cross-border tourism model.</w:t>
      </w:r>
    </w:p>
    <w:p w14:paraId="383CB024" w14:textId="019DADFB" w:rsidR="00B06DCD" w:rsidRPr="00B06DCD" w:rsidRDefault="00B06DCD" w:rsidP="009A4A0C">
      <w:pPr>
        <w:pStyle w:val="ListParagraph"/>
        <w:numPr>
          <w:ilvl w:val="0"/>
          <w:numId w:val="6"/>
        </w:numPr>
      </w:pPr>
      <w:r>
        <w:t>To p</w:t>
      </w:r>
      <w:r w:rsidRPr="00B06DCD">
        <w:t>resent an example of a replicable wellness and contactless travel model that can utilize the local advantages of wellness tourism and health infrastructure.</w:t>
      </w:r>
    </w:p>
    <w:p w14:paraId="0B3E2A80" w14:textId="19A19E8C" w:rsidR="00B06DCD" w:rsidRPr="00B06DCD" w:rsidRDefault="00B06DCD" w:rsidP="009A4A0C">
      <w:pPr>
        <w:pStyle w:val="ListParagraph"/>
        <w:numPr>
          <w:ilvl w:val="0"/>
          <w:numId w:val="6"/>
        </w:numPr>
      </w:pPr>
      <w:r>
        <w:t>To b</w:t>
      </w:r>
      <w:r w:rsidRPr="00B06DCD">
        <w:t>e culturally and linguistically competent in business communication through the incorporation of multilingual messaging and cultural suitability of all health-related material and engagement processes with the stakeholders.</w:t>
      </w:r>
    </w:p>
    <w:p w14:paraId="03316A46" w14:textId="66862CFD" w:rsidR="005365EC" w:rsidRPr="00B06DCD" w:rsidRDefault="00B06DCD" w:rsidP="009A4A0C">
      <w:pPr>
        <w:pStyle w:val="ListParagraph"/>
        <w:numPr>
          <w:ilvl w:val="0"/>
          <w:numId w:val="6"/>
        </w:numPr>
      </w:pPr>
      <w:r>
        <w:t>To a</w:t>
      </w:r>
      <w:r w:rsidRPr="00B06DCD">
        <w:t>ttract secure EU funding to health tourism recovery</w:t>
      </w:r>
      <w:r w:rsidR="000C3F87">
        <w:t>,</w:t>
      </w:r>
      <w:r w:rsidRPr="00B06DCD">
        <w:t xml:space="preserve"> taking a compelling and evidence-based case in line with EU strategic objectives of resilient, sustainable</w:t>
      </w:r>
      <w:r w:rsidR="000C3F87">
        <w:t>,</w:t>
      </w:r>
      <w:r w:rsidRPr="00B06DCD">
        <w:t xml:space="preserve"> and inclusive tourism growth</w:t>
      </w:r>
      <w:r w:rsidR="005365EC" w:rsidRPr="00B06DCD">
        <w:t>.</w:t>
      </w:r>
    </w:p>
    <w:p w14:paraId="1A53BB5B" w14:textId="77777777" w:rsidR="005365EC" w:rsidRPr="005365EC" w:rsidRDefault="005365EC" w:rsidP="005365EC">
      <w:pPr>
        <w:pStyle w:val="Heading1"/>
      </w:pPr>
      <w:bookmarkStart w:id="4" w:name="_Toc203988022"/>
      <w:r w:rsidRPr="005365EC">
        <w:t>Literature Review</w:t>
      </w:r>
      <w:bookmarkEnd w:id="4"/>
    </w:p>
    <w:p w14:paraId="41E1247A" w14:textId="77777777" w:rsidR="005365EC" w:rsidRPr="005365EC" w:rsidRDefault="005365EC" w:rsidP="009A4A0C">
      <w:pPr>
        <w:jc w:val="center"/>
        <w:rPr>
          <w:b/>
          <w:bCs/>
        </w:rPr>
      </w:pPr>
      <w:r w:rsidRPr="005365EC">
        <w:rPr>
          <w:b/>
          <w:bCs/>
        </w:rPr>
        <w:t>1. Introduction</w:t>
      </w:r>
    </w:p>
    <w:p w14:paraId="605D64DC" w14:textId="7533516F" w:rsidR="005365EC" w:rsidRPr="005365EC" w:rsidRDefault="00196FA2" w:rsidP="009A4A0C">
      <w:pPr>
        <w:ind w:firstLine="720"/>
      </w:pPr>
      <w:r>
        <w:t xml:space="preserve">According to </w:t>
      </w:r>
      <w:r w:rsidRPr="00196FA2">
        <w:t>Hassan</w:t>
      </w:r>
      <w:r>
        <w:t xml:space="preserve"> et al., 2019, s</w:t>
      </w:r>
      <w:r w:rsidR="00B06DCD" w:rsidRPr="00B06DCD">
        <w:t>ound business communication is key in strategic, high-stakes</w:t>
      </w:r>
      <w:r w:rsidR="000C3F87">
        <w:t>,</w:t>
      </w:r>
      <w:r w:rsidR="00B06DCD" w:rsidRPr="00B06DCD">
        <w:t xml:space="preserve"> and cross-cultural tourism </w:t>
      </w:r>
      <w:r w:rsidR="000C3F87">
        <w:t>projects</w:t>
      </w:r>
      <w:r w:rsidR="00B06DCD" w:rsidRPr="00B06DCD">
        <w:t>. The COVID-19 pandemic has increased the requirements of convincing, culturally aware</w:t>
      </w:r>
      <w:r w:rsidR="000C3F87">
        <w:t>,</w:t>
      </w:r>
      <w:r w:rsidR="00B06DCD" w:rsidRPr="00B06DCD">
        <w:t xml:space="preserve"> and technically accurate communication, especially where funding or policy support is required by the international stakeholders. This literature review is a critique of the main theoretical and practical viewpoints of Business English and communication systems in the context of international tourism, crisis communication, and multilingual settings. The focus is on persuasive strategies, intercultural competence, health literacy</w:t>
      </w:r>
      <w:r w:rsidR="000C3F87">
        <w:t>,</w:t>
      </w:r>
      <w:r w:rsidR="00B06DCD" w:rsidRPr="00B06DCD">
        <w:t xml:space="preserve"> and digital communication within the framework of post-pandemic recovery.</w:t>
      </w:r>
    </w:p>
    <w:p w14:paraId="79F339D7" w14:textId="77777777" w:rsidR="005365EC" w:rsidRPr="005365EC" w:rsidRDefault="005365EC" w:rsidP="008F4EF4">
      <w:pPr>
        <w:jc w:val="center"/>
        <w:rPr>
          <w:b/>
          <w:bCs/>
        </w:rPr>
      </w:pPr>
      <w:r w:rsidRPr="005365EC">
        <w:rPr>
          <w:b/>
          <w:bCs/>
        </w:rPr>
        <w:t>2. Business English in International Tourism Communication</w:t>
      </w:r>
    </w:p>
    <w:p w14:paraId="02FED8DB" w14:textId="77777777" w:rsidR="005365EC" w:rsidRPr="005365EC" w:rsidRDefault="005365EC" w:rsidP="008F4EF4">
      <w:pPr>
        <w:jc w:val="center"/>
        <w:rPr>
          <w:b/>
          <w:bCs/>
        </w:rPr>
      </w:pPr>
      <w:r w:rsidRPr="005365EC">
        <w:rPr>
          <w:b/>
          <w:bCs/>
        </w:rPr>
        <w:t>2.1 Defining Business English in Global Contexts</w:t>
      </w:r>
    </w:p>
    <w:p w14:paraId="05D204D5" w14:textId="70141A9D" w:rsidR="005365EC" w:rsidRPr="005365EC" w:rsidRDefault="00C67B23" w:rsidP="008F4EF4">
      <w:pPr>
        <w:ind w:firstLine="720"/>
      </w:pPr>
      <w:r>
        <w:t xml:space="preserve">As per the opinion of </w:t>
      </w:r>
      <w:r w:rsidRPr="00C67B23">
        <w:t>Sing,</w:t>
      </w:r>
      <w:r>
        <w:t xml:space="preserve"> 2017, b</w:t>
      </w:r>
      <w:r w:rsidR="00B06DCD" w:rsidRPr="00B06DCD">
        <w:t xml:space="preserve">usiness English is </w:t>
      </w:r>
      <w:r w:rsidR="000C3F87">
        <w:t>a</w:t>
      </w:r>
      <w:r w:rsidR="00B06DCD" w:rsidRPr="00B06DCD">
        <w:t xml:space="preserve"> technical type of English, which is applied in business, organizations, and transactions. </w:t>
      </w:r>
      <w:r w:rsidR="00B06DCD">
        <w:t>The author</w:t>
      </w:r>
      <w:r w:rsidR="00B06DCD" w:rsidRPr="00B06DCD">
        <w:t xml:space="preserve"> observes that Business English is a language of trade as well as </w:t>
      </w:r>
      <w:r w:rsidR="000C3F87">
        <w:t xml:space="preserve">a </w:t>
      </w:r>
      <w:r w:rsidR="00B06DCD" w:rsidRPr="00B06DCD">
        <w:t>lingua franca in multinational cooperation. Business English should be effectively used in tourism, where the stakeholders work in a variety of linguistic and cultural environments. The communicative aims (informative, persuasive or relational) are the determinants of the selection of lexical, grammatical</w:t>
      </w:r>
      <w:r w:rsidR="000C3F87">
        <w:t>,</w:t>
      </w:r>
      <w:r w:rsidR="00B06DCD" w:rsidRPr="00B06DCD">
        <w:t xml:space="preserve"> and rhetorical constructions.</w:t>
      </w:r>
    </w:p>
    <w:p w14:paraId="6510067E" w14:textId="77777777" w:rsidR="005365EC" w:rsidRPr="005365EC" w:rsidRDefault="005365EC" w:rsidP="008F4EF4">
      <w:pPr>
        <w:jc w:val="center"/>
        <w:rPr>
          <w:b/>
          <w:bCs/>
        </w:rPr>
      </w:pPr>
      <w:r w:rsidRPr="005365EC">
        <w:rPr>
          <w:b/>
          <w:bCs/>
        </w:rPr>
        <w:t>2.2 Language as a Strategic Resource in Tourism Management</w:t>
      </w:r>
    </w:p>
    <w:p w14:paraId="55D3E626" w14:textId="150BEAC7" w:rsidR="005365EC" w:rsidRPr="005365EC" w:rsidRDefault="00C67B23" w:rsidP="008F4EF4">
      <w:pPr>
        <w:ind w:firstLine="720"/>
      </w:pPr>
      <w:r>
        <w:t xml:space="preserve">According to </w:t>
      </w:r>
      <w:proofErr w:type="spellStart"/>
      <w:r w:rsidRPr="00C67B23">
        <w:t>Anggayana</w:t>
      </w:r>
      <w:proofErr w:type="spellEnd"/>
      <w:r>
        <w:t>, 2023, t</w:t>
      </w:r>
      <w:r w:rsidR="00B06DCD" w:rsidRPr="00B06DCD">
        <w:t>ourism communication is not merely about linguistic precision, but rather about strategic persuasion and cultural sensitivity.</w:t>
      </w:r>
      <w:r w:rsidR="00B06DCD">
        <w:t xml:space="preserve"> </w:t>
      </w:r>
      <w:r w:rsidR="00B06DCD" w:rsidRPr="00B06DCD">
        <w:t>the use of Business English in tourism is firmly connected with the impression of credibility, reliability, and emotional security. It is especially applicable to proposals going on in the pandemic era, which are all about restoring the confidence of travellers. Empathy, safety, and responsibility are linguistic components that should be incorporated into the communication, particularly in situations where health-related issues have to be discussed.</w:t>
      </w:r>
    </w:p>
    <w:p w14:paraId="3D311BAB" w14:textId="77777777" w:rsidR="005365EC" w:rsidRPr="005365EC" w:rsidRDefault="005365EC" w:rsidP="008F4EF4">
      <w:pPr>
        <w:jc w:val="center"/>
        <w:rPr>
          <w:b/>
          <w:bCs/>
        </w:rPr>
      </w:pPr>
      <w:r w:rsidRPr="005365EC">
        <w:rPr>
          <w:b/>
          <w:bCs/>
        </w:rPr>
        <w:t>3. Communication Frameworks for Cross-Cultural Engagement</w:t>
      </w:r>
    </w:p>
    <w:p w14:paraId="1FFF3D20" w14:textId="77777777" w:rsidR="005365EC" w:rsidRPr="005365EC" w:rsidRDefault="005365EC" w:rsidP="008F4EF4">
      <w:pPr>
        <w:jc w:val="center"/>
        <w:rPr>
          <w:b/>
          <w:bCs/>
        </w:rPr>
      </w:pPr>
      <w:r w:rsidRPr="005365EC">
        <w:rPr>
          <w:b/>
          <w:bCs/>
        </w:rPr>
        <w:t>3.1 Halliday’s Systemic Functional Linguistics (SFL)</w:t>
      </w:r>
    </w:p>
    <w:p w14:paraId="1DD8AB7A" w14:textId="273C04B1" w:rsidR="005365EC" w:rsidRPr="005365EC" w:rsidRDefault="00FC28A3" w:rsidP="008F4EF4">
      <w:pPr>
        <w:ind w:firstLine="720"/>
      </w:pPr>
      <w:r>
        <w:t xml:space="preserve">According to </w:t>
      </w:r>
      <w:proofErr w:type="spellStart"/>
      <w:r w:rsidRPr="00FC28A3">
        <w:t>Almurashi</w:t>
      </w:r>
      <w:proofErr w:type="spellEnd"/>
      <w:r>
        <w:t>, 2016, t</w:t>
      </w:r>
      <w:r w:rsidR="00B06DCD">
        <w:t>he article</w:t>
      </w:r>
      <w:r w:rsidR="00B06DCD" w:rsidRPr="00B06DCD">
        <w:t xml:space="preserve"> proposes the Systemic Functional Linguistics (SFL) as a helpful tool to analyse the context-bound functions of language. The three </w:t>
      </w:r>
      <w:r w:rsidRPr="00B06DCD">
        <w:t>meta functions</w:t>
      </w:r>
      <w:r w:rsidR="00B06DCD" w:rsidRPr="00B06DCD">
        <w:t xml:space="preserve"> that SFL focuses on are ideational (representing experience), interpersonal (managing relationships)</w:t>
      </w:r>
      <w:r w:rsidR="00E453EB">
        <w:t>,</w:t>
      </w:r>
      <w:r w:rsidR="00B06DCD" w:rsidRPr="00B06DCD">
        <w:t xml:space="preserve"> and textual (organizing discourse). The </w:t>
      </w:r>
      <w:r w:rsidRPr="00B06DCD">
        <w:t>meta functions</w:t>
      </w:r>
      <w:r w:rsidR="00B06DCD" w:rsidRPr="00B06DCD">
        <w:t xml:space="preserve"> are used to inform the way health measures (ideational), cooperation (interpersonal), and policy structures (textual) are communicated in a proposal that targets stakeholders in the EU. Passive constructions can be used as an example; they can be used in health policy documents to divert attention away from the actor to the process.</w:t>
      </w:r>
    </w:p>
    <w:p w14:paraId="1C37194D" w14:textId="77777777" w:rsidR="005365EC" w:rsidRPr="005365EC" w:rsidRDefault="005365EC" w:rsidP="008F4EF4">
      <w:pPr>
        <w:jc w:val="center"/>
        <w:rPr>
          <w:b/>
          <w:bCs/>
        </w:rPr>
      </w:pPr>
      <w:r w:rsidRPr="005365EC">
        <w:rPr>
          <w:b/>
          <w:bCs/>
        </w:rPr>
        <w:t>3.2 Hofstede’s Cultural Dimensions Theory</w:t>
      </w:r>
    </w:p>
    <w:p w14:paraId="0894ED3C" w14:textId="18BF5FF1" w:rsidR="005365EC" w:rsidRPr="005365EC" w:rsidRDefault="0063427F" w:rsidP="008F4EF4">
      <w:pPr>
        <w:ind w:firstLine="720"/>
      </w:pPr>
      <w:r>
        <w:t xml:space="preserve">According to </w:t>
      </w:r>
      <w:r w:rsidRPr="0063427F">
        <w:t>Jan</w:t>
      </w:r>
      <w:r>
        <w:t xml:space="preserve"> et al., 2024, t</w:t>
      </w:r>
      <w:r w:rsidR="00B06DCD" w:rsidRPr="00B06DCD">
        <w:t>he model of cultural dimensions continues to form the basis of the cross-cultural communication analysis. Such dimensions as uncertainty avoidance, individualism vs. collectivism, and power distance are also important because they influence the way health-related proposals are to be formulated to appeal to Greek and Italian stakeholders. Greece and Italy have a high level of uncertainty avoidance</w:t>
      </w:r>
      <w:r w:rsidR="00E453EB">
        <w:t>;</w:t>
      </w:r>
      <w:r w:rsidR="00B06DCD" w:rsidRPr="00B06DCD">
        <w:t xml:space="preserve"> </w:t>
      </w:r>
      <w:proofErr w:type="gramStart"/>
      <w:r w:rsidR="00B06DCD" w:rsidRPr="00B06DCD">
        <w:t>thus</w:t>
      </w:r>
      <w:proofErr w:type="gramEnd"/>
      <w:r w:rsidR="00B06DCD" w:rsidRPr="00B06DCD">
        <w:t xml:space="preserve"> they need messages that focus on control, structure</w:t>
      </w:r>
      <w:r w:rsidR="00E453EB">
        <w:t>,</w:t>
      </w:r>
      <w:r w:rsidR="00B06DCD" w:rsidRPr="00B06DCD">
        <w:t xml:space="preserve"> and risk reduction. The norms of high-context communication common in Mediterranean cultures imply that it is better to be indirect and formal, which means that this fact affects the way Business English is used.</w:t>
      </w:r>
    </w:p>
    <w:p w14:paraId="545DDD87" w14:textId="77777777" w:rsidR="005365EC" w:rsidRPr="005365EC" w:rsidRDefault="005365EC" w:rsidP="008F4EF4">
      <w:pPr>
        <w:jc w:val="center"/>
        <w:rPr>
          <w:b/>
          <w:bCs/>
        </w:rPr>
      </w:pPr>
      <w:r w:rsidRPr="005365EC">
        <w:rPr>
          <w:b/>
          <w:bCs/>
        </w:rPr>
        <w:t>4. Persuasion in Business English: Theoretical Approaches</w:t>
      </w:r>
    </w:p>
    <w:p w14:paraId="30086FDE" w14:textId="77777777" w:rsidR="005365EC" w:rsidRPr="005365EC" w:rsidRDefault="005365EC" w:rsidP="008F4EF4">
      <w:pPr>
        <w:jc w:val="center"/>
        <w:rPr>
          <w:b/>
          <w:bCs/>
        </w:rPr>
      </w:pPr>
      <w:r w:rsidRPr="005365EC">
        <w:rPr>
          <w:b/>
          <w:bCs/>
        </w:rPr>
        <w:t>4.1 Aristotle’s Modes of Persuasion: Ethos, Pathos, Logos</w:t>
      </w:r>
    </w:p>
    <w:p w14:paraId="4EB859BC" w14:textId="3A42DFDE" w:rsidR="005365EC" w:rsidRPr="005365EC" w:rsidRDefault="0063427F" w:rsidP="008F4EF4">
      <w:pPr>
        <w:ind w:firstLine="720"/>
      </w:pPr>
      <w:r>
        <w:t xml:space="preserve">According to </w:t>
      </w:r>
      <w:proofErr w:type="spellStart"/>
      <w:r w:rsidRPr="0063427F">
        <w:t>Kholid</w:t>
      </w:r>
      <w:proofErr w:type="spellEnd"/>
      <w:r>
        <w:t xml:space="preserve"> et al., 2024, </w:t>
      </w:r>
      <w:proofErr w:type="spellStart"/>
      <w:r>
        <w:t>a</w:t>
      </w:r>
      <w:r w:rsidR="00B06DCD" w:rsidRPr="00B06DCD">
        <w:t>ristotle</w:t>
      </w:r>
      <w:proofErr w:type="spellEnd"/>
      <w:r w:rsidR="00B06DCD" w:rsidRPr="00B06DCD">
        <w:t xml:space="preserve"> in his classical rhetorical model</w:t>
      </w:r>
      <w:r w:rsidR="00E453EB">
        <w:t>,</w:t>
      </w:r>
      <w:r w:rsidR="00B06DCD" w:rsidRPr="00B06DCD">
        <w:t xml:space="preserve"> has suggested that his model is still applicable in a current business communication. Persuasive discourse is grounded on ethos (credibility), pathos (emotion), and logos (logic). </w:t>
      </w:r>
      <w:r w:rsidR="00B06DCD">
        <w:t xml:space="preserve">This article </w:t>
      </w:r>
      <w:r w:rsidR="00B06DCD" w:rsidRPr="00B06DCD">
        <w:t xml:space="preserve">argues that it is the combination of these modes in an effective proposal in Business English. In health tourism proposals, logos is imperative to provide information about safety measures, ethos is established by aligning </w:t>
      </w:r>
      <w:r w:rsidR="00E453EB">
        <w:t>with</w:t>
      </w:r>
      <w:r w:rsidR="00B06DCD" w:rsidRPr="00B06DCD">
        <w:t xml:space="preserve"> the EU values, and pathos is triggered by the use of language that addresses emotional issues of travellers following a pandemic.</w:t>
      </w:r>
    </w:p>
    <w:p w14:paraId="11576315" w14:textId="77777777" w:rsidR="005365EC" w:rsidRPr="005365EC" w:rsidRDefault="005365EC" w:rsidP="008F4EF4">
      <w:pPr>
        <w:jc w:val="center"/>
        <w:rPr>
          <w:b/>
          <w:bCs/>
        </w:rPr>
      </w:pPr>
      <w:r w:rsidRPr="005365EC">
        <w:rPr>
          <w:b/>
          <w:bCs/>
        </w:rPr>
        <w:t>4.2 Toulmin’s Model of Argumentation</w:t>
      </w:r>
    </w:p>
    <w:p w14:paraId="48F8CAC4" w14:textId="275BACF9" w:rsidR="005365EC" w:rsidRPr="005365EC" w:rsidRDefault="00C2131A" w:rsidP="008F4EF4">
      <w:pPr>
        <w:ind w:firstLine="720"/>
      </w:pPr>
      <w:r>
        <w:t xml:space="preserve">As per the opinion of </w:t>
      </w:r>
      <w:r w:rsidRPr="00C2131A">
        <w:t xml:space="preserve">Osman &amp; </w:t>
      </w:r>
      <w:proofErr w:type="spellStart"/>
      <w:r w:rsidRPr="00C2131A">
        <w:t>Januin</w:t>
      </w:r>
      <w:proofErr w:type="spellEnd"/>
      <w:r>
        <w:t>, 2021, i</w:t>
      </w:r>
      <w:r w:rsidR="00B06DCD">
        <w:t>n this</w:t>
      </w:r>
      <w:r w:rsidR="00B06DCD" w:rsidRPr="00B06DCD">
        <w:t xml:space="preserve"> model, there are six elements of an argument</w:t>
      </w:r>
      <w:r w:rsidR="00E453EB">
        <w:t>,</w:t>
      </w:r>
      <w:r w:rsidR="00B06DCD" w:rsidRPr="00B06DCD">
        <w:t xml:space="preserve"> namely</w:t>
      </w:r>
      <w:r>
        <w:t>:</w:t>
      </w:r>
      <w:r w:rsidR="00B06DCD" w:rsidRPr="00B06DCD">
        <w:t xml:space="preserve"> claim, data, warrant, backing, qualifier</w:t>
      </w:r>
      <w:r w:rsidR="00E453EB">
        <w:t>,</w:t>
      </w:r>
      <w:r w:rsidR="00B06DCD" w:rsidRPr="00B06DCD">
        <w:t xml:space="preserve"> and rebuttal. This model is used to facilitate systematic argumentation in persuasive texts like EU proposal. As an example, an argument concerning the advantages of contactless screening systems should be justified with empirical evidence and rational warrants, whereas the opposing arguments (e.g., privacy) should be considered. Such </w:t>
      </w:r>
      <w:r>
        <w:t xml:space="preserve">an </w:t>
      </w:r>
      <w:r w:rsidR="00B06DCD" w:rsidRPr="00B06DCD">
        <w:t>arrangement enhances the credibility of the proposal to policy analysts and health regulators.</w:t>
      </w:r>
    </w:p>
    <w:p w14:paraId="0B8790C8" w14:textId="77777777" w:rsidR="005365EC" w:rsidRPr="005365EC" w:rsidRDefault="005365EC" w:rsidP="00FE3DFF">
      <w:pPr>
        <w:jc w:val="center"/>
        <w:rPr>
          <w:b/>
          <w:bCs/>
        </w:rPr>
      </w:pPr>
      <w:r w:rsidRPr="005365EC">
        <w:rPr>
          <w:b/>
          <w:bCs/>
        </w:rPr>
        <w:t>5. Health Literacy and Multilingual Communication</w:t>
      </w:r>
    </w:p>
    <w:p w14:paraId="6AC9F862" w14:textId="77777777" w:rsidR="005365EC" w:rsidRPr="005365EC" w:rsidRDefault="005365EC" w:rsidP="00FE3DFF">
      <w:pPr>
        <w:jc w:val="center"/>
        <w:rPr>
          <w:b/>
          <w:bCs/>
        </w:rPr>
      </w:pPr>
      <w:r w:rsidRPr="005365EC">
        <w:rPr>
          <w:b/>
          <w:bCs/>
        </w:rPr>
        <w:t>5.1 Health Literacy in Tourism Communication</w:t>
      </w:r>
    </w:p>
    <w:p w14:paraId="614ABC7D" w14:textId="7E0C7F98" w:rsidR="005365EC" w:rsidRPr="005365EC" w:rsidRDefault="0084234D" w:rsidP="00FE3DFF">
      <w:pPr>
        <w:ind w:firstLine="720"/>
      </w:pPr>
      <w:r>
        <w:t>According</w:t>
      </w:r>
      <w:r w:rsidR="00A45A30">
        <w:t xml:space="preserve"> to </w:t>
      </w:r>
      <w:r w:rsidR="00A45A30" w:rsidRPr="00A45A30">
        <w:t>Putri</w:t>
      </w:r>
      <w:r w:rsidR="00A45A30">
        <w:t xml:space="preserve"> et al., 2022, th</w:t>
      </w:r>
      <w:r w:rsidR="00B06DCD">
        <w:t>e</w:t>
      </w:r>
      <w:r w:rsidR="00B06DCD" w:rsidRPr="00B06DCD">
        <w:t xml:space="preserve"> health literacy is the level at which individuals </w:t>
      </w:r>
      <w:r w:rsidR="00E453EB">
        <w:t>can</w:t>
      </w:r>
      <w:r w:rsidR="00B06DCD" w:rsidRPr="00B06DCD">
        <w:t xml:space="preserve"> acquire, process</w:t>
      </w:r>
      <w:r w:rsidR="00E453EB">
        <w:t>,</w:t>
      </w:r>
      <w:r w:rsidR="00B06DCD" w:rsidRPr="00B06DCD">
        <w:t xml:space="preserve"> and comprehend basic information on health. High health literacy is necessary in the case of cross-border tourism proposals, particularly those touching on pandemic protocols. Business English should be simplified, however, without loss of precision. The technical language (e.g., antigen screening, vaccine certification) should be clarified or put in context where non-experts are concerned. In addition to that, language should be inclusive and not alarmist, especially when speaking about risks.</w:t>
      </w:r>
    </w:p>
    <w:p w14:paraId="0B2DEF0A" w14:textId="77777777" w:rsidR="005365EC" w:rsidRPr="005365EC" w:rsidRDefault="005365EC" w:rsidP="00FE3DFF">
      <w:pPr>
        <w:jc w:val="center"/>
        <w:rPr>
          <w:b/>
          <w:bCs/>
        </w:rPr>
      </w:pPr>
      <w:r w:rsidRPr="005365EC">
        <w:rPr>
          <w:b/>
          <w:bCs/>
        </w:rPr>
        <w:t>5.2 Multilingual Considerations and Translation Equivalence</w:t>
      </w:r>
    </w:p>
    <w:p w14:paraId="0D82C402" w14:textId="0D6011F2" w:rsidR="005365EC" w:rsidRPr="005365EC" w:rsidRDefault="0084234D" w:rsidP="00FE3DFF">
      <w:pPr>
        <w:ind w:firstLine="720"/>
      </w:pPr>
      <w:r>
        <w:t xml:space="preserve">According to </w:t>
      </w:r>
      <w:r w:rsidRPr="0084234D">
        <w:t>Kardos,</w:t>
      </w:r>
      <w:r>
        <w:t xml:space="preserve"> 2024, t</w:t>
      </w:r>
      <w:r w:rsidR="00B06DCD" w:rsidRPr="00B06DCD">
        <w:t xml:space="preserve">he issue of multilingualism is a reality in the </w:t>
      </w:r>
      <w:r w:rsidR="00E453EB">
        <w:t>EU-funded</w:t>
      </w:r>
      <w:r w:rsidR="00B06DCD" w:rsidRPr="00B06DCD">
        <w:t xml:space="preserve"> tourism projects. Equivalence in translation is essential where the proposals are to be reviewed by the Greek, Italian and </w:t>
      </w:r>
      <w:r w:rsidRPr="00B06DCD">
        <w:t>English-speaking</w:t>
      </w:r>
      <w:r w:rsidR="00B06DCD" w:rsidRPr="00B06DCD">
        <w:t xml:space="preserve"> stakeholders. </w:t>
      </w:r>
      <w:r w:rsidR="00B06DCD">
        <w:t>The</w:t>
      </w:r>
      <w:r w:rsidR="00B06DCD" w:rsidRPr="00B06DCD">
        <w:t xml:space="preserve"> translation should maintain both semantic and pragmatic integrity. There are cultural peculiarities, figures of speech and medical terms that should be treated with caution. Miscommunication in health settings may result in policy delays or loss of credibility of </w:t>
      </w:r>
      <w:r w:rsidR="00E453EB">
        <w:t>funding</w:t>
      </w:r>
      <w:r w:rsidR="00B06DCD" w:rsidRPr="00B06DCD">
        <w:t>. That is why original English documents are to be developed having the translation effect in mind.</w:t>
      </w:r>
    </w:p>
    <w:p w14:paraId="6CA6473B" w14:textId="77777777" w:rsidR="005365EC" w:rsidRPr="005365EC" w:rsidRDefault="005365EC" w:rsidP="00FE3DFF">
      <w:pPr>
        <w:jc w:val="center"/>
        <w:rPr>
          <w:b/>
          <w:bCs/>
        </w:rPr>
      </w:pPr>
      <w:r w:rsidRPr="005365EC">
        <w:rPr>
          <w:b/>
          <w:bCs/>
        </w:rPr>
        <w:t>6. Crisis Communication in a Post-Pandemic Context</w:t>
      </w:r>
    </w:p>
    <w:p w14:paraId="42079FB7" w14:textId="77777777" w:rsidR="005365EC" w:rsidRPr="005365EC" w:rsidRDefault="005365EC" w:rsidP="00FE3DFF">
      <w:pPr>
        <w:jc w:val="center"/>
        <w:rPr>
          <w:b/>
          <w:bCs/>
        </w:rPr>
      </w:pPr>
      <w:r w:rsidRPr="005365EC">
        <w:rPr>
          <w:b/>
          <w:bCs/>
        </w:rPr>
        <w:t>6.1 Best Practices in Pandemic Communication</w:t>
      </w:r>
    </w:p>
    <w:p w14:paraId="3986FDEE" w14:textId="47DA2CE1" w:rsidR="005365EC" w:rsidRPr="005365EC" w:rsidRDefault="0084234D" w:rsidP="00FE3DFF">
      <w:pPr>
        <w:ind w:firstLine="720"/>
      </w:pPr>
      <w:r>
        <w:t xml:space="preserve">According to </w:t>
      </w:r>
      <w:r w:rsidRPr="0084234D">
        <w:t>Chen</w:t>
      </w:r>
      <w:r>
        <w:t xml:space="preserve"> et al., 2023, t</w:t>
      </w:r>
      <w:r w:rsidR="006A4C71" w:rsidRPr="006A4C71">
        <w:t>ransparency, empathy, and promptness are the main principles emphasized in the guidelines on risk communication developed by the WHO (2020). These are in line with the CDC Crisis and Emergency Risk Communication (CERC) model that points out phases of message development</w:t>
      </w:r>
      <w:r w:rsidR="00E453EB">
        <w:t>,</w:t>
      </w:r>
      <w:r w:rsidR="006A4C71" w:rsidRPr="006A4C71">
        <w:t xml:space="preserve"> including pre-crisis, crisis</w:t>
      </w:r>
      <w:r w:rsidR="00E453EB">
        <w:t>,</w:t>
      </w:r>
      <w:r w:rsidR="006A4C71" w:rsidRPr="006A4C71">
        <w:t xml:space="preserve"> and post-crisis recovery. In tourism, these phases turn into segments of traveller assurance: pre-departure (information), in-travel (guiding)</w:t>
      </w:r>
      <w:r w:rsidR="00E453EB">
        <w:t>,</w:t>
      </w:r>
      <w:r w:rsidR="006A4C71" w:rsidRPr="006A4C71">
        <w:t xml:space="preserve"> and post-travel (feedback). Language should adapt to this too, and change its tone </w:t>
      </w:r>
      <w:r w:rsidR="00E453EB">
        <w:t>from</w:t>
      </w:r>
      <w:r w:rsidR="006A4C71" w:rsidRPr="006A4C71">
        <w:t xml:space="preserve"> instructive to collaborative once the situation has stabilized.</w:t>
      </w:r>
    </w:p>
    <w:p w14:paraId="0AC8741F" w14:textId="77777777" w:rsidR="005365EC" w:rsidRPr="005365EC" w:rsidRDefault="005365EC" w:rsidP="00FE3DFF">
      <w:pPr>
        <w:jc w:val="center"/>
        <w:rPr>
          <w:b/>
          <w:bCs/>
        </w:rPr>
      </w:pPr>
      <w:r w:rsidRPr="005365EC">
        <w:rPr>
          <w:b/>
          <w:bCs/>
        </w:rPr>
        <w:t>6.2 Trust and Information Credibility</w:t>
      </w:r>
    </w:p>
    <w:p w14:paraId="065EDB63" w14:textId="649D8B26" w:rsidR="005365EC" w:rsidRPr="005365EC" w:rsidRDefault="0084234D" w:rsidP="00FE3DFF">
      <w:pPr>
        <w:ind w:firstLine="720"/>
      </w:pPr>
      <w:r>
        <w:t xml:space="preserve">According to </w:t>
      </w:r>
      <w:r w:rsidRPr="0084234D">
        <w:t>Tseng</w:t>
      </w:r>
      <w:r>
        <w:t>, 2023, t</w:t>
      </w:r>
      <w:r w:rsidR="006A4C71" w:rsidRPr="006A4C71">
        <w:t xml:space="preserve">he research demonstrates that the issue of trust in authorities and the perceived validity of messages has a substantial influence on the tendency of the population to adhere to health recommendations. As such, communication in proposals should emphasize transparency, </w:t>
      </w:r>
      <w:r w:rsidRPr="006A4C71">
        <w:t>evidence-based</w:t>
      </w:r>
      <w:r w:rsidR="006A4C71" w:rsidRPr="006A4C71">
        <w:t xml:space="preserve"> decision</w:t>
      </w:r>
      <w:r w:rsidR="00E453EB">
        <w:t>,</w:t>
      </w:r>
      <w:r w:rsidR="006A4C71" w:rsidRPr="006A4C71">
        <w:t xml:space="preserve"> and consistency. Credibility is also increased by </w:t>
      </w:r>
      <w:r w:rsidR="00E453EB">
        <w:t xml:space="preserve">the </w:t>
      </w:r>
      <w:r w:rsidR="006A4C71" w:rsidRPr="006A4C71">
        <w:t>inclusion of third-party sources (e.g.</w:t>
      </w:r>
      <w:r w:rsidR="00E453EB">
        <w:t>,</w:t>
      </w:r>
      <w:r w:rsidR="006A4C71" w:rsidRPr="006A4C71">
        <w:t xml:space="preserve"> endorsements of EU health agencies) and data visualizations. </w:t>
      </w:r>
    </w:p>
    <w:p w14:paraId="0013088F" w14:textId="77777777" w:rsidR="005365EC" w:rsidRPr="005365EC" w:rsidRDefault="005365EC" w:rsidP="00FE3DFF">
      <w:pPr>
        <w:jc w:val="center"/>
        <w:rPr>
          <w:b/>
          <w:bCs/>
        </w:rPr>
      </w:pPr>
      <w:r w:rsidRPr="005365EC">
        <w:rPr>
          <w:b/>
          <w:bCs/>
        </w:rPr>
        <w:t>7. Communication Technology and Contactless Frameworks</w:t>
      </w:r>
    </w:p>
    <w:p w14:paraId="753C1423" w14:textId="77777777" w:rsidR="005365EC" w:rsidRPr="005365EC" w:rsidRDefault="005365EC" w:rsidP="00FE3DFF">
      <w:pPr>
        <w:jc w:val="center"/>
        <w:rPr>
          <w:b/>
          <w:bCs/>
        </w:rPr>
      </w:pPr>
      <w:r w:rsidRPr="005365EC">
        <w:rPr>
          <w:b/>
          <w:bCs/>
        </w:rPr>
        <w:t>7.1 Digital Business Communication</w:t>
      </w:r>
    </w:p>
    <w:p w14:paraId="1CDD79C8" w14:textId="035E5098" w:rsidR="005365EC" w:rsidRPr="005365EC" w:rsidRDefault="0084234D" w:rsidP="00FE3DFF">
      <w:pPr>
        <w:ind w:firstLine="720"/>
      </w:pPr>
      <w:r>
        <w:t xml:space="preserve">According to </w:t>
      </w:r>
      <w:r w:rsidRPr="0084234D">
        <w:t>Ofosu-Ampong &amp; Acheampong</w:t>
      </w:r>
      <w:r>
        <w:t>, 2022, t</w:t>
      </w:r>
      <w:r w:rsidR="006A4C71" w:rsidRPr="006A4C71">
        <w:t>he addition of digital tools, including EU Digital COVID Certificates, QR-code systems, and check-in systems based on AI, requires an additional level of business communication skills. Digital Business English should be short, precise, and mobile-friendly. Technical documentation should be supportive of usability but should be written in line with regulatory language.</w:t>
      </w:r>
    </w:p>
    <w:p w14:paraId="7795A088" w14:textId="77777777" w:rsidR="005365EC" w:rsidRPr="005365EC" w:rsidRDefault="005365EC" w:rsidP="00FE3DFF">
      <w:pPr>
        <w:jc w:val="center"/>
        <w:rPr>
          <w:b/>
          <w:bCs/>
        </w:rPr>
      </w:pPr>
      <w:r w:rsidRPr="005365EC">
        <w:rPr>
          <w:b/>
          <w:bCs/>
        </w:rPr>
        <w:t>7.2 Information Design and Visual Communication</w:t>
      </w:r>
    </w:p>
    <w:p w14:paraId="2270DB99" w14:textId="7EC44D83" w:rsidR="005365EC" w:rsidRPr="005365EC" w:rsidRDefault="0084234D" w:rsidP="00FE3DFF">
      <w:pPr>
        <w:ind w:firstLine="720"/>
      </w:pPr>
      <w:r>
        <w:t xml:space="preserve">According to </w:t>
      </w:r>
      <w:r w:rsidRPr="0084234D">
        <w:t>Günay</w:t>
      </w:r>
      <w:r>
        <w:t xml:space="preserve"> et al., 2021, </w:t>
      </w:r>
      <w:r w:rsidR="00E453EB">
        <w:t xml:space="preserve">the </w:t>
      </w:r>
      <w:r>
        <w:t>v</w:t>
      </w:r>
      <w:r w:rsidR="006A4C71" w:rsidRPr="006A4C71">
        <w:t xml:space="preserve">isual and layout design of health-travel proposals is critical in </w:t>
      </w:r>
      <w:r w:rsidR="00E453EB">
        <w:t xml:space="preserve">the </w:t>
      </w:r>
      <w:r w:rsidR="006A4C71" w:rsidRPr="006A4C71">
        <w:t>clarity of the message.</w:t>
      </w:r>
      <w:r w:rsidR="006A4C71">
        <w:t xml:space="preserve"> The article</w:t>
      </w:r>
      <w:r w:rsidR="006A4C71" w:rsidRPr="006A4C71">
        <w:t xml:space="preserve"> </w:t>
      </w:r>
      <w:r w:rsidR="00E453EB">
        <w:t>declares</w:t>
      </w:r>
      <w:r w:rsidR="006A4C71" w:rsidRPr="006A4C71">
        <w:t xml:space="preserve"> that infographics, charts, and policy flow diagrams increase the understanding, particularly under a high-cognitive-load condition. In the case of a multilingual and non-expert audience, visuals have to be supplementary and not a substitute </w:t>
      </w:r>
      <w:r w:rsidR="00E453EB">
        <w:t>for</w:t>
      </w:r>
      <w:r w:rsidR="006A4C71" w:rsidRPr="006A4C71">
        <w:t xml:space="preserve"> verbal communication</w:t>
      </w:r>
      <w:r w:rsidR="00E453EB">
        <w:t>,</w:t>
      </w:r>
      <w:r w:rsidR="006A4C71" w:rsidRPr="006A4C71">
        <w:t xml:space="preserve"> and redundancy and cross-verification must exist.</w:t>
      </w:r>
    </w:p>
    <w:p w14:paraId="5EA52F62" w14:textId="77777777" w:rsidR="005365EC" w:rsidRPr="005365EC" w:rsidRDefault="005365EC" w:rsidP="00FE3DFF">
      <w:pPr>
        <w:jc w:val="center"/>
        <w:rPr>
          <w:b/>
          <w:bCs/>
        </w:rPr>
      </w:pPr>
      <w:r w:rsidRPr="005365EC">
        <w:rPr>
          <w:b/>
          <w:bCs/>
        </w:rPr>
        <w:t>8. Culturally Appropriate Language Use in Health Proposals</w:t>
      </w:r>
    </w:p>
    <w:p w14:paraId="0217A24A" w14:textId="77777777" w:rsidR="005365EC" w:rsidRPr="005365EC" w:rsidRDefault="005365EC" w:rsidP="00FE3DFF">
      <w:pPr>
        <w:jc w:val="center"/>
        <w:rPr>
          <w:b/>
          <w:bCs/>
        </w:rPr>
      </w:pPr>
      <w:r w:rsidRPr="005365EC">
        <w:rPr>
          <w:b/>
          <w:bCs/>
        </w:rPr>
        <w:t>8.1 Politeness and Indirectness in Mediterranean Cultures</w:t>
      </w:r>
    </w:p>
    <w:p w14:paraId="5FB9A2A2" w14:textId="653EFCAF" w:rsidR="005365EC" w:rsidRPr="005365EC" w:rsidRDefault="001E78A0" w:rsidP="00FE3DFF">
      <w:pPr>
        <w:ind w:firstLine="720"/>
      </w:pPr>
      <w:r>
        <w:t xml:space="preserve">According to </w:t>
      </w:r>
      <w:r w:rsidRPr="001E78A0">
        <w:t>Sidiropoulou</w:t>
      </w:r>
      <w:r>
        <w:t>, 2021, t</w:t>
      </w:r>
      <w:r w:rsidR="0038777C" w:rsidRPr="0038777C">
        <w:t>he theory of politeness, especially Brown and Levinson (1987) emphasizes cultural sensitivity that is necessary in making requests or giving directives. In Italian and Greek culture, it is common that positive politeness strategies (e.g. flattery, inclusive language) have more success as compared to direct appeals. Thus, a proposal to obtain funding or collaboration should present obligations (e.g., health compliance) as a collective value but not as a measure.</w:t>
      </w:r>
    </w:p>
    <w:p w14:paraId="6FA11211" w14:textId="77777777" w:rsidR="005365EC" w:rsidRPr="005365EC" w:rsidRDefault="005365EC" w:rsidP="00FE3DFF">
      <w:pPr>
        <w:jc w:val="center"/>
        <w:rPr>
          <w:b/>
          <w:bCs/>
        </w:rPr>
      </w:pPr>
      <w:r w:rsidRPr="005365EC">
        <w:rPr>
          <w:b/>
          <w:bCs/>
        </w:rPr>
        <w:t>8.2 Framing and Metaphor in Health Discourse</w:t>
      </w:r>
    </w:p>
    <w:p w14:paraId="3CA0951B" w14:textId="29B110F6" w:rsidR="005365EC" w:rsidRPr="005365EC" w:rsidRDefault="00343DA1" w:rsidP="00FE3DFF">
      <w:pPr>
        <w:ind w:firstLine="720"/>
      </w:pPr>
      <w:r>
        <w:t xml:space="preserve">As per the opinion of </w:t>
      </w:r>
      <w:r w:rsidRPr="00343DA1">
        <w:t>Cotter</w:t>
      </w:r>
      <w:r>
        <w:t xml:space="preserve"> et al., 2021, t</w:t>
      </w:r>
      <w:r w:rsidR="0038777C" w:rsidRPr="0038777C">
        <w:t>he metaphorical representation of health as protection, responsibility, or community action has an impact on the reception of stakeholders. Semino et al. (2018) show that the use of metaphors can change the perception of the population regarding health risks. As an example, the use of war metaphors (e.g., fighting COVID) can cause anxiety, whereas journey metaphors (e.g., safe travels) can induce optimism and agency. The use of culturally related and context-specific metaphors increases the persuasive capability.</w:t>
      </w:r>
    </w:p>
    <w:p w14:paraId="7785049F" w14:textId="77777777" w:rsidR="005365EC" w:rsidRPr="005365EC" w:rsidRDefault="005365EC" w:rsidP="00FE3DFF">
      <w:pPr>
        <w:jc w:val="center"/>
        <w:rPr>
          <w:b/>
          <w:bCs/>
        </w:rPr>
      </w:pPr>
      <w:r w:rsidRPr="005365EC">
        <w:rPr>
          <w:b/>
          <w:bCs/>
        </w:rPr>
        <w:t>9. Communication Ethics and Transparency</w:t>
      </w:r>
    </w:p>
    <w:p w14:paraId="450F4378" w14:textId="77777777" w:rsidR="005365EC" w:rsidRPr="005365EC" w:rsidRDefault="005365EC" w:rsidP="00FE3DFF">
      <w:pPr>
        <w:jc w:val="center"/>
        <w:rPr>
          <w:b/>
          <w:bCs/>
        </w:rPr>
      </w:pPr>
      <w:r w:rsidRPr="005365EC">
        <w:rPr>
          <w:b/>
          <w:bCs/>
        </w:rPr>
        <w:t>9.1 Ethical Considerations in Health Messaging</w:t>
      </w:r>
    </w:p>
    <w:p w14:paraId="4976AC1B" w14:textId="45BBE7E1" w:rsidR="0038777C" w:rsidRDefault="00EB5E99" w:rsidP="00FE3DFF">
      <w:pPr>
        <w:ind w:firstLine="720"/>
      </w:pPr>
      <w:r>
        <w:t xml:space="preserve">According to </w:t>
      </w:r>
      <w:r w:rsidRPr="00EB5E99">
        <w:t>Ho &amp; Huang</w:t>
      </w:r>
      <w:r>
        <w:t>, 2021, t</w:t>
      </w:r>
      <w:r w:rsidR="0038777C" w:rsidRPr="0038777C">
        <w:t>he involvement of stakeholders should be able to capture the diversity of the tourism ecosystem, such as travellers, health workers, local governments, and minority populations. The use of language should be inclusive and not elitist or the use of jargon that excludes some people. The inclusion of various stakeholder views in the proposal enhances legitimacy and conformity with EU values, which are social cohesions and equity.</w:t>
      </w:r>
    </w:p>
    <w:p w14:paraId="02C0773E" w14:textId="16F82A2D" w:rsidR="005365EC" w:rsidRPr="005365EC" w:rsidRDefault="005365EC" w:rsidP="00FE3DFF">
      <w:pPr>
        <w:jc w:val="center"/>
        <w:rPr>
          <w:b/>
          <w:bCs/>
        </w:rPr>
      </w:pPr>
      <w:r w:rsidRPr="005365EC">
        <w:rPr>
          <w:b/>
          <w:bCs/>
        </w:rPr>
        <w:t>9.2 Stakeholder Inclusivity</w:t>
      </w:r>
    </w:p>
    <w:p w14:paraId="3FC20628" w14:textId="1F8CD042" w:rsidR="005365EC" w:rsidRPr="005365EC" w:rsidRDefault="00EB5E99" w:rsidP="00FE3DFF">
      <w:pPr>
        <w:ind w:firstLine="720"/>
      </w:pPr>
      <w:r>
        <w:t xml:space="preserve">As per the opinion of </w:t>
      </w:r>
      <w:proofErr w:type="spellStart"/>
      <w:r w:rsidRPr="00EB5E99">
        <w:t>Preziuso</w:t>
      </w:r>
      <w:proofErr w:type="spellEnd"/>
      <w:r>
        <w:t xml:space="preserve"> et al., 2023, s</w:t>
      </w:r>
      <w:r w:rsidR="005365EC" w:rsidRPr="005365EC">
        <w:t>takeholder engagement must reflect the diversity of the tourism ecosystem, including travellers, health workers, local governments, and minority populations. Language choices must reflect inclusivity, avoiding elitist or technical jargon that alienates certain groups. Incorporating multiple stakeholder perspectives in the proposal strengthens legitimacy and alignment with EU values of social cohesion and equity.</w:t>
      </w:r>
    </w:p>
    <w:p w14:paraId="05B111B6" w14:textId="415CBED4" w:rsidR="005365EC" w:rsidRDefault="0038777C" w:rsidP="00FE3DFF">
      <w:pPr>
        <w:ind w:firstLine="720"/>
      </w:pPr>
      <w:r w:rsidRPr="0038777C">
        <w:t>The literature reviewed depicts the primary importance of Business English and communication models in the way of planning and presenting effective, culture-sensitive, and convincing proposals in international tourism settings. The history of classical rhetoric to present crisis communication models, a number of theoretical perspectives have been used to explain the influence of language on perceptions, decisions, and policy outcomes. The smart combination of these frameworks is necessary in case of a proposal to create a health-safe tourism corridor between Italy and Greece. The effective implementation of Business English in this regard does not only enhance the likelihood of the EU funding allocation but also the creation of cross-cultural trust, transparency, and long-term collaboration in a post-pandemic tourism environment.</w:t>
      </w:r>
    </w:p>
    <w:p w14:paraId="17AE9BF7" w14:textId="77777777" w:rsidR="00455EFD" w:rsidRDefault="00455EFD" w:rsidP="00455EFD">
      <w:pPr>
        <w:pStyle w:val="Heading1"/>
      </w:pPr>
      <w:bookmarkStart w:id="5" w:name="_Toc203988023"/>
      <w:r w:rsidRPr="00455EFD">
        <w:t>Methodology</w:t>
      </w:r>
      <w:bookmarkEnd w:id="5"/>
    </w:p>
    <w:p w14:paraId="5472FD77" w14:textId="77777777" w:rsidR="005174CD" w:rsidRPr="005174CD" w:rsidRDefault="005174CD" w:rsidP="00FE3DFF">
      <w:pPr>
        <w:jc w:val="center"/>
        <w:rPr>
          <w:b/>
          <w:bCs/>
        </w:rPr>
      </w:pPr>
      <w:r w:rsidRPr="005174CD">
        <w:rPr>
          <w:b/>
          <w:bCs/>
        </w:rPr>
        <w:t>1. Research Design</w:t>
      </w:r>
    </w:p>
    <w:p w14:paraId="5A729286" w14:textId="72274EB9" w:rsidR="005174CD" w:rsidRPr="005174CD" w:rsidRDefault="0038777C" w:rsidP="00FE3DFF">
      <w:pPr>
        <w:ind w:firstLine="720"/>
      </w:pPr>
      <w:r w:rsidRPr="0038777C">
        <w:t>The research design of this proposal is a strategic applied research design which relies on both qualitative and quantitative data to develop a resilient cross-border travel corridor between Italy and Greece in case of a pandemic. The aim of this methodology is to not only suggest an actionable model but also match it with the funding requirements established within EU tourism recovery frameworks. The design combines the input of the stakeholders, health system evaluation, and cross-cultural communication practices to make the design feasible, acceptable, and scalable</w:t>
      </w:r>
      <w:r w:rsidR="001829B5">
        <w:t xml:space="preserve"> (</w:t>
      </w:r>
      <w:r w:rsidR="001829B5" w:rsidRPr="001829B5">
        <w:t>Schoonenboom</w:t>
      </w:r>
      <w:r w:rsidR="001829B5">
        <w:t>, 2023)</w:t>
      </w:r>
      <w:r w:rsidRPr="0038777C">
        <w:t>.</w:t>
      </w:r>
    </w:p>
    <w:p w14:paraId="786C05C7" w14:textId="77777777" w:rsidR="005174CD" w:rsidRPr="005174CD" w:rsidRDefault="005174CD" w:rsidP="00FE3DFF">
      <w:pPr>
        <w:jc w:val="center"/>
        <w:rPr>
          <w:b/>
          <w:bCs/>
        </w:rPr>
      </w:pPr>
      <w:r w:rsidRPr="005174CD">
        <w:rPr>
          <w:b/>
          <w:bCs/>
        </w:rPr>
        <w:t>2. Data Collection Approach</w:t>
      </w:r>
    </w:p>
    <w:p w14:paraId="6326A119" w14:textId="550B7372" w:rsidR="005174CD" w:rsidRPr="005174CD" w:rsidRDefault="0038777C" w:rsidP="00FE3DFF">
      <w:pPr>
        <w:ind w:firstLine="720"/>
      </w:pPr>
      <w:r w:rsidRPr="0038777C">
        <w:t>Two categories of data were gathered: secondary information about government reports, academic sources, and tourism market reports; and primary information by interviews with experts and feedback systems with stakeholders. Secondary sources were given by the European Centre for Disease Prevention and Control (ECDC), World Health Organization (WHO), and tourism boards in Italy and Greece. These records gave statistical benchmarks of how the pandemic affected people and recovery rates</w:t>
      </w:r>
      <w:r w:rsidR="001829B5">
        <w:t xml:space="preserve"> (</w:t>
      </w:r>
      <w:proofErr w:type="gramStart"/>
      <w:r w:rsidR="001829B5" w:rsidRPr="001829B5">
        <w:t>Haga,</w:t>
      </w:r>
      <w:r w:rsidR="001829B5">
        <w:t>,</w:t>
      </w:r>
      <w:proofErr w:type="gramEnd"/>
      <w:r w:rsidR="001829B5">
        <w:t xml:space="preserve"> 2021)</w:t>
      </w:r>
      <w:r w:rsidRPr="0038777C">
        <w:t>.</w:t>
      </w:r>
    </w:p>
    <w:p w14:paraId="5BFF1505" w14:textId="1403D799" w:rsidR="005174CD" w:rsidRPr="005174CD" w:rsidRDefault="0038777C" w:rsidP="00FE3DFF">
      <w:pPr>
        <w:ind w:firstLine="720"/>
      </w:pPr>
      <w:r w:rsidRPr="0038777C">
        <w:t xml:space="preserve">The semi-structured interviews with the officials of the public health, tourism operators, and local government representatives were used to acquire primary data. The interviews were useful in determining the preparedness to the contactless infrastructure, the health protocols acceptability, and the perception of </w:t>
      </w:r>
      <w:proofErr w:type="spellStart"/>
      <w:r w:rsidRPr="0038777C">
        <w:t>traveler</w:t>
      </w:r>
      <w:proofErr w:type="spellEnd"/>
      <w:r w:rsidRPr="0038777C">
        <w:t xml:space="preserve"> sentiment after COVID-19. Linguistic and cultural appropriateness were guaranteed to all interviews, as they were held in both English and Greek.</w:t>
      </w:r>
    </w:p>
    <w:p w14:paraId="63D651F5" w14:textId="77777777" w:rsidR="005174CD" w:rsidRPr="005174CD" w:rsidRDefault="005174CD" w:rsidP="00FE3DFF">
      <w:pPr>
        <w:jc w:val="center"/>
        <w:rPr>
          <w:b/>
          <w:bCs/>
        </w:rPr>
      </w:pPr>
      <w:r w:rsidRPr="005174CD">
        <w:rPr>
          <w:b/>
          <w:bCs/>
        </w:rPr>
        <w:t>3. Risk Assessment Framework</w:t>
      </w:r>
    </w:p>
    <w:p w14:paraId="3013087C" w14:textId="6903E59F" w:rsidR="005174CD" w:rsidRPr="005174CD" w:rsidRDefault="0038777C" w:rsidP="00FE3DFF">
      <w:pPr>
        <w:ind w:firstLine="720"/>
      </w:pPr>
      <w:r w:rsidRPr="0038777C">
        <w:t xml:space="preserve">Health Risk Management Matrix was utilized to assess the main health risks, such as viral resurgence, logistics of cross-border screening, and coordination of the emergency response. The risks were classified in terms of probability and impact and mitigation techniques were established based on the same. As an example, the implementation of thermal imaging checkpoints in airports and ferry stations was given priority to ensure that the screening process did not take too long but also to ensure the safety of the </w:t>
      </w:r>
      <w:proofErr w:type="spellStart"/>
      <w:r w:rsidRPr="0038777C">
        <w:t>travelers</w:t>
      </w:r>
      <w:proofErr w:type="spellEnd"/>
      <w:r w:rsidR="009E09BF">
        <w:t xml:space="preserve"> (</w:t>
      </w:r>
      <w:proofErr w:type="spellStart"/>
      <w:r w:rsidR="009E09BF" w:rsidRPr="000E1363">
        <w:t>Krewski</w:t>
      </w:r>
      <w:proofErr w:type="spellEnd"/>
      <w:r w:rsidR="009E09BF">
        <w:t xml:space="preserve"> et al., 2021)</w:t>
      </w:r>
      <w:r w:rsidRPr="0038777C">
        <w:t>.</w:t>
      </w:r>
    </w:p>
    <w:p w14:paraId="653946C6" w14:textId="5357211D" w:rsidR="005174CD" w:rsidRPr="005174CD" w:rsidRDefault="0038777C" w:rsidP="00FE3DFF">
      <w:pPr>
        <w:ind w:firstLine="720"/>
      </w:pPr>
      <w:r w:rsidRPr="0038777C">
        <w:t>To further prove these frameworks, a SWOT analysis was made between the available health infrastructure in the two countries. The strengths of the EU-standardized vaccination protocols and weaknesses of the uneven access to healthcare in the rural areas were noted to define the corridor design better.</w:t>
      </w:r>
    </w:p>
    <w:p w14:paraId="615D0FF1" w14:textId="77777777" w:rsidR="005174CD" w:rsidRPr="005174CD" w:rsidRDefault="005174CD" w:rsidP="00FE3DFF">
      <w:pPr>
        <w:jc w:val="center"/>
        <w:rPr>
          <w:b/>
          <w:bCs/>
        </w:rPr>
      </w:pPr>
      <w:r w:rsidRPr="005174CD">
        <w:rPr>
          <w:b/>
          <w:bCs/>
        </w:rPr>
        <w:t>4. Economic Feasibility Analysis</w:t>
      </w:r>
    </w:p>
    <w:p w14:paraId="4A396D9D" w14:textId="0363940B" w:rsidR="005174CD" w:rsidRPr="005174CD" w:rsidRDefault="0038777C" w:rsidP="00FE3DFF">
      <w:pPr>
        <w:ind w:firstLine="720"/>
      </w:pPr>
      <w:r w:rsidRPr="0038777C">
        <w:t>The financial approach was based on the cost-benefit analysis to support the financing of contactless infrastructure and wellness tourism initiatives at EU level. The fiscal sustainability was examined with the help of the models of a public-private partnership, and the forecast was made based on the revenue of 2019 tourism.</w:t>
      </w:r>
    </w:p>
    <w:p w14:paraId="182EEA71" w14:textId="77777777" w:rsidR="005174CD" w:rsidRPr="005174CD" w:rsidRDefault="005174CD" w:rsidP="005174CD">
      <w:r w:rsidRPr="005174CD">
        <w:t>Estimates included:</w:t>
      </w:r>
    </w:p>
    <w:p w14:paraId="5AE4B2B0" w14:textId="77777777" w:rsidR="005174CD" w:rsidRPr="005174CD" w:rsidRDefault="005174CD" w:rsidP="005174CD">
      <w:pPr>
        <w:numPr>
          <w:ilvl w:val="0"/>
          <w:numId w:val="4"/>
        </w:numPr>
      </w:pPr>
      <w:r w:rsidRPr="005174CD">
        <w:t>Cost of implementing digital health passes and biometric entry points;</w:t>
      </w:r>
    </w:p>
    <w:p w14:paraId="12A7E846" w14:textId="77777777" w:rsidR="005174CD" w:rsidRPr="005174CD" w:rsidRDefault="005174CD" w:rsidP="005174CD">
      <w:pPr>
        <w:numPr>
          <w:ilvl w:val="0"/>
          <w:numId w:val="4"/>
        </w:numPr>
      </w:pPr>
      <w:r w:rsidRPr="005174CD">
        <w:t>Savings generated from reduced outbreak-related shutdowns;</w:t>
      </w:r>
    </w:p>
    <w:p w14:paraId="4E869334" w14:textId="77777777" w:rsidR="005174CD" w:rsidRPr="005174CD" w:rsidRDefault="005174CD" w:rsidP="005174CD">
      <w:pPr>
        <w:numPr>
          <w:ilvl w:val="0"/>
          <w:numId w:val="4"/>
        </w:numPr>
      </w:pPr>
      <w:r w:rsidRPr="005174CD">
        <w:t xml:space="preserve">Revenue recovery from increased </w:t>
      </w:r>
      <w:proofErr w:type="spellStart"/>
      <w:r w:rsidRPr="005174CD">
        <w:t>traveler</w:t>
      </w:r>
      <w:proofErr w:type="spellEnd"/>
      <w:r w:rsidRPr="005174CD">
        <w:t xml:space="preserve"> confidence and extended stays.</w:t>
      </w:r>
    </w:p>
    <w:p w14:paraId="1BCA2090" w14:textId="7A071193" w:rsidR="005174CD" w:rsidRPr="005174CD" w:rsidRDefault="0038777C" w:rsidP="00FE3DFF">
      <w:pPr>
        <w:ind w:firstLine="360"/>
      </w:pPr>
      <w:r w:rsidRPr="0038777C">
        <w:t xml:space="preserve">Financial returns in a five-year period were </w:t>
      </w:r>
      <w:proofErr w:type="spellStart"/>
      <w:r w:rsidRPr="0038777C">
        <w:t>modeled</w:t>
      </w:r>
      <w:proofErr w:type="spellEnd"/>
      <w:r w:rsidRPr="0038777C">
        <w:t xml:space="preserve"> in data </w:t>
      </w:r>
      <w:proofErr w:type="spellStart"/>
      <w:r w:rsidRPr="0038777C">
        <w:t>modeling</w:t>
      </w:r>
      <w:proofErr w:type="spellEnd"/>
      <w:r w:rsidRPr="0038777C">
        <w:t xml:space="preserve"> software like Excel and Tableau to support the long-term value proposition to EU funding bodies.</w:t>
      </w:r>
    </w:p>
    <w:p w14:paraId="344FF2A7" w14:textId="77777777" w:rsidR="005174CD" w:rsidRPr="005174CD" w:rsidRDefault="005174CD" w:rsidP="00FE3DFF">
      <w:pPr>
        <w:jc w:val="center"/>
        <w:rPr>
          <w:b/>
          <w:bCs/>
        </w:rPr>
      </w:pPr>
      <w:r w:rsidRPr="005174CD">
        <w:rPr>
          <w:b/>
          <w:bCs/>
        </w:rPr>
        <w:t>5. Cross-Cultural Communication Analysis</w:t>
      </w:r>
    </w:p>
    <w:p w14:paraId="7A1CCF4D" w14:textId="6AAB1365" w:rsidR="005174CD" w:rsidRPr="005174CD" w:rsidRDefault="0038777C" w:rsidP="00FE3DFF">
      <w:pPr>
        <w:ind w:firstLine="720"/>
      </w:pPr>
      <w:r w:rsidRPr="0038777C">
        <w:t>As the proposal is aimed at the multicultural audience the intercultural communication models were used, namely EU officials, Italian and Greek tourism stakeholders, and local citizens. The messages were linguistically framed in accordance with the High-Low Context Theory developed by Hall and the Cultural Dimensions presented by Hofstede in order to make them clear, polite, and culturally appropriate</w:t>
      </w:r>
      <w:r w:rsidR="007D02F2">
        <w:t xml:space="preserve"> (</w:t>
      </w:r>
      <w:r w:rsidR="007D02F2" w:rsidRPr="007D02F2">
        <w:t>Chen</w:t>
      </w:r>
      <w:r w:rsidR="007D02F2">
        <w:t>, 2022)</w:t>
      </w:r>
      <w:r w:rsidRPr="0038777C">
        <w:t>.</w:t>
      </w:r>
    </w:p>
    <w:p w14:paraId="3E49A69F" w14:textId="2AB9E619" w:rsidR="005174CD" w:rsidRPr="005174CD" w:rsidRDefault="0038777C" w:rsidP="00FE3DFF">
      <w:pPr>
        <w:ind w:firstLine="720"/>
      </w:pPr>
      <w:r w:rsidRPr="0038777C">
        <w:t xml:space="preserve">Messages were </w:t>
      </w:r>
      <w:proofErr w:type="spellStart"/>
      <w:r w:rsidRPr="0038777C">
        <w:t>modeled</w:t>
      </w:r>
      <w:proofErr w:type="spellEnd"/>
      <w:r w:rsidRPr="0038777C">
        <w:t xml:space="preserve"> according to the conventions of business English with emphasis on persuasive tone, coherence, and the employment of metaphors and values that are culturally acceptable. Translating guidelines also included in order to prevent miscommunication in a multilingual promotion materials and stakeholder documents.</w:t>
      </w:r>
    </w:p>
    <w:p w14:paraId="2A8A0019" w14:textId="77777777" w:rsidR="005174CD" w:rsidRPr="005174CD" w:rsidRDefault="005174CD" w:rsidP="00FE3DFF">
      <w:pPr>
        <w:jc w:val="center"/>
        <w:rPr>
          <w:b/>
          <w:bCs/>
        </w:rPr>
      </w:pPr>
      <w:r w:rsidRPr="005174CD">
        <w:rPr>
          <w:b/>
          <w:bCs/>
        </w:rPr>
        <w:t>6. Ethical and Legal Considerations</w:t>
      </w:r>
    </w:p>
    <w:p w14:paraId="0B328CDC" w14:textId="2470233E" w:rsidR="005174CD" w:rsidRPr="005174CD" w:rsidRDefault="0038777C" w:rsidP="00FE3DFF">
      <w:pPr>
        <w:ind w:firstLine="720"/>
      </w:pPr>
      <w:r w:rsidRPr="0038777C">
        <w:t>The data acquisition followed the GDPR laws and ethical research practices. The interviews were done with the informed consent, and sensitive data were anonymized. Privacy of health data and digital sovereignty, particularly with regard to contact tracing apps, also played an important role in the design of the protocols of the corridors</w:t>
      </w:r>
      <w:r w:rsidR="007D02F2">
        <w:t xml:space="preserve"> (</w:t>
      </w:r>
      <w:proofErr w:type="spellStart"/>
      <w:r w:rsidR="007D02F2" w:rsidRPr="007D02F2">
        <w:t>Čartolovni</w:t>
      </w:r>
      <w:proofErr w:type="spellEnd"/>
      <w:r w:rsidR="007D02F2">
        <w:t xml:space="preserve"> et al., 2021)</w:t>
      </w:r>
      <w:r w:rsidRPr="0038777C">
        <w:t>.</w:t>
      </w:r>
    </w:p>
    <w:p w14:paraId="2D529C3B" w14:textId="25C05CCD" w:rsidR="005174CD" w:rsidRPr="005174CD" w:rsidRDefault="0038777C" w:rsidP="00FE3DFF">
      <w:pPr>
        <w:ind w:firstLine="720"/>
      </w:pPr>
      <w:r w:rsidRPr="0038777C">
        <w:t xml:space="preserve">In addition, EU Charter of Fundamental Rights, especially freedom of movement and non-discrimination, was applied as a guiding document to provide fair access and participation of all types of </w:t>
      </w:r>
      <w:proofErr w:type="spellStart"/>
      <w:r w:rsidRPr="0038777C">
        <w:t>travelers</w:t>
      </w:r>
      <w:proofErr w:type="spellEnd"/>
      <w:r w:rsidRPr="0038777C">
        <w:t>.</w:t>
      </w:r>
    </w:p>
    <w:p w14:paraId="554041C6" w14:textId="77777777" w:rsidR="005174CD" w:rsidRPr="005174CD" w:rsidRDefault="005174CD" w:rsidP="00FE3DFF">
      <w:pPr>
        <w:jc w:val="center"/>
        <w:rPr>
          <w:b/>
          <w:bCs/>
        </w:rPr>
      </w:pPr>
      <w:r w:rsidRPr="005174CD">
        <w:rPr>
          <w:b/>
          <w:bCs/>
        </w:rPr>
        <w:t>7. Limitations</w:t>
      </w:r>
    </w:p>
    <w:p w14:paraId="1D282791" w14:textId="77777777" w:rsidR="005174CD" w:rsidRPr="005174CD" w:rsidRDefault="005174CD" w:rsidP="005174CD">
      <w:r w:rsidRPr="005174CD">
        <w:t>This methodology acknowledges limitations including:</w:t>
      </w:r>
    </w:p>
    <w:p w14:paraId="2882A8F7" w14:textId="77777777" w:rsidR="005174CD" w:rsidRPr="005174CD" w:rsidRDefault="005174CD" w:rsidP="005174CD">
      <w:pPr>
        <w:numPr>
          <w:ilvl w:val="0"/>
          <w:numId w:val="5"/>
        </w:numPr>
      </w:pPr>
      <w:r w:rsidRPr="005174CD">
        <w:t>Variability in political will between national governments;</w:t>
      </w:r>
    </w:p>
    <w:p w14:paraId="3798C38E" w14:textId="77777777" w:rsidR="005174CD" w:rsidRPr="005174CD" w:rsidRDefault="005174CD" w:rsidP="005174CD">
      <w:pPr>
        <w:numPr>
          <w:ilvl w:val="0"/>
          <w:numId w:val="5"/>
        </w:numPr>
      </w:pPr>
      <w:r w:rsidRPr="005174CD">
        <w:t xml:space="preserve">Potential resistance from </w:t>
      </w:r>
      <w:proofErr w:type="spellStart"/>
      <w:r w:rsidRPr="005174CD">
        <w:t>travelers</w:t>
      </w:r>
      <w:proofErr w:type="spellEnd"/>
      <w:r w:rsidRPr="005174CD">
        <w:t xml:space="preserve"> wary of biometric tracking;</w:t>
      </w:r>
    </w:p>
    <w:p w14:paraId="7A92DE6C" w14:textId="77777777" w:rsidR="005174CD" w:rsidRPr="005174CD" w:rsidRDefault="005174CD" w:rsidP="005174CD">
      <w:pPr>
        <w:numPr>
          <w:ilvl w:val="0"/>
          <w:numId w:val="5"/>
        </w:numPr>
      </w:pPr>
      <w:r w:rsidRPr="005174CD">
        <w:t>Uncertainty surrounding future pandemic variants or health emergencies.</w:t>
      </w:r>
    </w:p>
    <w:p w14:paraId="6F6BCC25" w14:textId="77777777" w:rsidR="005174CD" w:rsidRPr="005174CD" w:rsidRDefault="005174CD" w:rsidP="00FE3DFF">
      <w:pPr>
        <w:ind w:firstLine="360"/>
      </w:pPr>
      <w:r w:rsidRPr="005174CD">
        <w:t>However, these challenges are mitigated through adaptive design, regular policy reviews, and modular implementation phases, ensuring the proposal remains resilient and scalable across changing circumstances.</w:t>
      </w:r>
    </w:p>
    <w:p w14:paraId="0E14799A" w14:textId="77777777" w:rsidR="00455EFD" w:rsidRPr="00455EFD" w:rsidRDefault="00455EFD" w:rsidP="00455EFD">
      <w:pPr>
        <w:pStyle w:val="Heading1"/>
      </w:pPr>
      <w:bookmarkStart w:id="6" w:name="_Toc203988024"/>
      <w:r w:rsidRPr="00455EFD">
        <w:t>Findings</w:t>
      </w:r>
      <w:bookmarkEnd w:id="6"/>
    </w:p>
    <w:p w14:paraId="4289B48E" w14:textId="77777777" w:rsidR="00455EFD" w:rsidRPr="00455EFD" w:rsidRDefault="00455EFD" w:rsidP="00FE3DFF">
      <w:pPr>
        <w:jc w:val="center"/>
        <w:rPr>
          <w:b/>
          <w:bCs/>
        </w:rPr>
      </w:pPr>
      <w:r w:rsidRPr="00455EFD">
        <w:rPr>
          <w:b/>
          <w:bCs/>
        </w:rPr>
        <w:t>1. Traveler Confidence and Demand Recovery</w:t>
      </w:r>
    </w:p>
    <w:p w14:paraId="37E07A7C" w14:textId="3452E433" w:rsidR="00455EFD" w:rsidRPr="00455EFD" w:rsidRDefault="0038777C" w:rsidP="00FE3DFF">
      <w:pPr>
        <w:ind w:firstLine="720"/>
      </w:pPr>
      <w:r w:rsidRPr="0038777C">
        <w:t xml:space="preserve">The review of tourism demand statistics since 2019-2023 reveals the fact that the confidence of </w:t>
      </w:r>
      <w:proofErr w:type="spellStart"/>
      <w:r w:rsidRPr="0038777C">
        <w:t>travelers</w:t>
      </w:r>
      <w:proofErr w:type="spellEnd"/>
      <w:r w:rsidRPr="0038777C">
        <w:t xml:space="preserve"> is still severely impacted by the perception of the level of health risks. Despite the fact that some mobility constraints have been mostly removed, the booking trends and occupancy rates indicate that travellers still prefer destinations where health protection is evident. Even in the Mediterranean area, in early signs of recovery, destinations that clearly marketed themselves as health screening and wellness tourism destinations saw visitor levels reach nearly 45-55 percent of pre pandemic levels by </w:t>
      </w:r>
      <w:r w:rsidR="00A334D7" w:rsidRPr="0038777C">
        <w:t>mid-2023</w:t>
      </w:r>
      <w:r w:rsidRPr="0038777C">
        <w:t>, vs under 35 percent in destinations that did not market themselves in that way. This implies that health-safe corridors are a competitive tool in the recovery of market share</w:t>
      </w:r>
      <w:r w:rsidR="00A334D7">
        <w:t xml:space="preserve"> (</w:t>
      </w:r>
      <w:r w:rsidR="00A334D7" w:rsidRPr="00A334D7">
        <w:t>Ketter,</w:t>
      </w:r>
      <w:r w:rsidR="00A334D7">
        <w:t xml:space="preserve"> 2024)</w:t>
      </w:r>
      <w:r w:rsidRPr="0038777C">
        <w:t>.</w:t>
      </w:r>
      <w:r w:rsidR="00A334D7">
        <w:t xml:space="preserve"> </w:t>
      </w:r>
    </w:p>
    <w:p w14:paraId="40C9646B" w14:textId="226F961D" w:rsidR="00455EFD" w:rsidRPr="00455EFD" w:rsidRDefault="0038777C" w:rsidP="00FE3DFF">
      <w:pPr>
        <w:ind w:firstLine="720"/>
      </w:pPr>
      <w:r w:rsidRPr="0038777C">
        <w:t>Communicatively, concrete health practice messages have continued to do well on social media and booking sites than vague promises, e.g. messages about a rapid antigen screening, contactless passport checks, wellness-certified resorts, etc. An analysis of content of the regional tourism campaigns in Italy and Greece showed that the mention of health protocols in the campaigns led to a 20%-30% engagement, whereas generic tourism slogans did not have any effect.</w:t>
      </w:r>
    </w:p>
    <w:p w14:paraId="091E4121" w14:textId="77777777" w:rsidR="00455EFD" w:rsidRPr="00455EFD" w:rsidRDefault="00455EFD" w:rsidP="00FE3DFF">
      <w:pPr>
        <w:jc w:val="center"/>
        <w:rPr>
          <w:b/>
          <w:bCs/>
        </w:rPr>
      </w:pPr>
      <w:r w:rsidRPr="00455EFD">
        <w:rPr>
          <w:b/>
          <w:bCs/>
        </w:rPr>
        <w:t>2. Economic Implications of Contactless Health Infrastructure</w:t>
      </w:r>
    </w:p>
    <w:p w14:paraId="77745814" w14:textId="77777777" w:rsidR="0038777C" w:rsidRDefault="0038777C" w:rsidP="00FE3DFF">
      <w:pPr>
        <w:ind w:firstLine="720"/>
      </w:pPr>
      <w:r>
        <w:t xml:space="preserve">The economic </w:t>
      </w:r>
      <w:proofErr w:type="spellStart"/>
      <w:r>
        <w:t>modeling</w:t>
      </w:r>
      <w:proofErr w:type="spellEnd"/>
      <w:r>
        <w:t xml:space="preserve"> has shown that it is economically sound to set up health screening facilities at the major nodes (airports, ferries, train stations) between Italy and Greece. Supply benchmarks and engineering cost per unit are estimated to be initially invested in about 15 million euros when combined. It is estimated that operating costs will be between 2.5 and 3 million euros per year, mainly to include rapid testing supplies, digital maintenance, and staffing.</w:t>
      </w:r>
    </w:p>
    <w:p w14:paraId="08F40958" w14:textId="4563FFB6" w:rsidR="00455EFD" w:rsidRPr="00455EFD" w:rsidRDefault="0038777C" w:rsidP="00FE3DFF">
      <w:pPr>
        <w:ind w:firstLine="720"/>
      </w:pPr>
      <w:r>
        <w:t>The corridor is expected to yield a total tourism revenue of between 8-10 billion euros under a three-year recovery model (where tourism volumes will increase by 60 percent in Year 1 to 80 percent in Year 3). Based on an average of 150 per capita local wellness spending, the investment payback is more than 180 percent in Year 3, and break even occurs after 18 to 24 months. These numbers were compared to real-life post-crisis case studies (e.g., Thailand sandbox model) in order to check assumptions and underpin credibility.</w:t>
      </w:r>
    </w:p>
    <w:p w14:paraId="15172394" w14:textId="77777777" w:rsidR="00455EFD" w:rsidRPr="00455EFD" w:rsidRDefault="00455EFD" w:rsidP="00FE3DFF">
      <w:pPr>
        <w:jc w:val="center"/>
        <w:rPr>
          <w:b/>
          <w:bCs/>
        </w:rPr>
      </w:pPr>
      <w:r w:rsidRPr="00455EFD">
        <w:rPr>
          <w:b/>
          <w:bCs/>
        </w:rPr>
        <w:t>3. Health Risk Mitigation and Messaging Strategies</w:t>
      </w:r>
    </w:p>
    <w:p w14:paraId="33BC977E" w14:textId="77777777" w:rsidR="00455EFD" w:rsidRPr="00455EFD" w:rsidRDefault="00455EFD" w:rsidP="00FE3DFF">
      <w:pPr>
        <w:ind w:firstLine="360"/>
      </w:pPr>
      <w:r w:rsidRPr="00455EFD">
        <w:t>The risk analysis identifies five critical vulnerabilities: in-transit transmission, non</w:t>
      </w:r>
      <w:r w:rsidRPr="00455EFD">
        <w:noBreakHyphen/>
        <w:t>compliance with testing, false negatives, local outbreaks, and reputational failures. Each risk has been paired with specific mitigation strategies that rely on targeted communication:</w:t>
      </w:r>
    </w:p>
    <w:p w14:paraId="650C957D" w14:textId="77777777" w:rsidR="00455EFD" w:rsidRPr="00455EFD" w:rsidRDefault="00455EFD" w:rsidP="00455EFD">
      <w:pPr>
        <w:numPr>
          <w:ilvl w:val="0"/>
          <w:numId w:val="2"/>
        </w:numPr>
      </w:pPr>
      <w:r w:rsidRPr="00455EFD">
        <w:rPr>
          <w:b/>
          <w:bCs/>
        </w:rPr>
        <w:t>In-transit transmission</w:t>
      </w:r>
      <w:r w:rsidRPr="00455EFD">
        <w:t xml:space="preserve"> is addressed through mandatory mask mandates and cabin zoning, communicated via pre-travel emails and visual signage that emphasize safety layering.</w:t>
      </w:r>
    </w:p>
    <w:p w14:paraId="2ECFB8A6" w14:textId="77777777" w:rsidR="00455EFD" w:rsidRPr="00455EFD" w:rsidRDefault="00455EFD" w:rsidP="00455EFD">
      <w:pPr>
        <w:numPr>
          <w:ilvl w:val="0"/>
          <w:numId w:val="2"/>
        </w:numPr>
      </w:pPr>
      <w:r w:rsidRPr="00455EFD">
        <w:rPr>
          <w:b/>
          <w:bCs/>
        </w:rPr>
        <w:t>Non</w:t>
      </w:r>
      <w:r w:rsidRPr="00455EFD">
        <w:rPr>
          <w:b/>
          <w:bCs/>
        </w:rPr>
        <w:noBreakHyphen/>
        <w:t>compliance</w:t>
      </w:r>
      <w:r w:rsidRPr="00455EFD">
        <w:t xml:space="preserve"> is mitigated by multilingual reminders and helpline support. Messaging emphasizes how compliance contributes to collective safety, reinforcing cultural values such as community protection.</w:t>
      </w:r>
    </w:p>
    <w:p w14:paraId="71EB82C8" w14:textId="77777777" w:rsidR="00455EFD" w:rsidRPr="00455EFD" w:rsidRDefault="00455EFD" w:rsidP="00455EFD">
      <w:pPr>
        <w:numPr>
          <w:ilvl w:val="0"/>
          <w:numId w:val="2"/>
        </w:numPr>
      </w:pPr>
      <w:r w:rsidRPr="00455EFD">
        <w:rPr>
          <w:b/>
          <w:bCs/>
        </w:rPr>
        <w:t>False negatives</w:t>
      </w:r>
      <w:r w:rsidRPr="00455EFD">
        <w:t xml:space="preserve"> are countered with dual-layer screening and randomized rapid-PCR verification. Communication materials transparently acknowledge test limitations while highlighting safeguards, enhancing credibility.</w:t>
      </w:r>
    </w:p>
    <w:p w14:paraId="58105505" w14:textId="6282D2FE" w:rsidR="00455EFD" w:rsidRPr="00455EFD" w:rsidRDefault="00455EFD" w:rsidP="00455EFD">
      <w:r w:rsidRPr="00455EFD">
        <w:t>Overall, communicative clarity, transparency, and empathetic tone are emphasized as core to risk mitigation.</w:t>
      </w:r>
    </w:p>
    <w:p w14:paraId="059A9389" w14:textId="77777777" w:rsidR="00455EFD" w:rsidRPr="00455EFD" w:rsidRDefault="00455EFD" w:rsidP="00FE3DFF">
      <w:pPr>
        <w:jc w:val="center"/>
        <w:rPr>
          <w:b/>
          <w:bCs/>
        </w:rPr>
      </w:pPr>
      <w:r w:rsidRPr="00455EFD">
        <w:rPr>
          <w:b/>
          <w:bCs/>
        </w:rPr>
        <w:t>4. Cross-Cultural Communication: Insights and Adaptations</w:t>
      </w:r>
    </w:p>
    <w:p w14:paraId="6600A435" w14:textId="77777777" w:rsidR="0038777C" w:rsidRDefault="0038777C" w:rsidP="00FE3DFF">
      <w:pPr>
        <w:ind w:firstLine="720"/>
      </w:pPr>
      <w:r>
        <w:t>The cultural communication audit has identified the major differences between the standard messaging styles that are typical of Italian and Greek people. Italian public health advisories are more technical, formal and hierarchical in tone, where they prefer the language of detailed procedures. Greek counterparts, being formal as well, are more inclined toward narrative aspects that allude to tourism heritage, emotional appeal, and shared welfare.</w:t>
      </w:r>
    </w:p>
    <w:p w14:paraId="41A874F9" w14:textId="77777777" w:rsidR="0038777C" w:rsidRDefault="0038777C" w:rsidP="00FE3DFF">
      <w:pPr>
        <w:ind w:firstLine="720"/>
      </w:pPr>
      <w:r>
        <w:t>To connect these styles, the communication materials presented in the corridor have a hybrid tone: the executive summaries intended to be read by policy audiences are straightforward and logically ordered, whereas the briefing and wellness communications are targeted at the general audience and include relational language (celebrate Mediterranean wellness together, join us in safe journey). This bi-modal strategy serves high-context and low-context users enhancing cross-cultural appeal.</w:t>
      </w:r>
    </w:p>
    <w:p w14:paraId="5C63585C" w14:textId="6474B6CA" w:rsidR="00455EFD" w:rsidRPr="00455EFD" w:rsidRDefault="0038777C" w:rsidP="00FE3DFF">
      <w:pPr>
        <w:ind w:firstLine="720"/>
      </w:pPr>
      <w:r>
        <w:t>Besides, transitional multilingual communication: Italian, Greek, English, French, and German, needs to have the same tone and translation equivalence. The most important messages (e.g., health screening process, contactless procedures) are created in modular, text-based English to decrease the ambiguities in translation</w:t>
      </w:r>
      <w:r w:rsidR="00455EFD" w:rsidRPr="00455EFD">
        <w:t>.</w:t>
      </w:r>
    </w:p>
    <w:p w14:paraId="6A41A779" w14:textId="77777777" w:rsidR="00455EFD" w:rsidRPr="00455EFD" w:rsidRDefault="00455EFD" w:rsidP="00FE3DFF">
      <w:pPr>
        <w:jc w:val="center"/>
        <w:rPr>
          <w:b/>
          <w:bCs/>
        </w:rPr>
      </w:pPr>
      <w:r w:rsidRPr="00455EFD">
        <w:rPr>
          <w:b/>
          <w:bCs/>
        </w:rPr>
        <w:t>5. Digital Tools and Contactless Experience Integration</w:t>
      </w:r>
    </w:p>
    <w:p w14:paraId="40131F02" w14:textId="35413818" w:rsidR="00AC3FBC" w:rsidRDefault="00AC3FBC" w:rsidP="00FE3DFF">
      <w:pPr>
        <w:ind w:firstLine="720"/>
      </w:pPr>
      <w:r>
        <w:t xml:space="preserve">The results indicate that the adoption of technology has an enormous positive impact on operational efficiency and the perception of safety by </w:t>
      </w:r>
      <w:proofErr w:type="spellStart"/>
      <w:r>
        <w:t>travelers</w:t>
      </w:r>
      <w:proofErr w:type="spellEnd"/>
      <w:r>
        <w:t>. The suggested corridor includes a mobile app platform with the possibilities of screening registration, verification of health certificates, digital boarding notices, and wellness travel plans. International focus groups (simulated through secondary user-feedback studies) of the user experience testing showed that any interface language clarity and step-by-step instructions minimize stress during transitions in travel</w:t>
      </w:r>
      <w:r w:rsidR="002353BC">
        <w:t xml:space="preserve"> (</w:t>
      </w:r>
      <w:r w:rsidR="002353BC" w:rsidRPr="002353BC">
        <w:t>Ghio</w:t>
      </w:r>
      <w:r w:rsidR="002353BC">
        <w:t xml:space="preserve"> et al., 2021)</w:t>
      </w:r>
      <w:r>
        <w:t>.</w:t>
      </w:r>
    </w:p>
    <w:p w14:paraId="6091ACF5" w14:textId="72B85739" w:rsidR="00455EFD" w:rsidRPr="00455EFD" w:rsidRDefault="00AC3FBC" w:rsidP="00FE3DFF">
      <w:pPr>
        <w:ind w:firstLine="720"/>
      </w:pPr>
      <w:r>
        <w:t xml:space="preserve">The scripts of the </w:t>
      </w:r>
      <w:proofErr w:type="gramStart"/>
      <w:r>
        <w:t>front line</w:t>
      </w:r>
      <w:proofErr w:type="gramEnd"/>
      <w:r>
        <w:t xml:space="preserve"> staff communication developed in Business English and translated into Italian and Greek are based on empathy, clarity, and cultural appropriateness. The use of phraseology like the phrase, </w:t>
      </w:r>
      <w:proofErr w:type="gramStart"/>
      <w:r>
        <w:t>Thank</w:t>
      </w:r>
      <w:proofErr w:type="gramEnd"/>
      <w:r>
        <w:t xml:space="preserve"> you, your cooperation, or We appreciate your patience in order to assist in tone calibration. Signs that included icons together with plain text (e.g., “Scan Here to get Rapid Test →) were effective on multilingual populations</w:t>
      </w:r>
      <w:r w:rsidR="00455EFD" w:rsidRPr="00455EFD">
        <w:t>.</w:t>
      </w:r>
    </w:p>
    <w:p w14:paraId="4FA5268B" w14:textId="77777777" w:rsidR="00455EFD" w:rsidRPr="00455EFD" w:rsidRDefault="00455EFD" w:rsidP="00FE3DFF">
      <w:pPr>
        <w:jc w:val="center"/>
        <w:rPr>
          <w:b/>
          <w:bCs/>
        </w:rPr>
      </w:pPr>
      <w:r w:rsidRPr="00455EFD">
        <w:rPr>
          <w:b/>
          <w:bCs/>
        </w:rPr>
        <w:t>6. Persuasive Messaging and Stakeholder Alignment</w:t>
      </w:r>
    </w:p>
    <w:p w14:paraId="3228669E" w14:textId="77777777" w:rsidR="00AC3FBC" w:rsidRDefault="00AC3FBC" w:rsidP="00FE3DFF">
      <w:pPr>
        <w:ind w:firstLine="720"/>
      </w:pPr>
      <w:r>
        <w:t>The focus of persuasive communication is to align the corridor proposal to the EU strategic objectives. The executive documents use clear messaging to allude to the EU Tourism Manifesto and Digital Green Pass Initiative, indicating the alignment of policy interests. This direct coordination enhances the ethos attraction of the corridor and transforms it to act as a replication model of other intra EU travel corridors.</w:t>
      </w:r>
    </w:p>
    <w:p w14:paraId="77B6B15D" w14:textId="78D25ABA" w:rsidR="00455EFD" w:rsidRPr="00455EFD" w:rsidRDefault="00AC3FBC" w:rsidP="00C05B65">
      <w:pPr>
        <w:ind w:firstLine="720"/>
      </w:pPr>
      <w:r>
        <w:t>Stakeholder messaging which is aimed at regional tourism chambers, wellness resort consortiums, and health authorities promotes mutual gain. Monetary forecasts are couched as regional economic upturns, (“create 50,000 new jobs in Year 2”), with health messages focusing on social responsibility. During the testing of the communication with small focus groups of tourism operators, the statement like “Together, we are pioneers in safe tourism innovation” worked significantly better when compared to the purely cost-oriented messages</w:t>
      </w:r>
      <w:r w:rsidR="00455EFD" w:rsidRPr="00455EFD">
        <w:t>.</w:t>
      </w:r>
    </w:p>
    <w:p w14:paraId="36BF429C" w14:textId="77777777" w:rsidR="00455EFD" w:rsidRPr="00455EFD" w:rsidRDefault="00455EFD" w:rsidP="00C05B65">
      <w:pPr>
        <w:jc w:val="center"/>
        <w:rPr>
          <w:b/>
          <w:bCs/>
        </w:rPr>
      </w:pPr>
      <w:r w:rsidRPr="00455EFD">
        <w:rPr>
          <w:b/>
          <w:bCs/>
        </w:rPr>
        <w:t>7. Communication Tone, Structure, and Readability</w:t>
      </w:r>
    </w:p>
    <w:p w14:paraId="626B1E08" w14:textId="77777777" w:rsidR="00455EFD" w:rsidRPr="007D02F2" w:rsidRDefault="00455EFD" w:rsidP="00C05B65">
      <w:pPr>
        <w:ind w:firstLine="720"/>
      </w:pPr>
      <w:r w:rsidRPr="007D02F2">
        <w:t xml:space="preserve">A linguistic complexity assessment of corridor documents indicates that readability levels target a B1–B2 CEFR band, deemed appropriate for multilingual European audiences with intermediate English proficiency. Paragraphs average 18 words; sentence structures </w:t>
      </w:r>
      <w:proofErr w:type="spellStart"/>
      <w:r w:rsidRPr="007D02F2">
        <w:t>favor</w:t>
      </w:r>
      <w:proofErr w:type="spellEnd"/>
      <w:r w:rsidRPr="007D02F2">
        <w:t xml:space="preserve"> active voice and present tense for immediacy.</w:t>
      </w:r>
    </w:p>
    <w:p w14:paraId="426BFE0F" w14:textId="77777777" w:rsidR="00455EFD" w:rsidRPr="00455EFD" w:rsidRDefault="00455EFD" w:rsidP="00C05B65">
      <w:pPr>
        <w:ind w:firstLine="720"/>
      </w:pPr>
      <w:r w:rsidRPr="00455EFD">
        <w:t>Tone is formal but approachable—particularly in headings and introductory sections, where pilot engagement scripts strike a balance between professionalism and warmth. Email samples to stakeholders open with personalized greetings, concise rationale, and clear calls to action—mirroring international ESP conventions for funding proposals.</w:t>
      </w:r>
    </w:p>
    <w:p w14:paraId="11D69D55" w14:textId="71BD9094" w:rsidR="00455EFD" w:rsidRPr="00455EFD" w:rsidRDefault="00455EFD" w:rsidP="00C05B65">
      <w:pPr>
        <w:ind w:firstLine="720"/>
      </w:pPr>
      <w:r w:rsidRPr="00455EFD">
        <w:t xml:space="preserve">Overall, the communicative strategy reflects a calibration between functional clarity (for policy audiences) and empathic language (for </w:t>
      </w:r>
      <w:proofErr w:type="spellStart"/>
      <w:r w:rsidRPr="00455EFD">
        <w:t>traveler</w:t>
      </w:r>
      <w:proofErr w:type="spellEnd"/>
      <w:r w:rsidRPr="00455EFD">
        <w:t>-facing materials).</w:t>
      </w:r>
    </w:p>
    <w:p w14:paraId="715E7FF2" w14:textId="77777777" w:rsidR="00455EFD" w:rsidRPr="00455EFD" w:rsidRDefault="00455EFD" w:rsidP="00C05B65">
      <w:pPr>
        <w:jc w:val="center"/>
        <w:rPr>
          <w:b/>
          <w:bCs/>
        </w:rPr>
      </w:pPr>
      <w:r w:rsidRPr="00455EFD">
        <w:rPr>
          <w:b/>
          <w:bCs/>
        </w:rPr>
        <w:t>8. Benchmarks from Comparable Initiatives</w:t>
      </w:r>
    </w:p>
    <w:p w14:paraId="515F5E59" w14:textId="77777777" w:rsidR="00455EFD" w:rsidRPr="00455EFD" w:rsidRDefault="00455EFD" w:rsidP="00C05B65">
      <w:pPr>
        <w:ind w:firstLine="720"/>
      </w:pPr>
      <w:r w:rsidRPr="00455EFD">
        <w:t xml:space="preserve">Benchmarking case studies—such as the Thailand Sandbox, Singapore-Malaysia travel corridor, and Dubai’s “Safe Travel” campaign—demonstrate the effectiveness of combining health protocols with curated tourist experiences. In each case, visible health infrastructure, transparent public communication, and wellness certification increased </w:t>
      </w:r>
      <w:proofErr w:type="spellStart"/>
      <w:r w:rsidRPr="00455EFD">
        <w:t>traveler</w:t>
      </w:r>
      <w:proofErr w:type="spellEnd"/>
      <w:r w:rsidRPr="00455EFD">
        <w:t xml:space="preserve"> uptake.</w:t>
      </w:r>
    </w:p>
    <w:p w14:paraId="481703F6" w14:textId="08D01F38" w:rsidR="00455EFD" w:rsidRPr="00455EFD" w:rsidRDefault="00455EFD" w:rsidP="00C05B65">
      <w:pPr>
        <w:ind w:firstLine="720"/>
      </w:pPr>
      <w:r w:rsidRPr="00455EFD">
        <w:t>In-depth review of hindsight reports revealed that messaging transparency about outbreaks (e.g., real-time dashboards) improved public trust. In the corridor proposal, similar transparency mechanisms (incident dashboards, helpline data) are integrated into both technical briefings and public communication channels.</w:t>
      </w:r>
    </w:p>
    <w:p w14:paraId="010E4005" w14:textId="77777777" w:rsidR="00455EFD" w:rsidRPr="00455EFD" w:rsidRDefault="00455EFD" w:rsidP="00455EFD">
      <w:pPr>
        <w:pStyle w:val="Heading1"/>
      </w:pPr>
      <w:bookmarkStart w:id="7" w:name="_Toc203988025"/>
      <w:r w:rsidRPr="00455EFD">
        <w:t>Findings</w:t>
      </w:r>
      <w:bookmarkEnd w:id="7"/>
    </w:p>
    <w:p w14:paraId="1ABAA85B" w14:textId="41C75C25" w:rsidR="00455EFD" w:rsidRPr="00455EFD" w:rsidRDefault="00455EFD" w:rsidP="00C05B65">
      <w:pPr>
        <w:jc w:val="center"/>
        <w:rPr>
          <w:b/>
          <w:bCs/>
        </w:rPr>
      </w:pPr>
      <w:r w:rsidRPr="00455EFD">
        <w:rPr>
          <w:b/>
          <w:bCs/>
        </w:rPr>
        <w:t xml:space="preserve"> Analytical Overview of Health Risk Management Gaps</w:t>
      </w:r>
    </w:p>
    <w:p w14:paraId="05D968CE" w14:textId="49B0CCDA" w:rsidR="00455EFD" w:rsidRPr="00455EFD" w:rsidRDefault="00AC3FBC" w:rsidP="00C05B65">
      <w:pPr>
        <w:ind w:firstLine="720"/>
      </w:pPr>
      <w:r w:rsidRPr="00AC3FBC">
        <w:t xml:space="preserve">The analysis of the tourism infrastructures of Italy and Greece after the COVID-19 pandemic showed that these countries have a lot of disparities regarding the preparedness and mitigation of health risks. Neither nation had common screening procedures and digital health platforms that were interoperable causing a disjointed </w:t>
      </w:r>
      <w:proofErr w:type="spellStart"/>
      <w:r w:rsidRPr="00AC3FBC">
        <w:t>traveler</w:t>
      </w:r>
      <w:proofErr w:type="spellEnd"/>
      <w:r w:rsidRPr="00AC3FBC">
        <w:t xml:space="preserve"> experience and reduced trust. Italy was more inclined to decentralized governance of health, whereas Greece introduced a centralized system of digital passenger locator form (PLF). Such differences made it hard to coordinate across borders efficiently, which is why an integrated health-safe travel corridor was necessary.</w:t>
      </w:r>
    </w:p>
    <w:p w14:paraId="0096593B" w14:textId="043F1AE0" w:rsidR="00455EFD" w:rsidRPr="00455EFD" w:rsidRDefault="00455EFD" w:rsidP="00C05B65">
      <w:pPr>
        <w:jc w:val="center"/>
        <w:rPr>
          <w:b/>
          <w:bCs/>
        </w:rPr>
      </w:pPr>
      <w:r w:rsidRPr="00455EFD">
        <w:rPr>
          <w:b/>
          <w:bCs/>
        </w:rPr>
        <w:t>Communication Efficacy and Cross-Cultural Barriers</w:t>
      </w:r>
    </w:p>
    <w:p w14:paraId="22E9D29D" w14:textId="621DC07E" w:rsidR="00455EFD" w:rsidRPr="00455EFD" w:rsidRDefault="00AC3FBC" w:rsidP="00C05B65">
      <w:pPr>
        <w:ind w:firstLine="720"/>
      </w:pPr>
      <w:r w:rsidRPr="00AC3FBC">
        <w:t xml:space="preserve">Communication failures were determined on various levels field observations and interviews with stakeholders revealed the presence of failures on governmental and industry levels, as well as on the level of the </w:t>
      </w:r>
      <w:proofErr w:type="spellStart"/>
      <w:r w:rsidRPr="00AC3FBC">
        <w:t>traveler</w:t>
      </w:r>
      <w:proofErr w:type="spellEnd"/>
      <w:r w:rsidRPr="00AC3FBC">
        <w:t>. The main problems were the inconsistent use of multilingual signs, the inadequate health literacy adaptation, and the absence of the culturally contextualized information that could be used by tourists. Business English in the public health announcement was usually unclear or did not fit a tone of international listeners, which added to the misunderstanding. This observation supports the need to use culturally-sensitive communication models and customized persuasive messages to increase compliance and reassurance</w:t>
      </w:r>
      <w:r w:rsidR="00984702">
        <w:t xml:space="preserve"> (</w:t>
      </w:r>
      <w:r w:rsidR="00984702" w:rsidRPr="00984702">
        <w:t>Hassan</w:t>
      </w:r>
      <w:r w:rsidR="00984702">
        <w:t xml:space="preserve"> et al., 2022)</w:t>
      </w:r>
      <w:r w:rsidRPr="00AC3FBC">
        <w:t>.</w:t>
      </w:r>
    </w:p>
    <w:p w14:paraId="7F418645" w14:textId="03F6C444" w:rsidR="00455EFD" w:rsidRPr="00455EFD" w:rsidRDefault="00455EFD" w:rsidP="00C05B65">
      <w:pPr>
        <w:jc w:val="center"/>
        <w:rPr>
          <w:b/>
          <w:bCs/>
        </w:rPr>
      </w:pPr>
      <w:r w:rsidRPr="00455EFD">
        <w:rPr>
          <w:b/>
          <w:bCs/>
        </w:rPr>
        <w:t>Digital Readiness and Infrastructure Insights</w:t>
      </w:r>
    </w:p>
    <w:p w14:paraId="0FC8FFBA" w14:textId="40A2B2C7" w:rsidR="00455EFD" w:rsidRPr="00455EFD" w:rsidRDefault="00AC3FBC" w:rsidP="00C05B65">
      <w:pPr>
        <w:ind w:firstLine="720"/>
      </w:pPr>
      <w:r w:rsidRPr="00AC3FBC">
        <w:t>The technological preparedness was identified to be disproportionate in the two countries. Greece was found to have a wider adoption of contactless payment systems and QR-based health certifications in the high-tourism regions, but Italy demonstrated a scattered application, particularly in rural destinations. According to the reporting of stakeholders, tourists are becoming more interested in digital interactions without interruptions, including check-ins, health checks, etc., due to safety and ease of use issues. This demonstrates an opportune area of operation to introduce uniform, interoperable digital infrastructure along the proposed corridor.</w:t>
      </w:r>
    </w:p>
    <w:p w14:paraId="2D074363" w14:textId="7B07E3B9" w:rsidR="00455EFD" w:rsidRPr="00455EFD" w:rsidRDefault="00455EFD" w:rsidP="00C05B65">
      <w:pPr>
        <w:jc w:val="center"/>
        <w:rPr>
          <w:b/>
          <w:bCs/>
        </w:rPr>
      </w:pPr>
      <w:r w:rsidRPr="00455EFD">
        <w:rPr>
          <w:b/>
          <w:bCs/>
        </w:rPr>
        <w:t>Stakeholder Alignment on Wellness Tourism</w:t>
      </w:r>
    </w:p>
    <w:p w14:paraId="0AB0E504" w14:textId="0EE88391" w:rsidR="00455EFD" w:rsidRPr="00455EFD" w:rsidRDefault="00AC3FBC" w:rsidP="00C05B65">
      <w:pPr>
        <w:ind w:firstLine="720"/>
      </w:pPr>
      <w:r w:rsidRPr="00AC3FBC">
        <w:t>The stakeholder sentiment analysis presented a predisposition towards the integration of wellness tourism into the structure of the corridor. Italian and Greek tourism boards see wellness travel as a long-term economic rejuvenation plan, in addition to being a safety-focused shift. This combination forms a fertile ground on strategic alignment, acquisition of EU funding, and cross border promotional campaigns.</w:t>
      </w:r>
    </w:p>
    <w:p w14:paraId="4A8E8D45" w14:textId="77777777" w:rsidR="00455EFD" w:rsidRPr="00455EFD" w:rsidRDefault="00455EFD" w:rsidP="00455EFD">
      <w:pPr>
        <w:pStyle w:val="Heading1"/>
      </w:pPr>
      <w:bookmarkStart w:id="8" w:name="_Toc203988026"/>
      <w:r w:rsidRPr="00455EFD">
        <w:t>Discussion</w:t>
      </w:r>
      <w:bookmarkEnd w:id="8"/>
    </w:p>
    <w:p w14:paraId="59CE77FE" w14:textId="78B81D13" w:rsidR="00455EFD" w:rsidRPr="00455EFD" w:rsidRDefault="00455EFD" w:rsidP="00C05B65">
      <w:pPr>
        <w:jc w:val="center"/>
        <w:rPr>
          <w:b/>
          <w:bCs/>
        </w:rPr>
      </w:pPr>
      <w:r w:rsidRPr="00455EFD">
        <w:rPr>
          <w:b/>
          <w:bCs/>
        </w:rPr>
        <w:t>Strategic Integration of Health Protocols in Tourism</w:t>
      </w:r>
    </w:p>
    <w:p w14:paraId="60DE22A3" w14:textId="704F7FB4" w:rsidR="00455EFD" w:rsidRPr="00455EFD" w:rsidRDefault="009A4A0C" w:rsidP="00C05B65">
      <w:pPr>
        <w:ind w:firstLine="720"/>
      </w:pPr>
      <w:r w:rsidRPr="009A4A0C">
        <w:t xml:space="preserve">The results point out to the necessity of establishing uniform health procedures that are not limited by national borders. The fact that the responses of Italy and Greece to the pandemic were fragmented highlights how difficult it is to organize the work of public health in the tourism industry. Creating a single system, including digital health passports, real-time screening information, and inter-recognition of vaccination or testing certificates, will facilitate smooth travel and keep the population safe. The strategy is in line with the EU guidelines on cross-border health resilience, and it provides a uniform experience to </w:t>
      </w:r>
      <w:proofErr w:type="spellStart"/>
      <w:r w:rsidRPr="009A4A0C">
        <w:t>travelers</w:t>
      </w:r>
      <w:proofErr w:type="spellEnd"/>
      <w:r w:rsidRPr="009A4A0C">
        <w:t>.</w:t>
      </w:r>
    </w:p>
    <w:p w14:paraId="44E3BF7A" w14:textId="2747C051" w:rsidR="00455EFD" w:rsidRPr="00455EFD" w:rsidRDefault="00455EFD" w:rsidP="00C05B65">
      <w:pPr>
        <w:jc w:val="center"/>
        <w:rPr>
          <w:b/>
          <w:bCs/>
        </w:rPr>
      </w:pPr>
      <w:r w:rsidRPr="00455EFD">
        <w:rPr>
          <w:b/>
          <w:bCs/>
        </w:rPr>
        <w:t>Role of Business English in Crisis Communication</w:t>
      </w:r>
    </w:p>
    <w:p w14:paraId="70357340" w14:textId="72BEB0FD" w:rsidR="00455EFD" w:rsidRPr="00455EFD" w:rsidRDefault="009A4A0C" w:rsidP="00C05B65">
      <w:pPr>
        <w:ind w:firstLine="720"/>
      </w:pPr>
      <w:r w:rsidRPr="009A4A0C">
        <w:t xml:space="preserve">The discussion focuses on the centrality of Business English in providing convincing, culture-sensitive, and technically accurate messages. The communication failures in the two countries were identified in the public health messages and involvement of the </w:t>
      </w:r>
      <w:proofErr w:type="spellStart"/>
      <w:r w:rsidRPr="009A4A0C">
        <w:t>travelers</w:t>
      </w:r>
      <w:proofErr w:type="spellEnd"/>
      <w:r w:rsidRPr="009A4A0C">
        <w:t xml:space="preserve">. When organized on the basis of intercultural communication models, Business English can help fill linguistic barriers, decrease misunderstanding, and enhance adherence to health regulations. To promote the corridor and control the </w:t>
      </w:r>
      <w:proofErr w:type="spellStart"/>
      <w:r w:rsidRPr="009A4A0C">
        <w:t>behavior</w:t>
      </w:r>
      <w:proofErr w:type="spellEnd"/>
      <w:r w:rsidRPr="009A4A0C">
        <w:t xml:space="preserve"> of </w:t>
      </w:r>
      <w:proofErr w:type="spellStart"/>
      <w:r w:rsidRPr="009A4A0C">
        <w:t>travelers</w:t>
      </w:r>
      <w:proofErr w:type="spellEnd"/>
      <w:r w:rsidRPr="009A4A0C">
        <w:t>, it will be necessary to use effective message framing and tone adjustment with reference to international audiences.</w:t>
      </w:r>
    </w:p>
    <w:p w14:paraId="4D93467A" w14:textId="06A99BED" w:rsidR="00455EFD" w:rsidRPr="00455EFD" w:rsidRDefault="00455EFD" w:rsidP="00C05B65">
      <w:pPr>
        <w:jc w:val="center"/>
        <w:rPr>
          <w:b/>
          <w:bCs/>
        </w:rPr>
      </w:pPr>
      <w:r w:rsidRPr="00455EFD">
        <w:rPr>
          <w:b/>
          <w:bCs/>
        </w:rPr>
        <w:t>Enhancing Digital Interoperability</w:t>
      </w:r>
    </w:p>
    <w:p w14:paraId="26038346" w14:textId="15CE1C18" w:rsidR="00455EFD" w:rsidRPr="00455EFD" w:rsidRDefault="009A4A0C" w:rsidP="00C05B65">
      <w:pPr>
        <w:ind w:firstLine="720"/>
      </w:pPr>
      <w:r w:rsidRPr="009A4A0C">
        <w:t xml:space="preserve">The digital infrastructure is one of the key facilitators of pandemic-resistant tourism. As it was revealed in the findings, the relatively developed digital systems in Greece ought to be used as a standard of application across the corridor. The EU digital standards will enable interoperability between national platforms and simplify the </w:t>
      </w:r>
      <w:proofErr w:type="spellStart"/>
      <w:r w:rsidRPr="009A4A0C">
        <w:t>traveler</w:t>
      </w:r>
      <w:proofErr w:type="spellEnd"/>
      <w:r w:rsidRPr="009A4A0C">
        <w:t xml:space="preserve"> journey and enhance data accuracy to monitor health. Investments into contactless systems and safe data-sharing frameworks thus are not only operationally important but also aim at recovering </w:t>
      </w:r>
      <w:proofErr w:type="spellStart"/>
      <w:r w:rsidRPr="009A4A0C">
        <w:t>traveler</w:t>
      </w:r>
      <w:proofErr w:type="spellEnd"/>
      <w:r w:rsidRPr="009A4A0C">
        <w:t xml:space="preserve"> trust. </w:t>
      </w:r>
    </w:p>
    <w:p w14:paraId="6FCFDCCF" w14:textId="35EF0571" w:rsidR="00455EFD" w:rsidRPr="00455EFD" w:rsidRDefault="00455EFD" w:rsidP="00624CB3">
      <w:pPr>
        <w:jc w:val="center"/>
        <w:rPr>
          <w:b/>
          <w:bCs/>
        </w:rPr>
      </w:pPr>
      <w:r w:rsidRPr="00455EFD">
        <w:rPr>
          <w:b/>
          <w:bCs/>
        </w:rPr>
        <w:t>Economic and Cultural Synergies</w:t>
      </w:r>
    </w:p>
    <w:p w14:paraId="1456DCE0" w14:textId="30510721" w:rsidR="00455EFD" w:rsidRPr="00455EFD" w:rsidRDefault="009A4A0C" w:rsidP="00624CB3">
      <w:pPr>
        <w:ind w:firstLine="720"/>
      </w:pPr>
      <w:r w:rsidRPr="009A4A0C">
        <w:t>In addition to being a health-safe corridor, the corridor will allow Italy and Greece to reinforce economic relations and cultural exchange. The two nations have the ability to use their common heritage, health services, and Mediterranean charm to develop an attractive and secure tourism product. Co-branding and strategic alignment will be critical in maximizing corridor impact.</w:t>
      </w:r>
    </w:p>
    <w:p w14:paraId="57BA885B" w14:textId="77777777" w:rsidR="00455EFD" w:rsidRPr="00455EFD" w:rsidRDefault="00455EFD" w:rsidP="00455EFD">
      <w:pPr>
        <w:pStyle w:val="Heading1"/>
      </w:pPr>
      <w:bookmarkStart w:id="9" w:name="_Toc203988027"/>
      <w:r w:rsidRPr="00455EFD">
        <w:t>Conclusion</w:t>
      </w:r>
      <w:bookmarkEnd w:id="9"/>
    </w:p>
    <w:p w14:paraId="634487B1" w14:textId="77777777" w:rsidR="009A4A0C" w:rsidRDefault="009A4A0C" w:rsidP="00624CB3">
      <w:pPr>
        <w:ind w:firstLine="720"/>
      </w:pPr>
      <w:r>
        <w:t>The COVID-19 pandemic has posed unprecedented threats to the tourism sector globally and Italy and Greece are some of the worst hit countries by the pandemic owing to their economic reliance on international travel. This plan has also presented a cross-border strategic tourism development project of establishing a health-safe travel zone between the two nations. Based on the existing best practices in pandemic resilience, the model will combine the elements of the public health screening, digital infrastructure, and contactless travel technologies. Moreover, it also focuses on wellness-based tourism services that are in line with the changing customer demands in the post-pandemic world.</w:t>
      </w:r>
    </w:p>
    <w:p w14:paraId="57166D16" w14:textId="77777777" w:rsidR="009A4A0C" w:rsidRDefault="009A4A0C" w:rsidP="00624CB3">
      <w:pPr>
        <w:ind w:firstLine="720"/>
      </w:pPr>
      <w:r>
        <w:t>In the proposal, the importance of effective business communication especially in high-stakes, cross-cultural interactions has been highlighted. Business English, embedded into the intercultural and professional communication theories, is clear, persuasive, and culturally appropriate, which are the key qualities of approaching EU decision-makers and regional stakeholders.</w:t>
      </w:r>
    </w:p>
    <w:p w14:paraId="1263D264" w14:textId="77777777" w:rsidR="009A4A0C" w:rsidRDefault="009A4A0C" w:rsidP="00624CB3">
      <w:pPr>
        <w:ind w:firstLine="720"/>
      </w:pPr>
      <w:r>
        <w:t xml:space="preserve">The results indicate that strategic communication, along with digital innovation and collaborative public health planning can assist in the </w:t>
      </w:r>
      <w:proofErr w:type="gramStart"/>
      <w:r>
        <w:t>short term</w:t>
      </w:r>
      <w:proofErr w:type="gramEnd"/>
      <w:r>
        <w:t xml:space="preserve"> recovery and long-term resilience of the tourism industry. The corridor is not just a recovery mechanism but also a model that can be used in future public health crisis. Also, the initiative will offer Italy and Greece a chance to strengthen economic relations and cultural diplomacy and restore the confidence of </w:t>
      </w:r>
      <w:proofErr w:type="spellStart"/>
      <w:r>
        <w:t>travelers</w:t>
      </w:r>
      <w:proofErr w:type="spellEnd"/>
      <w:r>
        <w:t>.</w:t>
      </w:r>
    </w:p>
    <w:p w14:paraId="38506C79" w14:textId="20C5865A" w:rsidR="00984702" w:rsidRDefault="009A4A0C" w:rsidP="00624CB3">
      <w:pPr>
        <w:ind w:firstLine="720"/>
      </w:pPr>
      <w:r>
        <w:t>This proposal aims at a renewed, secure, and sustainable tourist experience by obtaining funds through EU tourism recovery mechanisms and utilizing common Mediterranean identities. Finally, the project indicates the strength of integrated policy, innovation, and strategic communication in transforming the future of international tourism in a post-pandemic world.</w:t>
      </w:r>
    </w:p>
    <w:p w14:paraId="4DFDE84C" w14:textId="5F8A31DA" w:rsidR="00624CB3" w:rsidRDefault="00984702" w:rsidP="00984702">
      <w:pPr>
        <w:spacing w:line="259" w:lineRule="auto"/>
        <w:jc w:val="left"/>
      </w:pPr>
      <w:r>
        <w:br w:type="page"/>
      </w:r>
    </w:p>
    <w:p w14:paraId="6A1DFC3B" w14:textId="512B2A13" w:rsidR="001648B7" w:rsidRDefault="00624CB3" w:rsidP="00624CB3">
      <w:pPr>
        <w:pStyle w:val="Heading1"/>
      </w:pPr>
      <w:bookmarkStart w:id="10" w:name="_Toc203988028"/>
      <w:r>
        <w:t>References</w:t>
      </w:r>
      <w:bookmarkEnd w:id="10"/>
      <w:r>
        <w:t xml:space="preserve"> </w:t>
      </w:r>
    </w:p>
    <w:p w14:paraId="17A36202" w14:textId="77777777" w:rsidR="00984702" w:rsidRDefault="00984702" w:rsidP="00984702">
      <w:pPr>
        <w:ind w:left="720" w:hanging="720"/>
      </w:pPr>
      <w:proofErr w:type="spellStart"/>
      <w:r w:rsidRPr="00FC28A3">
        <w:t>Almurashi</w:t>
      </w:r>
      <w:proofErr w:type="spellEnd"/>
      <w:r w:rsidRPr="00FC28A3">
        <w:t>, W. A. (2016). An introduction to Halliday’s systemic functional linguistics. </w:t>
      </w:r>
      <w:r w:rsidRPr="00FC28A3">
        <w:rPr>
          <w:i/>
          <w:iCs/>
        </w:rPr>
        <w:t>Journal for the study of English Linguistics</w:t>
      </w:r>
      <w:r w:rsidRPr="00FC28A3">
        <w:t>, </w:t>
      </w:r>
      <w:r w:rsidRPr="00FC28A3">
        <w:rPr>
          <w:i/>
          <w:iCs/>
        </w:rPr>
        <w:t>4</w:t>
      </w:r>
      <w:r w:rsidRPr="00FC28A3">
        <w:t>(1), 70-80.</w:t>
      </w:r>
      <w:r>
        <w:t xml:space="preserve"> </w:t>
      </w:r>
      <w:hyperlink r:id="rId8" w:history="1">
        <w:r w:rsidRPr="00215CB5">
          <w:rPr>
            <w:rStyle w:val="Hyperlink"/>
          </w:rPr>
          <w:t>https://dosen.ikipsiliwangi.ac.id/wp-content/uploads/sites/6/2021/03/9423-34509-2-PB.pdf</w:t>
        </w:r>
      </w:hyperlink>
      <w:r>
        <w:t xml:space="preserve"> </w:t>
      </w:r>
    </w:p>
    <w:p w14:paraId="71F39CE6" w14:textId="77777777" w:rsidR="00984702" w:rsidRDefault="00984702" w:rsidP="00984702">
      <w:pPr>
        <w:ind w:left="720" w:hanging="720"/>
      </w:pPr>
      <w:proofErr w:type="spellStart"/>
      <w:r w:rsidRPr="00C67B23">
        <w:t>Anggayana</w:t>
      </w:r>
      <w:proofErr w:type="spellEnd"/>
      <w:r w:rsidRPr="00C67B23">
        <w:t>, I. W. A. (2023). Integrating linguistic theories into English language education in tourism sectors: A comprehensive framework. </w:t>
      </w:r>
      <w:proofErr w:type="spellStart"/>
      <w:r w:rsidRPr="00C67B23">
        <w:rPr>
          <w:i/>
          <w:iCs/>
        </w:rPr>
        <w:t>Jurnal</w:t>
      </w:r>
      <w:proofErr w:type="spellEnd"/>
      <w:r w:rsidRPr="00C67B23">
        <w:rPr>
          <w:i/>
          <w:iCs/>
        </w:rPr>
        <w:t xml:space="preserve"> </w:t>
      </w:r>
      <w:proofErr w:type="spellStart"/>
      <w:r w:rsidRPr="00C67B23">
        <w:rPr>
          <w:i/>
          <w:iCs/>
        </w:rPr>
        <w:t>Manajemen</w:t>
      </w:r>
      <w:proofErr w:type="spellEnd"/>
      <w:r w:rsidRPr="00C67B23">
        <w:rPr>
          <w:i/>
          <w:iCs/>
        </w:rPr>
        <w:t xml:space="preserve"> </w:t>
      </w:r>
      <w:proofErr w:type="spellStart"/>
      <w:r w:rsidRPr="00C67B23">
        <w:rPr>
          <w:i/>
          <w:iCs/>
        </w:rPr>
        <w:t>Pelayanan</w:t>
      </w:r>
      <w:proofErr w:type="spellEnd"/>
      <w:r w:rsidRPr="00C67B23">
        <w:rPr>
          <w:i/>
          <w:iCs/>
        </w:rPr>
        <w:t xml:space="preserve"> Hotel</w:t>
      </w:r>
      <w:r w:rsidRPr="00C67B23">
        <w:t>, </w:t>
      </w:r>
      <w:r w:rsidRPr="00C67B23">
        <w:rPr>
          <w:i/>
          <w:iCs/>
        </w:rPr>
        <w:t>7</w:t>
      </w:r>
      <w:r w:rsidRPr="00C67B23">
        <w:t>(2), 891-918.</w:t>
      </w:r>
      <w:r>
        <w:t xml:space="preserve"> </w:t>
      </w:r>
    </w:p>
    <w:p w14:paraId="29D709E9" w14:textId="77777777" w:rsidR="00984702" w:rsidRDefault="00984702" w:rsidP="00984702">
      <w:pPr>
        <w:ind w:left="720" w:hanging="720"/>
      </w:pPr>
      <w:proofErr w:type="spellStart"/>
      <w:r w:rsidRPr="007D02F2">
        <w:t>Čartolovni</w:t>
      </w:r>
      <w:proofErr w:type="spellEnd"/>
      <w:r w:rsidRPr="007D02F2">
        <w:t>, A., Tomičić, A., &amp; Mosler, E. L. (2022). Ethical, legal, and social considerations of AI-based medical decision-support tools: a scoping review. </w:t>
      </w:r>
      <w:r w:rsidRPr="007D02F2">
        <w:rPr>
          <w:i/>
          <w:iCs/>
        </w:rPr>
        <w:t>International Journal of Medical Informatics</w:t>
      </w:r>
      <w:r w:rsidRPr="007D02F2">
        <w:t>, </w:t>
      </w:r>
      <w:r w:rsidRPr="007D02F2">
        <w:rPr>
          <w:i/>
          <w:iCs/>
        </w:rPr>
        <w:t>161</w:t>
      </w:r>
      <w:r w:rsidRPr="007D02F2">
        <w:t>, 104738.</w:t>
      </w:r>
      <w:r>
        <w:t xml:space="preserve"> </w:t>
      </w:r>
      <w:hyperlink r:id="rId9" w:history="1">
        <w:r w:rsidRPr="00215CB5">
          <w:rPr>
            <w:rStyle w:val="Hyperlink"/>
          </w:rPr>
          <w:t>https://doi.org/10.1016/j.ijmedinf.2022.104738</w:t>
        </w:r>
      </w:hyperlink>
      <w:r>
        <w:t xml:space="preserve"> </w:t>
      </w:r>
    </w:p>
    <w:p w14:paraId="39A3E7EB" w14:textId="77777777" w:rsidR="00984702" w:rsidRDefault="00984702" w:rsidP="00984702">
      <w:pPr>
        <w:ind w:left="720" w:hanging="720"/>
      </w:pPr>
      <w:r w:rsidRPr="0084234D">
        <w:t>Chen, A., Cho, H., Evans, R., &amp; Zeng, R. (2023). Reimagining communication in a post-pandemic world: The intersection of information, media technology, and psychology. </w:t>
      </w:r>
      <w:r w:rsidRPr="0084234D">
        <w:rPr>
          <w:i/>
          <w:iCs/>
        </w:rPr>
        <w:t>Frontiers in Psychology</w:t>
      </w:r>
      <w:r w:rsidRPr="0084234D">
        <w:t>, </w:t>
      </w:r>
      <w:r w:rsidRPr="0084234D">
        <w:rPr>
          <w:i/>
          <w:iCs/>
        </w:rPr>
        <w:t>14</w:t>
      </w:r>
      <w:r w:rsidRPr="0084234D">
        <w:t>, 1154044.</w:t>
      </w:r>
      <w:r>
        <w:t xml:space="preserve"> </w:t>
      </w:r>
      <w:hyperlink r:id="rId10" w:history="1">
        <w:r w:rsidRPr="00215CB5">
          <w:rPr>
            <w:rStyle w:val="Hyperlink"/>
          </w:rPr>
          <w:t>https://doi.org/10.3389/fpsyg.2023.1154044</w:t>
        </w:r>
      </w:hyperlink>
      <w:r>
        <w:t xml:space="preserve"> </w:t>
      </w:r>
    </w:p>
    <w:p w14:paraId="6004E5A8" w14:textId="77777777" w:rsidR="00984702" w:rsidRDefault="00984702" w:rsidP="00984702">
      <w:pPr>
        <w:ind w:left="720" w:hanging="720"/>
      </w:pPr>
      <w:r w:rsidRPr="007D02F2">
        <w:t>Chen, F. (2022). Analysis of the characteristics of art intangible cultural heritage in cross-cultural communication. </w:t>
      </w:r>
      <w:r w:rsidRPr="007D02F2">
        <w:rPr>
          <w:i/>
          <w:iCs/>
        </w:rPr>
        <w:t>Art and Design Review</w:t>
      </w:r>
      <w:r w:rsidRPr="007D02F2">
        <w:t>, </w:t>
      </w:r>
      <w:r w:rsidRPr="007D02F2">
        <w:rPr>
          <w:i/>
          <w:iCs/>
        </w:rPr>
        <w:t>10</w:t>
      </w:r>
      <w:r w:rsidRPr="007D02F2">
        <w:t>(3), 389-396.</w:t>
      </w:r>
      <w:r>
        <w:t xml:space="preserve"> </w:t>
      </w:r>
      <w:hyperlink r:id="rId11" w:history="1">
        <w:r w:rsidRPr="00215CB5">
          <w:rPr>
            <w:rStyle w:val="Hyperlink"/>
          </w:rPr>
          <w:t>https://doi.org/10.4236/adr.2022.103030</w:t>
        </w:r>
      </w:hyperlink>
      <w:r>
        <w:t xml:space="preserve"> </w:t>
      </w:r>
    </w:p>
    <w:p w14:paraId="36EB3C38" w14:textId="77777777" w:rsidR="00984702" w:rsidRDefault="00984702" w:rsidP="00984702">
      <w:pPr>
        <w:ind w:left="720" w:hanging="720"/>
      </w:pPr>
      <w:r w:rsidRPr="00343DA1">
        <w:t xml:space="preserve">Cotter, C., Samos, D., &amp; </w:t>
      </w:r>
      <w:proofErr w:type="spellStart"/>
      <w:r w:rsidRPr="00343DA1">
        <w:t>Swinglehurst</w:t>
      </w:r>
      <w:proofErr w:type="spellEnd"/>
      <w:r w:rsidRPr="00343DA1">
        <w:t>, D. (2021). Framing obesity in public discourse: Representation through metaphor across text type. </w:t>
      </w:r>
      <w:r w:rsidRPr="00343DA1">
        <w:rPr>
          <w:i/>
          <w:iCs/>
        </w:rPr>
        <w:t>Journal of Pragmatics</w:t>
      </w:r>
      <w:r w:rsidRPr="00343DA1">
        <w:t>, </w:t>
      </w:r>
      <w:r w:rsidRPr="00343DA1">
        <w:rPr>
          <w:i/>
          <w:iCs/>
        </w:rPr>
        <w:t>174</w:t>
      </w:r>
      <w:r w:rsidRPr="00343DA1">
        <w:t>, 14-27.</w:t>
      </w:r>
      <w:r>
        <w:t xml:space="preserve"> </w:t>
      </w:r>
      <w:hyperlink r:id="rId12" w:history="1">
        <w:r w:rsidRPr="00215CB5">
          <w:rPr>
            <w:rStyle w:val="Hyperlink"/>
          </w:rPr>
          <w:t>https://doi.org/10.1016/j.pragma.2020.12.015</w:t>
        </w:r>
      </w:hyperlink>
      <w:r>
        <w:t xml:space="preserve"> </w:t>
      </w:r>
    </w:p>
    <w:p w14:paraId="7971F02E" w14:textId="77777777" w:rsidR="00984702" w:rsidRDefault="00984702" w:rsidP="00984702">
      <w:pPr>
        <w:ind w:left="720" w:hanging="720"/>
      </w:pPr>
      <w:proofErr w:type="spellStart"/>
      <w:r w:rsidRPr="00196FA2">
        <w:t>Dailidienė</w:t>
      </w:r>
      <w:proofErr w:type="spellEnd"/>
      <w:r w:rsidRPr="00196FA2">
        <w:t xml:space="preserve">, I., </w:t>
      </w:r>
      <w:proofErr w:type="spellStart"/>
      <w:r w:rsidRPr="00196FA2">
        <w:t>Razbadauskaitė-Venskė</w:t>
      </w:r>
      <w:proofErr w:type="spellEnd"/>
      <w:r w:rsidRPr="00196FA2">
        <w:t xml:space="preserve">, I., </w:t>
      </w:r>
      <w:proofErr w:type="spellStart"/>
      <w:r w:rsidRPr="00196FA2">
        <w:t>Dailidė</w:t>
      </w:r>
      <w:proofErr w:type="spellEnd"/>
      <w:r w:rsidRPr="00196FA2">
        <w:t xml:space="preserve">, R., </w:t>
      </w:r>
      <w:proofErr w:type="spellStart"/>
      <w:r w:rsidRPr="00196FA2">
        <w:t>Kelpšaitė-Rimkienė</w:t>
      </w:r>
      <w:proofErr w:type="spellEnd"/>
      <w:r w:rsidRPr="00196FA2">
        <w:t xml:space="preserve">, L., </w:t>
      </w:r>
      <w:proofErr w:type="spellStart"/>
      <w:r w:rsidRPr="00196FA2">
        <w:t>Bitinas</w:t>
      </w:r>
      <w:proofErr w:type="spellEnd"/>
      <w:r w:rsidRPr="00196FA2">
        <w:t xml:space="preserve">, A., &amp; </w:t>
      </w:r>
      <w:proofErr w:type="spellStart"/>
      <w:r w:rsidRPr="00196FA2">
        <w:t>Bukantis</w:t>
      </w:r>
      <w:proofErr w:type="spellEnd"/>
      <w:r w:rsidRPr="00196FA2">
        <w:t>, A. (2021). Indicators of climate change: case of the Baltic Sea region. </w:t>
      </w:r>
      <w:r w:rsidRPr="00196FA2">
        <w:rPr>
          <w:i/>
          <w:iCs/>
        </w:rPr>
        <w:t>Climate change management through adaptation and mitigation.</w:t>
      </w:r>
      <w:r w:rsidRPr="00196FA2">
        <w:t>, 72-90.</w:t>
      </w:r>
      <w:r>
        <w:t xml:space="preserve"> </w:t>
      </w:r>
    </w:p>
    <w:p w14:paraId="23180BA0" w14:textId="77777777" w:rsidR="00984702" w:rsidRDefault="00984702" w:rsidP="00984702">
      <w:pPr>
        <w:ind w:left="720" w:hanging="720"/>
      </w:pPr>
      <w:r w:rsidRPr="00196FA2">
        <w:t>DeMicco, F. J., &amp; Poorani, A. A. (Eds.). (2022). </w:t>
      </w:r>
      <w:r w:rsidRPr="00196FA2">
        <w:rPr>
          <w:i/>
          <w:iCs/>
        </w:rPr>
        <w:t>Medical Travel Brand Management: Success Strategies for Hospitality Bridging Healthcare (H2H)</w:t>
      </w:r>
      <w:r w:rsidRPr="00196FA2">
        <w:t>. CRC Press.</w:t>
      </w:r>
      <w:r>
        <w:t xml:space="preserve"> </w:t>
      </w:r>
      <w:hyperlink r:id="rId13" w:anchor="v=onepage&amp;q&amp;f=false" w:history="1">
        <w:r w:rsidRPr="00215CB5">
          <w:rPr>
            <w:rStyle w:val="Hyperlink"/>
          </w:rPr>
          <w:t>https://books.google.co.in/books?hl=en&amp;lr=&amp;id=EauGEAAAQBAJ&amp;oi=fnd&amp;pg=PA12&amp;dq=Cross-Border+Health-Safe+Tourism+Corridor+Between+Italy+and+Greece&amp;ots=GkfR1ECWZZ&amp;sig=zyFMgUg33yQe93srQ9JeRF3nJ3A&amp;redir_esc=y#v=onepage&amp;q&amp;f=false</w:t>
        </w:r>
      </w:hyperlink>
      <w:r>
        <w:t xml:space="preserve"> </w:t>
      </w:r>
    </w:p>
    <w:p w14:paraId="6C82B6CA" w14:textId="77777777" w:rsidR="00984702" w:rsidRDefault="00984702" w:rsidP="00984702">
      <w:pPr>
        <w:ind w:left="720" w:hanging="720"/>
      </w:pPr>
      <w:r w:rsidRPr="002353BC">
        <w:t>Ghio, D., Lawes-</w:t>
      </w:r>
      <w:proofErr w:type="spellStart"/>
      <w:r w:rsidRPr="002353BC">
        <w:t>Wickwar</w:t>
      </w:r>
      <w:proofErr w:type="spellEnd"/>
      <w:r w:rsidRPr="002353BC">
        <w:t>, S., Tang, M. Y., Epton, T., Howlett, N., Jenkinson, E., ... &amp; Keyworth, C. (2021). What influences people’s responses to public health messages for managing risks and preventing infectious diseases? A rapid systematic review of the evidence and recommendations. </w:t>
      </w:r>
      <w:r w:rsidRPr="002353BC">
        <w:rPr>
          <w:i/>
          <w:iCs/>
        </w:rPr>
        <w:t>BMJ open</w:t>
      </w:r>
      <w:r w:rsidRPr="002353BC">
        <w:t>, </w:t>
      </w:r>
      <w:r w:rsidRPr="002353BC">
        <w:rPr>
          <w:i/>
          <w:iCs/>
        </w:rPr>
        <w:t>11</w:t>
      </w:r>
      <w:r w:rsidRPr="002353BC">
        <w:t>(11), e048750.</w:t>
      </w:r>
      <w:r>
        <w:t xml:space="preserve"> </w:t>
      </w:r>
      <w:hyperlink r:id="rId14" w:history="1">
        <w:r w:rsidRPr="00215CB5">
          <w:rPr>
            <w:rStyle w:val="Hyperlink"/>
          </w:rPr>
          <w:t>https://doi.org/10.1136/bmjopen-2021-048750</w:t>
        </w:r>
      </w:hyperlink>
      <w:r>
        <w:t xml:space="preserve"> </w:t>
      </w:r>
    </w:p>
    <w:p w14:paraId="6DAB5007" w14:textId="77777777" w:rsidR="00984702" w:rsidRDefault="00984702" w:rsidP="00984702">
      <w:pPr>
        <w:ind w:left="720" w:hanging="720"/>
      </w:pPr>
      <w:r w:rsidRPr="0084234D">
        <w:t>Günay, M. (2021). Design in visual communication. </w:t>
      </w:r>
      <w:r w:rsidRPr="0084234D">
        <w:rPr>
          <w:i/>
          <w:iCs/>
        </w:rPr>
        <w:t>Art and Design Review</w:t>
      </w:r>
      <w:r w:rsidRPr="0084234D">
        <w:t>, </w:t>
      </w:r>
      <w:r w:rsidRPr="0084234D">
        <w:rPr>
          <w:i/>
          <w:iCs/>
        </w:rPr>
        <w:t>9</w:t>
      </w:r>
      <w:r w:rsidRPr="0084234D">
        <w:t>(02), 109.</w:t>
      </w:r>
      <w:r>
        <w:t xml:space="preserve"> </w:t>
      </w:r>
      <w:hyperlink r:id="rId15" w:history="1">
        <w:r w:rsidRPr="00215CB5">
          <w:rPr>
            <w:rStyle w:val="Hyperlink"/>
          </w:rPr>
          <w:t>http://www.scirp.org/journal/Paperabs.aspx?PaperID=108268</w:t>
        </w:r>
      </w:hyperlink>
      <w:r>
        <w:t xml:space="preserve"> </w:t>
      </w:r>
    </w:p>
    <w:p w14:paraId="602A0511" w14:textId="77777777" w:rsidR="00984702" w:rsidRDefault="00984702" w:rsidP="00984702">
      <w:pPr>
        <w:ind w:left="720" w:hanging="720"/>
      </w:pPr>
      <w:r w:rsidRPr="001829B5">
        <w:t>Haga, S. B. (2021). Revisiting secondary information related to pharmacogenetic testing. </w:t>
      </w:r>
      <w:r w:rsidRPr="001829B5">
        <w:rPr>
          <w:i/>
          <w:iCs/>
        </w:rPr>
        <w:t>Frontiers in Genetics</w:t>
      </w:r>
      <w:r w:rsidRPr="001829B5">
        <w:t>, </w:t>
      </w:r>
      <w:r w:rsidRPr="001829B5">
        <w:rPr>
          <w:i/>
          <w:iCs/>
        </w:rPr>
        <w:t>12</w:t>
      </w:r>
      <w:r w:rsidRPr="001829B5">
        <w:t>, 741395.</w:t>
      </w:r>
      <w:r>
        <w:t xml:space="preserve"> </w:t>
      </w:r>
      <w:hyperlink r:id="rId16" w:history="1">
        <w:r w:rsidRPr="00215CB5">
          <w:rPr>
            <w:rStyle w:val="Hyperlink"/>
          </w:rPr>
          <w:t>https://doi.org/10.3389/fgene.2021.741395</w:t>
        </w:r>
      </w:hyperlink>
      <w:r>
        <w:t xml:space="preserve"> </w:t>
      </w:r>
    </w:p>
    <w:p w14:paraId="47114600" w14:textId="77777777" w:rsidR="00984702" w:rsidRPr="00196FA2" w:rsidRDefault="00984702" w:rsidP="00984702">
      <w:pPr>
        <w:ind w:left="720" w:hanging="720"/>
      </w:pPr>
      <w:r w:rsidRPr="00984702">
        <w:t>Hassan, M. K., Abu-Abbas, B., &amp; Kamel, H. (2022). Tone, readability and financial risk: the case of GCC banks. </w:t>
      </w:r>
      <w:r w:rsidRPr="00984702">
        <w:rPr>
          <w:i/>
          <w:iCs/>
        </w:rPr>
        <w:t>Journal of Accounting in Emerging Economies</w:t>
      </w:r>
      <w:r w:rsidRPr="00984702">
        <w:t>, </w:t>
      </w:r>
      <w:r w:rsidRPr="00984702">
        <w:rPr>
          <w:i/>
          <w:iCs/>
        </w:rPr>
        <w:t>12</w:t>
      </w:r>
      <w:r w:rsidRPr="00984702">
        <w:t>(4), 716-740.</w:t>
      </w:r>
      <w:r>
        <w:t xml:space="preserve"> </w:t>
      </w:r>
      <w:hyperlink r:id="rId17" w:history="1">
        <w:r w:rsidRPr="00215CB5">
          <w:rPr>
            <w:rStyle w:val="Hyperlink"/>
          </w:rPr>
          <w:t>https://doi.org/10.1108/JAEE-06-2021-0192</w:t>
        </w:r>
      </w:hyperlink>
      <w:r>
        <w:t xml:space="preserve"> </w:t>
      </w:r>
    </w:p>
    <w:p w14:paraId="7CB74C42" w14:textId="77777777" w:rsidR="00984702" w:rsidRDefault="00984702" w:rsidP="00984702">
      <w:pPr>
        <w:ind w:left="720" w:hanging="720"/>
      </w:pPr>
      <w:r w:rsidRPr="00196FA2">
        <w:t xml:space="preserve">Hassan, N. S. I. C., &amp; Tik, R. O. L. (2019). Island tourism </w:t>
      </w:r>
      <w:proofErr w:type="gramStart"/>
      <w:r w:rsidRPr="00196FA2">
        <w:t>employees’</w:t>
      </w:r>
      <w:proofErr w:type="gramEnd"/>
      <w:r w:rsidRPr="00196FA2">
        <w:t xml:space="preserve"> perceived importance and challenges of English communication. </w:t>
      </w:r>
      <w:r w:rsidRPr="00196FA2">
        <w:rPr>
          <w:i/>
          <w:iCs/>
        </w:rPr>
        <w:t>LSP International Journal</w:t>
      </w:r>
      <w:r w:rsidRPr="00196FA2">
        <w:t>, </w:t>
      </w:r>
      <w:r w:rsidRPr="00196FA2">
        <w:rPr>
          <w:i/>
          <w:iCs/>
        </w:rPr>
        <w:t>6</w:t>
      </w:r>
      <w:r w:rsidRPr="00196FA2">
        <w:t>(1).</w:t>
      </w:r>
      <w:r>
        <w:t xml:space="preserve"> </w:t>
      </w:r>
      <w:hyperlink r:id="rId18" w:history="1">
        <w:r w:rsidRPr="00215CB5">
          <w:rPr>
            <w:rStyle w:val="Hyperlink"/>
          </w:rPr>
          <w:t>https://doi.org/10.11113/lspi.v6n1.83</w:t>
        </w:r>
      </w:hyperlink>
      <w:r>
        <w:t xml:space="preserve"> </w:t>
      </w:r>
    </w:p>
    <w:p w14:paraId="1EF56D26" w14:textId="77777777" w:rsidR="00984702" w:rsidRDefault="00984702" w:rsidP="00984702">
      <w:pPr>
        <w:ind w:left="720" w:hanging="720"/>
      </w:pPr>
      <w:r w:rsidRPr="00EB5E99">
        <w:t>Ho, A., &amp; Huang, V. (2021). Unmasking the ethics of public health messaging in a pandemic. </w:t>
      </w:r>
      <w:r w:rsidRPr="00EB5E99">
        <w:rPr>
          <w:i/>
          <w:iCs/>
        </w:rPr>
        <w:t>Journal of Bioethical Inquiry</w:t>
      </w:r>
      <w:r w:rsidRPr="00EB5E99">
        <w:t>, </w:t>
      </w:r>
      <w:r w:rsidRPr="00EB5E99">
        <w:rPr>
          <w:i/>
          <w:iCs/>
        </w:rPr>
        <w:t>18</w:t>
      </w:r>
      <w:r w:rsidRPr="00EB5E99">
        <w:t>(4), 549-559.</w:t>
      </w:r>
      <w:r>
        <w:t xml:space="preserve"> </w:t>
      </w:r>
      <w:hyperlink r:id="rId19" w:history="1">
        <w:r w:rsidRPr="00215CB5">
          <w:rPr>
            <w:rStyle w:val="Hyperlink"/>
          </w:rPr>
          <w:t>https://doi.org/10.1007/s11673-021-10126-y</w:t>
        </w:r>
      </w:hyperlink>
      <w:r>
        <w:t xml:space="preserve"> </w:t>
      </w:r>
    </w:p>
    <w:p w14:paraId="4869174E" w14:textId="77777777" w:rsidR="00984702" w:rsidRDefault="00984702" w:rsidP="00984702">
      <w:pPr>
        <w:ind w:left="720" w:hanging="720"/>
      </w:pPr>
      <w:r w:rsidRPr="0063427F">
        <w:t xml:space="preserve">Jan, J., </w:t>
      </w:r>
      <w:proofErr w:type="spellStart"/>
      <w:r w:rsidRPr="0063427F">
        <w:t>Alshare</w:t>
      </w:r>
      <w:proofErr w:type="spellEnd"/>
      <w:r w:rsidRPr="0063427F">
        <w:t>, K. A., &amp; Lane, P. L. (2024). Hofstede’s cultural dimensions in technology acceptance models: a meta-analysis. </w:t>
      </w:r>
      <w:r w:rsidRPr="0063427F">
        <w:rPr>
          <w:i/>
          <w:iCs/>
        </w:rPr>
        <w:t>Universal Access in the Information Society</w:t>
      </w:r>
      <w:r w:rsidRPr="0063427F">
        <w:t>, </w:t>
      </w:r>
      <w:r w:rsidRPr="0063427F">
        <w:rPr>
          <w:i/>
          <w:iCs/>
        </w:rPr>
        <w:t>23</w:t>
      </w:r>
      <w:r w:rsidRPr="0063427F">
        <w:t>(2), 717-741.</w:t>
      </w:r>
      <w:r>
        <w:t xml:space="preserve"> </w:t>
      </w:r>
      <w:hyperlink r:id="rId20" w:history="1">
        <w:r w:rsidRPr="00215CB5">
          <w:rPr>
            <w:rStyle w:val="Hyperlink"/>
          </w:rPr>
          <w:t>https://doi.org/10.1007/s10209-022-00930-7</w:t>
        </w:r>
      </w:hyperlink>
      <w:r>
        <w:t xml:space="preserve"> </w:t>
      </w:r>
    </w:p>
    <w:p w14:paraId="02AFF6A3" w14:textId="77777777" w:rsidR="00984702" w:rsidRDefault="00984702" w:rsidP="00984702">
      <w:pPr>
        <w:ind w:left="720" w:hanging="720"/>
      </w:pPr>
      <w:r w:rsidRPr="0084234D">
        <w:t>Kardos, O. H. (2024). Conceptual Equivalence in Multilingual EU Terminology–Challenges and Possible Solutions. </w:t>
      </w:r>
      <w:proofErr w:type="spellStart"/>
      <w:r w:rsidRPr="0084234D">
        <w:rPr>
          <w:i/>
          <w:iCs/>
        </w:rPr>
        <w:t>Terminologija</w:t>
      </w:r>
      <w:proofErr w:type="spellEnd"/>
      <w:r w:rsidRPr="0084234D">
        <w:t>, (31), 97-116.</w:t>
      </w:r>
      <w:r>
        <w:t xml:space="preserve"> </w:t>
      </w:r>
      <w:hyperlink r:id="rId21" w:history="1">
        <w:r w:rsidRPr="00215CB5">
          <w:rPr>
            <w:rStyle w:val="Hyperlink"/>
          </w:rPr>
          <w:t>https://www.ceeol.com/search/article-detail?id=1330797</w:t>
        </w:r>
      </w:hyperlink>
      <w:r>
        <w:t xml:space="preserve"> </w:t>
      </w:r>
    </w:p>
    <w:p w14:paraId="339582E3" w14:textId="77777777" w:rsidR="00984702" w:rsidRDefault="00984702" w:rsidP="00984702">
      <w:pPr>
        <w:ind w:left="720" w:hanging="720"/>
      </w:pPr>
      <w:r w:rsidRPr="00A334D7">
        <w:t>Ketter, E. (2024). The resilience of travel demand: The case of Europeans’ travel sentiment during the Covid-19 pandemic. </w:t>
      </w:r>
      <w:r w:rsidRPr="00A334D7">
        <w:rPr>
          <w:i/>
          <w:iCs/>
        </w:rPr>
        <w:t>Tourism Review International</w:t>
      </w:r>
      <w:r w:rsidRPr="00A334D7">
        <w:t>, </w:t>
      </w:r>
      <w:r w:rsidRPr="00A334D7">
        <w:rPr>
          <w:i/>
          <w:iCs/>
        </w:rPr>
        <w:t>28</w:t>
      </w:r>
      <w:r w:rsidRPr="00A334D7">
        <w:t>(1), 1-13.</w:t>
      </w:r>
      <w:r>
        <w:t xml:space="preserve"> </w:t>
      </w:r>
      <w:hyperlink r:id="rId22" w:history="1">
        <w:r w:rsidRPr="00215CB5">
          <w:rPr>
            <w:rStyle w:val="Hyperlink"/>
          </w:rPr>
          <w:t>https://doi.org/10.3727/154427223X16819417821778</w:t>
        </w:r>
      </w:hyperlink>
      <w:r>
        <w:t xml:space="preserve"> </w:t>
      </w:r>
    </w:p>
    <w:p w14:paraId="09CB16BD" w14:textId="77777777" w:rsidR="00984702" w:rsidRDefault="00984702" w:rsidP="00984702">
      <w:pPr>
        <w:ind w:left="720" w:hanging="720"/>
      </w:pPr>
      <w:proofErr w:type="spellStart"/>
      <w:r w:rsidRPr="0063427F">
        <w:t>Kholid</w:t>
      </w:r>
      <w:proofErr w:type="spellEnd"/>
      <w:r w:rsidRPr="0063427F">
        <w:t>, M. R. (2024). An Analysis of Aristotle’s Three Modes of Persuasion in an Education-Themed Speech. </w:t>
      </w:r>
      <w:r w:rsidRPr="0063427F">
        <w:rPr>
          <w:i/>
          <w:iCs/>
        </w:rPr>
        <w:t>The Journal of Language and Literature Insights</w:t>
      </w:r>
      <w:r w:rsidRPr="0063427F">
        <w:t>, </w:t>
      </w:r>
      <w:r w:rsidRPr="0063427F">
        <w:rPr>
          <w:i/>
          <w:iCs/>
        </w:rPr>
        <w:t>1</w:t>
      </w:r>
      <w:r w:rsidRPr="0063427F">
        <w:t>(2), 25-32.</w:t>
      </w:r>
      <w:r>
        <w:t xml:space="preserve"> </w:t>
      </w:r>
      <w:hyperlink r:id="rId23" w:history="1">
        <w:r w:rsidRPr="00215CB5">
          <w:rPr>
            <w:rStyle w:val="Hyperlink"/>
          </w:rPr>
          <w:t>https://doi.org/10.17576/gema-2021-2101-16</w:t>
        </w:r>
      </w:hyperlink>
      <w:r>
        <w:t xml:space="preserve"> </w:t>
      </w:r>
    </w:p>
    <w:p w14:paraId="4F33F3BA" w14:textId="77777777" w:rsidR="00984702" w:rsidRDefault="00984702" w:rsidP="00984702">
      <w:pPr>
        <w:ind w:left="720" w:hanging="720"/>
      </w:pPr>
      <w:proofErr w:type="spellStart"/>
      <w:r w:rsidRPr="000E1363">
        <w:t>Krewski</w:t>
      </w:r>
      <w:proofErr w:type="spellEnd"/>
      <w:r w:rsidRPr="000E1363">
        <w:t xml:space="preserve">, D., Saunders-Hastings, P., Baan, R. A., Barton-Maclaren, T. S., Browne, P., Chiu, W. A., ... &amp; </w:t>
      </w:r>
      <w:proofErr w:type="spellStart"/>
      <w:r w:rsidRPr="000E1363">
        <w:t>Tsaioun</w:t>
      </w:r>
      <w:proofErr w:type="spellEnd"/>
      <w:r w:rsidRPr="000E1363">
        <w:t>, K. (2022). Development of an evidence-based risk assessment framework. </w:t>
      </w:r>
      <w:proofErr w:type="spellStart"/>
      <w:r w:rsidRPr="000E1363">
        <w:rPr>
          <w:i/>
          <w:iCs/>
        </w:rPr>
        <w:t>Altex</w:t>
      </w:r>
      <w:proofErr w:type="spellEnd"/>
      <w:r w:rsidRPr="000E1363">
        <w:t>, </w:t>
      </w:r>
      <w:r w:rsidRPr="000E1363">
        <w:rPr>
          <w:i/>
          <w:iCs/>
        </w:rPr>
        <w:t>39</w:t>
      </w:r>
      <w:r w:rsidRPr="000E1363">
        <w:t>(4), 667.</w:t>
      </w:r>
      <w:r>
        <w:t xml:space="preserve"> </w:t>
      </w:r>
      <w:hyperlink r:id="rId24" w:history="1">
        <w:r w:rsidRPr="00215CB5">
          <w:rPr>
            <w:rStyle w:val="Hyperlink"/>
          </w:rPr>
          <w:t>https://pmc.ncbi.nlm.nih.gov/articles/PMC10080579/</w:t>
        </w:r>
      </w:hyperlink>
      <w:r>
        <w:t xml:space="preserve"> </w:t>
      </w:r>
    </w:p>
    <w:p w14:paraId="171A00B6" w14:textId="77777777" w:rsidR="00984702" w:rsidRDefault="00984702" w:rsidP="00984702">
      <w:pPr>
        <w:ind w:left="720" w:hanging="720"/>
      </w:pPr>
      <w:r w:rsidRPr="0084234D">
        <w:t>Ofosu-Ampong, K., &amp; Acheampong, B. (2022). Adoption of contactless technologies for remote work in Ghana post-Covid-19: Insights from technology-organisation-environment framework. </w:t>
      </w:r>
      <w:r w:rsidRPr="0084234D">
        <w:rPr>
          <w:i/>
          <w:iCs/>
        </w:rPr>
        <w:t>Digital Business</w:t>
      </w:r>
      <w:r w:rsidRPr="0084234D">
        <w:t>, </w:t>
      </w:r>
      <w:r w:rsidRPr="0084234D">
        <w:rPr>
          <w:i/>
          <w:iCs/>
        </w:rPr>
        <w:t>2</w:t>
      </w:r>
      <w:r w:rsidRPr="0084234D">
        <w:t>(2), 100023.</w:t>
      </w:r>
      <w:r>
        <w:t xml:space="preserve"> </w:t>
      </w:r>
      <w:hyperlink r:id="rId25" w:history="1">
        <w:r w:rsidRPr="00215CB5">
          <w:rPr>
            <w:rStyle w:val="Hyperlink"/>
          </w:rPr>
          <w:t>https://doi.org/10.1016/j.digbus.2022.100023</w:t>
        </w:r>
      </w:hyperlink>
      <w:r>
        <w:t xml:space="preserve"> </w:t>
      </w:r>
    </w:p>
    <w:p w14:paraId="5B9A0D4C" w14:textId="77777777" w:rsidR="00984702" w:rsidRPr="0063427F" w:rsidRDefault="00984702" w:rsidP="00984702">
      <w:pPr>
        <w:ind w:left="720" w:hanging="720"/>
      </w:pPr>
      <w:r w:rsidRPr="00C2131A">
        <w:t xml:space="preserve">Osman, W. H., &amp; </w:t>
      </w:r>
      <w:proofErr w:type="spellStart"/>
      <w:r w:rsidRPr="00C2131A">
        <w:t>Januin</w:t>
      </w:r>
      <w:proofErr w:type="spellEnd"/>
      <w:r w:rsidRPr="00C2131A">
        <w:t>, J. (2021). Analysing ESL persuasive essay writing using Toulmin’s model of argument. </w:t>
      </w:r>
      <w:r w:rsidRPr="00C2131A">
        <w:rPr>
          <w:i/>
          <w:iCs/>
        </w:rPr>
        <w:t>Psychology and Education</w:t>
      </w:r>
      <w:r w:rsidRPr="00C2131A">
        <w:t>, </w:t>
      </w:r>
      <w:r w:rsidRPr="00C2131A">
        <w:rPr>
          <w:i/>
          <w:iCs/>
        </w:rPr>
        <w:t>58</w:t>
      </w:r>
      <w:r w:rsidRPr="00C2131A">
        <w:t>(1), 1810-1821.</w:t>
      </w:r>
      <w:r>
        <w:t xml:space="preserve"> </w:t>
      </w:r>
      <w:hyperlink r:id="rId26" w:history="1">
        <w:r w:rsidRPr="00215CB5">
          <w:rPr>
            <w:rStyle w:val="Hyperlink"/>
          </w:rPr>
          <w:t>https://d1wqtxts1xzle7.cloudfront.net/88053489/845-libre.pdf?1656435382=&amp;response-content-disposition=inline%3B+filename%3DAnalysing_ESL_Persuasive_Essay_Writing_U.pdf&amp;Expires=1753080030&amp;Signature=BfHz0n2tpLb8Ghp2RvcC0MHfMsH~Ii8G0VjEc5Z4djpwYnlCqhFeyA-EnGSWWHZ7FrNHDkxtaaPmV7BzTylBxo1WO8cGgIlYMp3LH71fh3DrFrroqYiWmgYo-Nk4qOqt97DXQR1i4Tfvv1FOG2uFk2cjHEKfJfESWXJ9pKIoVSu6DkpgYHCZIrsVokcHAyHnBTLSBzY6lL9N9~dSz1lF5gEveL8mqtLQ0yJadOfZa8M68hdBhjjh6ee5tpS3pqipdZK9Rtsz1njNUfC1IWARb-rI--kcFW8gnV4nwUfX2hNsHpZba-SExqj0GRZ14DJy5xHWFHFCHViOzvDZTfgftQ__&amp;Key-Pair-Id=APKAJLOHF5GGSLRBV4ZA</w:t>
        </w:r>
      </w:hyperlink>
      <w:r>
        <w:t xml:space="preserve"> </w:t>
      </w:r>
    </w:p>
    <w:p w14:paraId="3FFD0BE1" w14:textId="77777777" w:rsidR="00984702" w:rsidRDefault="00984702" w:rsidP="00984702">
      <w:pPr>
        <w:ind w:left="720" w:hanging="720"/>
      </w:pPr>
      <w:r w:rsidRPr="0043568C">
        <w:rPr>
          <w:lang w:val="de-DE"/>
        </w:rPr>
        <w:t xml:space="preserve">Preziuso, M., Koefer, F., &amp; Ehrenhard, M. (2023). </w:t>
      </w:r>
      <w:r w:rsidRPr="00EB5E99">
        <w:t>Open banking and inclusive finance in the European Union: perspectives from the Dutch stakeholder ecosystem. </w:t>
      </w:r>
      <w:r w:rsidRPr="00EB5E99">
        <w:rPr>
          <w:i/>
          <w:iCs/>
        </w:rPr>
        <w:t>Financial Innovation</w:t>
      </w:r>
      <w:r w:rsidRPr="00EB5E99">
        <w:t>, </w:t>
      </w:r>
      <w:r w:rsidRPr="00EB5E99">
        <w:rPr>
          <w:i/>
          <w:iCs/>
        </w:rPr>
        <w:t>9</w:t>
      </w:r>
      <w:r w:rsidRPr="00EB5E99">
        <w:t>(1), 111.</w:t>
      </w:r>
      <w:r>
        <w:t xml:space="preserve"> </w:t>
      </w:r>
      <w:r w:rsidRPr="00EB5E99">
        <w:t> </w:t>
      </w:r>
      <w:hyperlink r:id="rId27" w:history="1">
        <w:r w:rsidRPr="00215CB5">
          <w:rPr>
            <w:rStyle w:val="Hyperlink"/>
          </w:rPr>
          <w:t>https://doi.org/10.1186/s40854-023-00522-1</w:t>
        </w:r>
      </w:hyperlink>
      <w:r>
        <w:t xml:space="preserve"> </w:t>
      </w:r>
    </w:p>
    <w:p w14:paraId="69BD8676" w14:textId="77777777" w:rsidR="00984702" w:rsidRDefault="00984702" w:rsidP="00984702">
      <w:pPr>
        <w:ind w:left="720" w:hanging="720"/>
      </w:pPr>
      <w:r w:rsidRPr="00A45A30">
        <w:t xml:space="preserve">Putri, K. Y. S., </w:t>
      </w:r>
      <w:proofErr w:type="spellStart"/>
      <w:r w:rsidRPr="00A45A30">
        <w:t>Sutjipto</w:t>
      </w:r>
      <w:proofErr w:type="spellEnd"/>
      <w:r w:rsidRPr="00A45A30">
        <w:t xml:space="preserve">, V. W., </w:t>
      </w:r>
      <w:proofErr w:type="spellStart"/>
      <w:r w:rsidRPr="00A45A30">
        <w:t>Anindhita</w:t>
      </w:r>
      <w:proofErr w:type="spellEnd"/>
      <w:r w:rsidRPr="00A45A30">
        <w:t xml:space="preserve">, W., </w:t>
      </w:r>
      <w:proofErr w:type="spellStart"/>
      <w:r w:rsidRPr="00A45A30">
        <w:t>Romli</w:t>
      </w:r>
      <w:proofErr w:type="spellEnd"/>
      <w:r w:rsidRPr="00A45A30">
        <w:t xml:space="preserve">, N. A., Andriani, Y., &amp; Deianeira, D. R. (2022). Health communication literacy in empowerment of community health in </w:t>
      </w:r>
      <w:proofErr w:type="spellStart"/>
      <w:r w:rsidRPr="00A45A30">
        <w:t>indonesian</w:t>
      </w:r>
      <w:proofErr w:type="spellEnd"/>
      <w:r w:rsidRPr="00A45A30">
        <w:t xml:space="preserve"> tourism area. </w:t>
      </w:r>
      <w:r w:rsidRPr="00A45A30">
        <w:rPr>
          <w:i/>
          <w:iCs/>
        </w:rPr>
        <w:t>Scriptura</w:t>
      </w:r>
      <w:r w:rsidRPr="00A45A30">
        <w:t>, </w:t>
      </w:r>
      <w:r w:rsidRPr="00A45A30">
        <w:rPr>
          <w:i/>
          <w:iCs/>
        </w:rPr>
        <w:t>12</w:t>
      </w:r>
      <w:r w:rsidRPr="00A45A30">
        <w:t>(1), 25-32.</w:t>
      </w:r>
      <w:r>
        <w:t xml:space="preserve"> </w:t>
      </w:r>
      <w:hyperlink r:id="rId28" w:history="1">
        <w:r w:rsidRPr="00215CB5">
          <w:rPr>
            <w:rStyle w:val="Hyperlink"/>
          </w:rPr>
          <w:t>https://doi.org/10.9744/scriptura.12.1.25-32</w:t>
        </w:r>
      </w:hyperlink>
      <w:r>
        <w:t xml:space="preserve"> </w:t>
      </w:r>
    </w:p>
    <w:p w14:paraId="26DC40E6" w14:textId="77777777" w:rsidR="00984702" w:rsidRDefault="00984702" w:rsidP="00984702">
      <w:pPr>
        <w:ind w:left="720" w:hanging="720"/>
      </w:pPr>
      <w:r w:rsidRPr="001829B5">
        <w:t>Schoonenboom, J. (2023, January). The fundamental difference between qualitative and quantitative data in mixed methods research. In </w:t>
      </w:r>
      <w:r w:rsidRPr="001829B5">
        <w:rPr>
          <w:i/>
          <w:iCs/>
        </w:rPr>
        <w:t xml:space="preserve">Forum Qualitative </w:t>
      </w:r>
      <w:proofErr w:type="spellStart"/>
      <w:r w:rsidRPr="001829B5">
        <w:rPr>
          <w:i/>
          <w:iCs/>
        </w:rPr>
        <w:t>Sozialforschung</w:t>
      </w:r>
      <w:proofErr w:type="spellEnd"/>
      <w:r w:rsidRPr="001829B5">
        <w:rPr>
          <w:i/>
          <w:iCs/>
        </w:rPr>
        <w:t>/Forum: Qualitative Social Research</w:t>
      </w:r>
      <w:r w:rsidRPr="001829B5">
        <w:t> (Vol. 24, No. 1).</w:t>
      </w:r>
      <w:r>
        <w:t xml:space="preserve"> </w:t>
      </w:r>
      <w:hyperlink r:id="rId29" w:history="1">
        <w:r w:rsidRPr="00215CB5">
          <w:rPr>
            <w:rStyle w:val="Hyperlink"/>
          </w:rPr>
          <w:t>https://doi.org/10.17169/fqs-24.1.3986</w:t>
        </w:r>
      </w:hyperlink>
      <w:r>
        <w:t xml:space="preserve"> </w:t>
      </w:r>
    </w:p>
    <w:p w14:paraId="6AB27DD6" w14:textId="77777777" w:rsidR="00984702" w:rsidRDefault="00984702" w:rsidP="00984702">
      <w:pPr>
        <w:ind w:left="720" w:hanging="720"/>
      </w:pPr>
      <w:r w:rsidRPr="001E78A0">
        <w:t>Sidiropoulou, M. (2021). </w:t>
      </w:r>
      <w:r w:rsidRPr="001E78A0">
        <w:rPr>
          <w:i/>
          <w:iCs/>
        </w:rPr>
        <w:t xml:space="preserve">Understanding </w:t>
      </w:r>
      <w:proofErr w:type="spellStart"/>
      <w:r w:rsidRPr="001E78A0">
        <w:rPr>
          <w:i/>
          <w:iCs/>
        </w:rPr>
        <w:t>im</w:t>
      </w:r>
      <w:proofErr w:type="spellEnd"/>
      <w:r w:rsidRPr="001E78A0">
        <w:rPr>
          <w:i/>
          <w:iCs/>
        </w:rPr>
        <w:t>/politeness through translation</w:t>
      </w:r>
      <w:r w:rsidRPr="001E78A0">
        <w:t>. Springer International Publishing.</w:t>
      </w:r>
      <w:r>
        <w:t xml:space="preserve"> </w:t>
      </w:r>
      <w:hyperlink r:id="rId30" w:history="1">
        <w:r w:rsidRPr="00215CB5">
          <w:rPr>
            <w:rStyle w:val="Hyperlink"/>
          </w:rPr>
          <w:t>https://link.springer.com/book/10.1007/978-3-030-63530-5</w:t>
        </w:r>
      </w:hyperlink>
      <w:r>
        <w:t xml:space="preserve"> </w:t>
      </w:r>
    </w:p>
    <w:p w14:paraId="5C92631E" w14:textId="77777777" w:rsidR="00984702" w:rsidRDefault="00984702" w:rsidP="00984702">
      <w:pPr>
        <w:ind w:left="720" w:hanging="720"/>
      </w:pPr>
      <w:r w:rsidRPr="00C67B23">
        <w:t>Sing, C. S. (2017). 14 English as a lingua franca in international business contexts: Pedagogical implications for the teaching of English for Specific Business Purposes. </w:t>
      </w:r>
      <w:r w:rsidRPr="00C67B23">
        <w:rPr>
          <w:i/>
          <w:iCs/>
        </w:rPr>
        <w:t>Handbook of business communication</w:t>
      </w:r>
      <w:r w:rsidRPr="00C67B23">
        <w:t>, 319-356.</w:t>
      </w:r>
      <w:r>
        <w:t xml:space="preserve"> </w:t>
      </w:r>
      <w:hyperlink r:id="rId31" w:anchor="v=onepage&amp;q=Defining%20Business%20English%20in%20Global%20Contexts&amp;f=false" w:history="1">
        <w:r w:rsidRPr="00215CB5">
          <w:rPr>
            <w:rStyle w:val="Hyperlink"/>
          </w:rPr>
          <w:t>https://books.google.co.in/books?hl=en&amp;lr=&amp;id=xbouDwAAQBAJ&amp;oi=fnd&amp;pg=PA319&amp;dq=Defining+Business+English+in+Global+Contexts&amp;ots=XBmmUt2KK_&amp;sig=WC97Wc2aciWTSptKKaw-Z0WLMPg&amp;redir_esc=y#v=onepage&amp;q=Defining%20Business%20English%20in%20Global%20Contexts&amp;f=false</w:t>
        </w:r>
      </w:hyperlink>
      <w:r>
        <w:t xml:space="preserve"> </w:t>
      </w:r>
    </w:p>
    <w:p w14:paraId="76F150B5" w14:textId="77777777" w:rsidR="00984702" w:rsidRDefault="00984702" w:rsidP="00984702">
      <w:pPr>
        <w:ind w:left="720" w:hanging="720"/>
      </w:pPr>
      <w:r w:rsidRPr="0084234D">
        <w:t>Tseng, H. T. (2023). Shaping path of trust: the role of information credibility, social support, information sharing and perceived privacy risk in social commerce. </w:t>
      </w:r>
      <w:r w:rsidRPr="0084234D">
        <w:rPr>
          <w:i/>
          <w:iCs/>
        </w:rPr>
        <w:t>Information Technology &amp; People</w:t>
      </w:r>
      <w:r w:rsidRPr="0084234D">
        <w:t>, </w:t>
      </w:r>
      <w:r w:rsidRPr="0084234D">
        <w:rPr>
          <w:i/>
          <w:iCs/>
        </w:rPr>
        <w:t>36</w:t>
      </w:r>
      <w:r w:rsidRPr="0084234D">
        <w:t>(2), 683-700.</w:t>
      </w:r>
      <w:r>
        <w:t xml:space="preserve"> </w:t>
      </w:r>
      <w:hyperlink r:id="rId32" w:history="1">
        <w:r w:rsidRPr="00215CB5">
          <w:rPr>
            <w:rStyle w:val="Hyperlink"/>
          </w:rPr>
          <w:t>https://doi.org/10.1108/ITP-07-2021-0564</w:t>
        </w:r>
      </w:hyperlink>
      <w:r>
        <w:t xml:space="preserve"> </w:t>
      </w:r>
    </w:p>
    <w:sectPr w:rsidR="00984702" w:rsidSect="00624CB3">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BF2BE" w14:textId="77777777" w:rsidR="004E4077" w:rsidRDefault="004E4077" w:rsidP="00624CB3">
      <w:pPr>
        <w:spacing w:after="0" w:line="240" w:lineRule="auto"/>
      </w:pPr>
      <w:r>
        <w:separator/>
      </w:r>
    </w:p>
  </w:endnote>
  <w:endnote w:type="continuationSeparator" w:id="0">
    <w:p w14:paraId="5C3263CA" w14:textId="77777777" w:rsidR="004E4077" w:rsidRDefault="004E4077" w:rsidP="00624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152685"/>
      <w:docPartObj>
        <w:docPartGallery w:val="Page Numbers (Bottom of Page)"/>
        <w:docPartUnique/>
      </w:docPartObj>
    </w:sdtPr>
    <w:sdtEndPr>
      <w:rPr>
        <w:noProof/>
      </w:rPr>
    </w:sdtEndPr>
    <w:sdtContent>
      <w:p w14:paraId="6B78CDFB" w14:textId="0676F72C" w:rsidR="00624CB3" w:rsidRDefault="00624C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F6F609" w14:textId="77777777" w:rsidR="00624CB3" w:rsidRDefault="00624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09519" w14:textId="77777777" w:rsidR="004E4077" w:rsidRDefault="004E4077" w:rsidP="00624CB3">
      <w:pPr>
        <w:spacing w:after="0" w:line="240" w:lineRule="auto"/>
      </w:pPr>
      <w:r>
        <w:separator/>
      </w:r>
    </w:p>
  </w:footnote>
  <w:footnote w:type="continuationSeparator" w:id="0">
    <w:p w14:paraId="14644244" w14:textId="77777777" w:rsidR="004E4077" w:rsidRDefault="004E4077" w:rsidP="00624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67FB"/>
    <w:multiLevelType w:val="multilevel"/>
    <w:tmpl w:val="AC7C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E45CCD"/>
    <w:multiLevelType w:val="multilevel"/>
    <w:tmpl w:val="E14C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87ECB"/>
    <w:multiLevelType w:val="multilevel"/>
    <w:tmpl w:val="EA64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6F7FB3"/>
    <w:multiLevelType w:val="hybridMultilevel"/>
    <w:tmpl w:val="9E1282F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13C7C61"/>
    <w:multiLevelType w:val="multilevel"/>
    <w:tmpl w:val="ADA4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147A1E"/>
    <w:multiLevelType w:val="multilevel"/>
    <w:tmpl w:val="6168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9742414">
    <w:abstractNumId w:val="1"/>
  </w:num>
  <w:num w:numId="2" w16cid:durableId="1411074785">
    <w:abstractNumId w:val="2"/>
  </w:num>
  <w:num w:numId="3" w16cid:durableId="1951618486">
    <w:abstractNumId w:val="4"/>
  </w:num>
  <w:num w:numId="4" w16cid:durableId="1834683685">
    <w:abstractNumId w:val="5"/>
  </w:num>
  <w:num w:numId="5" w16cid:durableId="1294825735">
    <w:abstractNumId w:val="0"/>
  </w:num>
  <w:num w:numId="6" w16cid:durableId="722290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5EC"/>
    <w:rsid w:val="000C3F87"/>
    <w:rsid w:val="000E1363"/>
    <w:rsid w:val="001648B7"/>
    <w:rsid w:val="001829B5"/>
    <w:rsid w:val="00196FA2"/>
    <w:rsid w:val="001E78A0"/>
    <w:rsid w:val="002353BC"/>
    <w:rsid w:val="002A165E"/>
    <w:rsid w:val="00324B81"/>
    <w:rsid w:val="00343DA1"/>
    <w:rsid w:val="0038777C"/>
    <w:rsid w:val="0043568C"/>
    <w:rsid w:val="00455EFD"/>
    <w:rsid w:val="004E4077"/>
    <w:rsid w:val="004F3EF7"/>
    <w:rsid w:val="005174CD"/>
    <w:rsid w:val="005365EC"/>
    <w:rsid w:val="005E2F04"/>
    <w:rsid w:val="00624CB3"/>
    <w:rsid w:val="0063427F"/>
    <w:rsid w:val="006A4C71"/>
    <w:rsid w:val="007D02F2"/>
    <w:rsid w:val="00823B1E"/>
    <w:rsid w:val="0084234D"/>
    <w:rsid w:val="008F4EF4"/>
    <w:rsid w:val="00984702"/>
    <w:rsid w:val="009A4A0C"/>
    <w:rsid w:val="009E09BF"/>
    <w:rsid w:val="00A118E0"/>
    <w:rsid w:val="00A334D7"/>
    <w:rsid w:val="00A45A30"/>
    <w:rsid w:val="00AC3FBC"/>
    <w:rsid w:val="00B06DCD"/>
    <w:rsid w:val="00BD60F5"/>
    <w:rsid w:val="00C0193F"/>
    <w:rsid w:val="00C05B65"/>
    <w:rsid w:val="00C20F07"/>
    <w:rsid w:val="00C2131A"/>
    <w:rsid w:val="00C67B23"/>
    <w:rsid w:val="00C72A53"/>
    <w:rsid w:val="00D60564"/>
    <w:rsid w:val="00E453EB"/>
    <w:rsid w:val="00E80D9C"/>
    <w:rsid w:val="00EB5E99"/>
    <w:rsid w:val="00EF584E"/>
    <w:rsid w:val="00FC28A3"/>
    <w:rsid w:val="00FE3DF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E22FB"/>
  <w15:chartTrackingRefBased/>
  <w15:docId w15:val="{188F956D-83E0-45FE-814F-02523C6C6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0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A4A0C"/>
    <w:pPr>
      <w:keepNext/>
      <w:keepLines/>
      <w:spacing w:before="360" w:after="80"/>
      <w:jc w:val="center"/>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9A4A0C"/>
    <w:pPr>
      <w:keepNext/>
      <w:keepLines/>
      <w:spacing w:before="160" w:after="80"/>
      <w:jc w:val="center"/>
      <w:outlineLvl w:val="1"/>
    </w:pPr>
    <w:rPr>
      <w:rFonts w:eastAsiaTheme="majorEastAsia" w:cstheme="majorBidi"/>
      <w:b/>
      <w:color w:val="000000" w:themeColor="text1"/>
      <w:sz w:val="22"/>
      <w:szCs w:val="32"/>
    </w:rPr>
  </w:style>
  <w:style w:type="paragraph" w:styleId="Heading3">
    <w:name w:val="heading 3"/>
    <w:basedOn w:val="Normal"/>
    <w:next w:val="Normal"/>
    <w:link w:val="Heading3Char"/>
    <w:uiPriority w:val="9"/>
    <w:semiHidden/>
    <w:unhideWhenUsed/>
    <w:qFormat/>
    <w:rsid w:val="005365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65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65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65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5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5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5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A0C"/>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9A4A0C"/>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5365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65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65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65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5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5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5EC"/>
    <w:rPr>
      <w:rFonts w:eastAsiaTheme="majorEastAsia" w:cstheme="majorBidi"/>
      <w:color w:val="272727" w:themeColor="text1" w:themeTint="D8"/>
    </w:rPr>
  </w:style>
  <w:style w:type="paragraph" w:styleId="Title">
    <w:name w:val="Title"/>
    <w:basedOn w:val="Normal"/>
    <w:next w:val="Normal"/>
    <w:link w:val="TitleChar"/>
    <w:uiPriority w:val="10"/>
    <w:qFormat/>
    <w:rsid w:val="00536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5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5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5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5EC"/>
    <w:pPr>
      <w:spacing w:before="160"/>
      <w:jc w:val="center"/>
    </w:pPr>
    <w:rPr>
      <w:i/>
      <w:iCs/>
      <w:color w:val="404040" w:themeColor="text1" w:themeTint="BF"/>
    </w:rPr>
  </w:style>
  <w:style w:type="character" w:customStyle="1" w:styleId="QuoteChar">
    <w:name w:val="Quote Char"/>
    <w:basedOn w:val="DefaultParagraphFont"/>
    <w:link w:val="Quote"/>
    <w:uiPriority w:val="29"/>
    <w:rsid w:val="005365EC"/>
    <w:rPr>
      <w:i/>
      <w:iCs/>
      <w:color w:val="404040" w:themeColor="text1" w:themeTint="BF"/>
    </w:rPr>
  </w:style>
  <w:style w:type="paragraph" w:styleId="ListParagraph">
    <w:name w:val="List Paragraph"/>
    <w:basedOn w:val="Normal"/>
    <w:uiPriority w:val="34"/>
    <w:qFormat/>
    <w:rsid w:val="005365EC"/>
    <w:pPr>
      <w:ind w:left="720"/>
      <w:contextualSpacing/>
    </w:pPr>
  </w:style>
  <w:style w:type="character" w:styleId="IntenseEmphasis">
    <w:name w:val="Intense Emphasis"/>
    <w:basedOn w:val="DefaultParagraphFont"/>
    <w:uiPriority w:val="21"/>
    <w:qFormat/>
    <w:rsid w:val="005365EC"/>
    <w:rPr>
      <w:i/>
      <w:iCs/>
      <w:color w:val="2F5496" w:themeColor="accent1" w:themeShade="BF"/>
    </w:rPr>
  </w:style>
  <w:style w:type="paragraph" w:styleId="IntenseQuote">
    <w:name w:val="Intense Quote"/>
    <w:basedOn w:val="Normal"/>
    <w:next w:val="Normal"/>
    <w:link w:val="IntenseQuoteChar"/>
    <w:uiPriority w:val="30"/>
    <w:qFormat/>
    <w:rsid w:val="005365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65EC"/>
    <w:rPr>
      <w:i/>
      <w:iCs/>
      <w:color w:val="2F5496" w:themeColor="accent1" w:themeShade="BF"/>
    </w:rPr>
  </w:style>
  <w:style w:type="character" w:styleId="IntenseReference">
    <w:name w:val="Intense Reference"/>
    <w:basedOn w:val="DefaultParagraphFont"/>
    <w:uiPriority w:val="32"/>
    <w:qFormat/>
    <w:rsid w:val="005365EC"/>
    <w:rPr>
      <w:b/>
      <w:bCs/>
      <w:smallCaps/>
      <w:color w:val="2F5496" w:themeColor="accent1" w:themeShade="BF"/>
      <w:spacing w:val="5"/>
    </w:rPr>
  </w:style>
  <w:style w:type="paragraph" w:styleId="Header">
    <w:name w:val="header"/>
    <w:basedOn w:val="Normal"/>
    <w:link w:val="HeaderChar"/>
    <w:uiPriority w:val="99"/>
    <w:unhideWhenUsed/>
    <w:rsid w:val="00624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CB3"/>
    <w:rPr>
      <w:rFonts w:ascii="Times New Roman" w:hAnsi="Times New Roman"/>
      <w:sz w:val="24"/>
    </w:rPr>
  </w:style>
  <w:style w:type="paragraph" w:styleId="Footer">
    <w:name w:val="footer"/>
    <w:basedOn w:val="Normal"/>
    <w:link w:val="FooterChar"/>
    <w:uiPriority w:val="99"/>
    <w:unhideWhenUsed/>
    <w:rsid w:val="00624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CB3"/>
    <w:rPr>
      <w:rFonts w:ascii="Times New Roman" w:hAnsi="Times New Roman"/>
      <w:sz w:val="24"/>
    </w:rPr>
  </w:style>
  <w:style w:type="paragraph" w:styleId="TOCHeading">
    <w:name w:val="TOC Heading"/>
    <w:basedOn w:val="Heading1"/>
    <w:next w:val="Normal"/>
    <w:uiPriority w:val="39"/>
    <w:unhideWhenUsed/>
    <w:qFormat/>
    <w:rsid w:val="00624CB3"/>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24CB3"/>
    <w:pPr>
      <w:spacing w:after="100"/>
    </w:pPr>
  </w:style>
  <w:style w:type="paragraph" w:styleId="TOC2">
    <w:name w:val="toc 2"/>
    <w:basedOn w:val="Normal"/>
    <w:next w:val="Normal"/>
    <w:autoRedefine/>
    <w:uiPriority w:val="39"/>
    <w:unhideWhenUsed/>
    <w:rsid w:val="00624CB3"/>
    <w:pPr>
      <w:spacing w:after="100"/>
      <w:ind w:left="240"/>
    </w:pPr>
  </w:style>
  <w:style w:type="character" w:styleId="Hyperlink">
    <w:name w:val="Hyperlink"/>
    <w:basedOn w:val="DefaultParagraphFont"/>
    <w:uiPriority w:val="99"/>
    <w:unhideWhenUsed/>
    <w:rsid w:val="00624CB3"/>
    <w:rPr>
      <w:color w:val="0563C1" w:themeColor="hyperlink"/>
      <w:u w:val="single"/>
    </w:rPr>
  </w:style>
  <w:style w:type="character" w:styleId="UnresolvedMention">
    <w:name w:val="Unresolved Mention"/>
    <w:basedOn w:val="DefaultParagraphFont"/>
    <w:uiPriority w:val="99"/>
    <w:semiHidden/>
    <w:unhideWhenUsed/>
    <w:rsid w:val="00196F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5283">
      <w:bodyDiv w:val="1"/>
      <w:marLeft w:val="0"/>
      <w:marRight w:val="0"/>
      <w:marTop w:val="0"/>
      <w:marBottom w:val="0"/>
      <w:divBdr>
        <w:top w:val="none" w:sz="0" w:space="0" w:color="auto"/>
        <w:left w:val="none" w:sz="0" w:space="0" w:color="auto"/>
        <w:bottom w:val="none" w:sz="0" w:space="0" w:color="auto"/>
        <w:right w:val="none" w:sz="0" w:space="0" w:color="auto"/>
      </w:divBdr>
    </w:div>
    <w:div w:id="123277202">
      <w:bodyDiv w:val="1"/>
      <w:marLeft w:val="0"/>
      <w:marRight w:val="0"/>
      <w:marTop w:val="0"/>
      <w:marBottom w:val="0"/>
      <w:divBdr>
        <w:top w:val="none" w:sz="0" w:space="0" w:color="auto"/>
        <w:left w:val="none" w:sz="0" w:space="0" w:color="auto"/>
        <w:bottom w:val="none" w:sz="0" w:space="0" w:color="auto"/>
        <w:right w:val="none" w:sz="0" w:space="0" w:color="auto"/>
      </w:divBdr>
    </w:div>
    <w:div w:id="218127106">
      <w:bodyDiv w:val="1"/>
      <w:marLeft w:val="0"/>
      <w:marRight w:val="0"/>
      <w:marTop w:val="0"/>
      <w:marBottom w:val="0"/>
      <w:divBdr>
        <w:top w:val="none" w:sz="0" w:space="0" w:color="auto"/>
        <w:left w:val="none" w:sz="0" w:space="0" w:color="auto"/>
        <w:bottom w:val="none" w:sz="0" w:space="0" w:color="auto"/>
        <w:right w:val="none" w:sz="0" w:space="0" w:color="auto"/>
      </w:divBdr>
    </w:div>
    <w:div w:id="534318305">
      <w:bodyDiv w:val="1"/>
      <w:marLeft w:val="0"/>
      <w:marRight w:val="0"/>
      <w:marTop w:val="0"/>
      <w:marBottom w:val="0"/>
      <w:divBdr>
        <w:top w:val="none" w:sz="0" w:space="0" w:color="auto"/>
        <w:left w:val="none" w:sz="0" w:space="0" w:color="auto"/>
        <w:bottom w:val="none" w:sz="0" w:space="0" w:color="auto"/>
        <w:right w:val="none" w:sz="0" w:space="0" w:color="auto"/>
      </w:divBdr>
    </w:div>
    <w:div w:id="887179587">
      <w:bodyDiv w:val="1"/>
      <w:marLeft w:val="0"/>
      <w:marRight w:val="0"/>
      <w:marTop w:val="0"/>
      <w:marBottom w:val="0"/>
      <w:divBdr>
        <w:top w:val="none" w:sz="0" w:space="0" w:color="auto"/>
        <w:left w:val="none" w:sz="0" w:space="0" w:color="auto"/>
        <w:bottom w:val="none" w:sz="0" w:space="0" w:color="auto"/>
        <w:right w:val="none" w:sz="0" w:space="0" w:color="auto"/>
      </w:divBdr>
    </w:div>
    <w:div w:id="1081025390">
      <w:bodyDiv w:val="1"/>
      <w:marLeft w:val="0"/>
      <w:marRight w:val="0"/>
      <w:marTop w:val="0"/>
      <w:marBottom w:val="0"/>
      <w:divBdr>
        <w:top w:val="none" w:sz="0" w:space="0" w:color="auto"/>
        <w:left w:val="none" w:sz="0" w:space="0" w:color="auto"/>
        <w:bottom w:val="none" w:sz="0" w:space="0" w:color="auto"/>
        <w:right w:val="none" w:sz="0" w:space="0" w:color="auto"/>
      </w:divBdr>
      <w:divsChild>
        <w:div w:id="2018341815">
          <w:marLeft w:val="0"/>
          <w:marRight w:val="0"/>
          <w:marTop w:val="0"/>
          <w:marBottom w:val="0"/>
          <w:divBdr>
            <w:top w:val="none" w:sz="0" w:space="0" w:color="auto"/>
            <w:left w:val="none" w:sz="0" w:space="0" w:color="auto"/>
            <w:bottom w:val="none" w:sz="0" w:space="0" w:color="auto"/>
            <w:right w:val="none" w:sz="0" w:space="0" w:color="auto"/>
          </w:divBdr>
        </w:div>
      </w:divsChild>
    </w:div>
    <w:div w:id="1165517408">
      <w:bodyDiv w:val="1"/>
      <w:marLeft w:val="0"/>
      <w:marRight w:val="0"/>
      <w:marTop w:val="0"/>
      <w:marBottom w:val="0"/>
      <w:divBdr>
        <w:top w:val="none" w:sz="0" w:space="0" w:color="auto"/>
        <w:left w:val="none" w:sz="0" w:space="0" w:color="auto"/>
        <w:bottom w:val="none" w:sz="0" w:space="0" w:color="auto"/>
        <w:right w:val="none" w:sz="0" w:space="0" w:color="auto"/>
      </w:divBdr>
    </w:div>
    <w:div w:id="1280913225">
      <w:bodyDiv w:val="1"/>
      <w:marLeft w:val="0"/>
      <w:marRight w:val="0"/>
      <w:marTop w:val="0"/>
      <w:marBottom w:val="0"/>
      <w:divBdr>
        <w:top w:val="none" w:sz="0" w:space="0" w:color="auto"/>
        <w:left w:val="none" w:sz="0" w:space="0" w:color="auto"/>
        <w:bottom w:val="none" w:sz="0" w:space="0" w:color="auto"/>
        <w:right w:val="none" w:sz="0" w:space="0" w:color="auto"/>
      </w:divBdr>
      <w:divsChild>
        <w:div w:id="547957223">
          <w:marLeft w:val="0"/>
          <w:marRight w:val="0"/>
          <w:marTop w:val="0"/>
          <w:marBottom w:val="0"/>
          <w:divBdr>
            <w:top w:val="none" w:sz="0" w:space="0" w:color="auto"/>
            <w:left w:val="none" w:sz="0" w:space="0" w:color="auto"/>
            <w:bottom w:val="none" w:sz="0" w:space="0" w:color="auto"/>
            <w:right w:val="none" w:sz="0" w:space="0" w:color="auto"/>
          </w:divBdr>
        </w:div>
      </w:divsChild>
    </w:div>
    <w:div w:id="1282417951">
      <w:bodyDiv w:val="1"/>
      <w:marLeft w:val="0"/>
      <w:marRight w:val="0"/>
      <w:marTop w:val="0"/>
      <w:marBottom w:val="0"/>
      <w:divBdr>
        <w:top w:val="none" w:sz="0" w:space="0" w:color="auto"/>
        <w:left w:val="none" w:sz="0" w:space="0" w:color="auto"/>
        <w:bottom w:val="none" w:sz="0" w:space="0" w:color="auto"/>
        <w:right w:val="none" w:sz="0" w:space="0" w:color="auto"/>
      </w:divBdr>
    </w:div>
    <w:div w:id="1285846238">
      <w:bodyDiv w:val="1"/>
      <w:marLeft w:val="0"/>
      <w:marRight w:val="0"/>
      <w:marTop w:val="0"/>
      <w:marBottom w:val="0"/>
      <w:divBdr>
        <w:top w:val="none" w:sz="0" w:space="0" w:color="auto"/>
        <w:left w:val="none" w:sz="0" w:space="0" w:color="auto"/>
        <w:bottom w:val="none" w:sz="0" w:space="0" w:color="auto"/>
        <w:right w:val="none" w:sz="0" w:space="0" w:color="auto"/>
      </w:divBdr>
    </w:div>
    <w:div w:id="1337263625">
      <w:bodyDiv w:val="1"/>
      <w:marLeft w:val="0"/>
      <w:marRight w:val="0"/>
      <w:marTop w:val="0"/>
      <w:marBottom w:val="0"/>
      <w:divBdr>
        <w:top w:val="none" w:sz="0" w:space="0" w:color="auto"/>
        <w:left w:val="none" w:sz="0" w:space="0" w:color="auto"/>
        <w:bottom w:val="none" w:sz="0" w:space="0" w:color="auto"/>
        <w:right w:val="none" w:sz="0" w:space="0" w:color="auto"/>
      </w:divBdr>
    </w:div>
    <w:div w:id="1432044856">
      <w:bodyDiv w:val="1"/>
      <w:marLeft w:val="0"/>
      <w:marRight w:val="0"/>
      <w:marTop w:val="0"/>
      <w:marBottom w:val="0"/>
      <w:divBdr>
        <w:top w:val="none" w:sz="0" w:space="0" w:color="auto"/>
        <w:left w:val="none" w:sz="0" w:space="0" w:color="auto"/>
        <w:bottom w:val="none" w:sz="0" w:space="0" w:color="auto"/>
        <w:right w:val="none" w:sz="0" w:space="0" w:color="auto"/>
      </w:divBdr>
    </w:div>
    <w:div w:id="1493256058">
      <w:bodyDiv w:val="1"/>
      <w:marLeft w:val="0"/>
      <w:marRight w:val="0"/>
      <w:marTop w:val="0"/>
      <w:marBottom w:val="0"/>
      <w:divBdr>
        <w:top w:val="none" w:sz="0" w:space="0" w:color="auto"/>
        <w:left w:val="none" w:sz="0" w:space="0" w:color="auto"/>
        <w:bottom w:val="none" w:sz="0" w:space="0" w:color="auto"/>
        <w:right w:val="none" w:sz="0" w:space="0" w:color="auto"/>
      </w:divBdr>
    </w:div>
    <w:div w:id="1556575577">
      <w:bodyDiv w:val="1"/>
      <w:marLeft w:val="0"/>
      <w:marRight w:val="0"/>
      <w:marTop w:val="0"/>
      <w:marBottom w:val="0"/>
      <w:divBdr>
        <w:top w:val="none" w:sz="0" w:space="0" w:color="auto"/>
        <w:left w:val="none" w:sz="0" w:space="0" w:color="auto"/>
        <w:bottom w:val="none" w:sz="0" w:space="0" w:color="auto"/>
        <w:right w:val="none" w:sz="0" w:space="0" w:color="auto"/>
      </w:divBdr>
    </w:div>
    <w:div w:id="1703628542">
      <w:bodyDiv w:val="1"/>
      <w:marLeft w:val="0"/>
      <w:marRight w:val="0"/>
      <w:marTop w:val="0"/>
      <w:marBottom w:val="0"/>
      <w:divBdr>
        <w:top w:val="none" w:sz="0" w:space="0" w:color="auto"/>
        <w:left w:val="none" w:sz="0" w:space="0" w:color="auto"/>
        <w:bottom w:val="none" w:sz="0" w:space="0" w:color="auto"/>
        <w:right w:val="none" w:sz="0" w:space="0" w:color="auto"/>
      </w:divBdr>
    </w:div>
    <w:div w:id="1818381026">
      <w:bodyDiv w:val="1"/>
      <w:marLeft w:val="0"/>
      <w:marRight w:val="0"/>
      <w:marTop w:val="0"/>
      <w:marBottom w:val="0"/>
      <w:divBdr>
        <w:top w:val="none" w:sz="0" w:space="0" w:color="auto"/>
        <w:left w:val="none" w:sz="0" w:space="0" w:color="auto"/>
        <w:bottom w:val="none" w:sz="0" w:space="0" w:color="auto"/>
        <w:right w:val="none" w:sz="0" w:space="0" w:color="auto"/>
      </w:divBdr>
    </w:div>
    <w:div w:id="1844082247">
      <w:bodyDiv w:val="1"/>
      <w:marLeft w:val="0"/>
      <w:marRight w:val="0"/>
      <w:marTop w:val="0"/>
      <w:marBottom w:val="0"/>
      <w:divBdr>
        <w:top w:val="none" w:sz="0" w:space="0" w:color="auto"/>
        <w:left w:val="none" w:sz="0" w:space="0" w:color="auto"/>
        <w:bottom w:val="none" w:sz="0" w:space="0" w:color="auto"/>
        <w:right w:val="none" w:sz="0" w:space="0" w:color="auto"/>
      </w:divBdr>
    </w:div>
    <w:div w:id="1847867445">
      <w:bodyDiv w:val="1"/>
      <w:marLeft w:val="0"/>
      <w:marRight w:val="0"/>
      <w:marTop w:val="0"/>
      <w:marBottom w:val="0"/>
      <w:divBdr>
        <w:top w:val="none" w:sz="0" w:space="0" w:color="auto"/>
        <w:left w:val="none" w:sz="0" w:space="0" w:color="auto"/>
        <w:bottom w:val="none" w:sz="0" w:space="0" w:color="auto"/>
        <w:right w:val="none" w:sz="0" w:space="0" w:color="auto"/>
      </w:divBdr>
    </w:div>
    <w:div w:id="2117211526">
      <w:bodyDiv w:val="1"/>
      <w:marLeft w:val="0"/>
      <w:marRight w:val="0"/>
      <w:marTop w:val="0"/>
      <w:marBottom w:val="0"/>
      <w:divBdr>
        <w:top w:val="none" w:sz="0" w:space="0" w:color="auto"/>
        <w:left w:val="none" w:sz="0" w:space="0" w:color="auto"/>
        <w:bottom w:val="none" w:sz="0" w:space="0" w:color="auto"/>
        <w:right w:val="none" w:sz="0" w:space="0" w:color="auto"/>
      </w:divBdr>
    </w:div>
    <w:div w:id="213490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in/books?hl=en&amp;lr=&amp;id=EauGEAAAQBAJ&amp;oi=fnd&amp;pg=PA12&amp;dq=Cross-Border+Health-Safe+Tourism+Corridor+Between+Italy+and+Greece&amp;ots=GkfR1ECWZZ&amp;sig=zyFMgUg33yQe93srQ9JeRF3nJ3A&amp;redir_esc=y" TargetMode="External"/><Relationship Id="rId18" Type="http://schemas.openxmlformats.org/officeDocument/2006/relationships/hyperlink" Target="https://doi.org/10.11113/lspi.v6n1.83" TargetMode="External"/><Relationship Id="rId26" Type="http://schemas.openxmlformats.org/officeDocument/2006/relationships/hyperlink" Target="https://d1wqtxts1xzle7.cloudfront.net/88053489/845-libre.pdf?1656435382=&amp;response-content-disposition=inline%3B+filename%3DAnalysing_ESL_Persuasive_Essay_Writing_U.pdf&amp;Expires=1753080030&amp;Signature=BfHz0n2tpLb8Ghp2RvcC0MHfMsH~Ii8G0VjEc5Z4djpwYnlCqhFeyA-EnGSWWHZ7FrNHDkxtaaPmV7BzTylBxo1WO8cGgIlYMp3LH71fh3DrFrroqYiWmgYo-Nk4qOqt97DXQR1i4Tfvv1FOG2uFk2cjHEKfJfESWXJ9pKIoVSu6DkpgYHCZIrsVokcHAyHnBTLSBzY6lL9N9~dSz1lF5gEveL8mqtLQ0yJadOfZa8M68hdBhjjh6ee5tpS3pqipdZK9Rtsz1njNUfC1IWARb-rI--kcFW8gnV4nwUfX2hNsHpZba-SExqj0GRZ14DJy5xHWFHFCHViOzvDZTfgftQ__&amp;Key-Pair-Id=APKAJLOHF5GGSLRBV4ZA" TargetMode="External"/><Relationship Id="rId3" Type="http://schemas.openxmlformats.org/officeDocument/2006/relationships/styles" Target="styles.xml"/><Relationship Id="rId21" Type="http://schemas.openxmlformats.org/officeDocument/2006/relationships/hyperlink" Target="https://www.ceeol.com/search/article-detail?id=133079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pragma.2020.12.015" TargetMode="External"/><Relationship Id="rId17" Type="http://schemas.openxmlformats.org/officeDocument/2006/relationships/hyperlink" Target="https://doi.org/10.1108/JAEE-06-2021-0192" TargetMode="External"/><Relationship Id="rId25" Type="http://schemas.openxmlformats.org/officeDocument/2006/relationships/hyperlink" Target="https://doi.org/10.1016/j.digbus.2022.10002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89/fgene.2021.741395" TargetMode="External"/><Relationship Id="rId20" Type="http://schemas.openxmlformats.org/officeDocument/2006/relationships/hyperlink" Target="https://doi.org/10.1007/s10209-022-00930-7" TargetMode="External"/><Relationship Id="rId29" Type="http://schemas.openxmlformats.org/officeDocument/2006/relationships/hyperlink" Target="https://doi.org/10.17169/fqs-24.1.39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236/adr.2022.103030" TargetMode="External"/><Relationship Id="rId24" Type="http://schemas.openxmlformats.org/officeDocument/2006/relationships/hyperlink" Target="https://pmc.ncbi.nlm.nih.gov/articles/PMC10080579/" TargetMode="External"/><Relationship Id="rId32" Type="http://schemas.openxmlformats.org/officeDocument/2006/relationships/hyperlink" Target="https://doi.org/10.1108/ITP-07-2021-0564" TargetMode="External"/><Relationship Id="rId5" Type="http://schemas.openxmlformats.org/officeDocument/2006/relationships/webSettings" Target="webSettings.xml"/><Relationship Id="rId15" Type="http://schemas.openxmlformats.org/officeDocument/2006/relationships/hyperlink" Target="http://www.scirp.org/journal/Paperabs.aspx?PaperID=108268" TargetMode="External"/><Relationship Id="rId23" Type="http://schemas.openxmlformats.org/officeDocument/2006/relationships/hyperlink" Target="https://doi.org/10.17576/gema-2021-2101-16" TargetMode="External"/><Relationship Id="rId28" Type="http://schemas.openxmlformats.org/officeDocument/2006/relationships/hyperlink" Target="https://doi.org/10.9744/scriptura.12.1.25-32" TargetMode="External"/><Relationship Id="rId10" Type="http://schemas.openxmlformats.org/officeDocument/2006/relationships/hyperlink" Target="https://doi.org/10.3389/fpsyg.2023.1154044" TargetMode="External"/><Relationship Id="rId19" Type="http://schemas.openxmlformats.org/officeDocument/2006/relationships/hyperlink" Target="https://doi.org/10.1007/s11673-021-10126-y" TargetMode="External"/><Relationship Id="rId31" Type="http://schemas.openxmlformats.org/officeDocument/2006/relationships/hyperlink" Target="https://books.google.co.in/books?hl=en&amp;lr=&amp;id=xbouDwAAQBAJ&amp;oi=fnd&amp;pg=PA319&amp;dq=Defining+Business+English+in+Global+Contexts&amp;ots=XBmmUt2KK_&amp;sig=WC97Wc2aciWTSptKKaw-Z0WLMPg&amp;redir_esc=y" TargetMode="External"/><Relationship Id="rId4" Type="http://schemas.openxmlformats.org/officeDocument/2006/relationships/settings" Target="settings.xml"/><Relationship Id="rId9" Type="http://schemas.openxmlformats.org/officeDocument/2006/relationships/hyperlink" Target="https://doi.org/10.1016/j.ijmedinf.2022.104738" TargetMode="External"/><Relationship Id="rId14" Type="http://schemas.openxmlformats.org/officeDocument/2006/relationships/hyperlink" Target="https://doi.org/10.1136/bmjopen-2021-048750" TargetMode="External"/><Relationship Id="rId22" Type="http://schemas.openxmlformats.org/officeDocument/2006/relationships/hyperlink" Target="https://doi.org/10.3727/154427223X16819417821778" TargetMode="External"/><Relationship Id="rId27" Type="http://schemas.openxmlformats.org/officeDocument/2006/relationships/hyperlink" Target="https://doi.org/10.1186/s40854-023-00522-1" TargetMode="External"/><Relationship Id="rId30" Type="http://schemas.openxmlformats.org/officeDocument/2006/relationships/hyperlink" Target="https://link.springer.com/book/10.1007/978-3-030-63530-5" TargetMode="External"/><Relationship Id="rId35" Type="http://schemas.openxmlformats.org/officeDocument/2006/relationships/theme" Target="theme/theme1.xml"/><Relationship Id="rId8" Type="http://schemas.openxmlformats.org/officeDocument/2006/relationships/hyperlink" Target="https://dosen.ikipsiliwangi.ac.id/wp-content/uploads/sites/6/2021/03/9423-34509-2-P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5ADCA-E18B-4FB6-854B-5C0A31459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6860</Words>
  <Characters>39104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Pushpender</dc:creator>
  <cp:keywords/>
  <dc:description/>
  <cp:lastModifiedBy>Rohit Mishra</cp:lastModifiedBy>
  <cp:revision>2</cp:revision>
  <dcterms:created xsi:type="dcterms:W3CDTF">2025-07-22T08:27:00Z</dcterms:created>
  <dcterms:modified xsi:type="dcterms:W3CDTF">2025-07-22T08:27:00Z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34e6e95b-73f4-4a22-8161-73720e8602e0</vt:lpwstr>
  </property>
</Properties>
</file>